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E52EC2">
      <w:pPr>
        <w:adjustRightInd w:val="0"/>
        <w:snapToGrid w:val="0"/>
        <w:spacing w:line="240" w:lineRule="auto"/>
        <w:ind w:firstLine="0" w:firstLineChars="0"/>
        <w:jc w:val="both"/>
        <w:outlineLvl w:val="9"/>
        <w:rPr>
          <w:rFonts w:hAnsi="宋体" w:cs="Times New Roman"/>
          <w:bCs/>
          <w:color w:val="auto"/>
          <w:sz w:val="72"/>
          <w:szCs w:val="72"/>
        </w:rPr>
      </w:pPr>
      <w:bookmarkStart w:id="0" w:name="_Toc151985572"/>
      <w:bookmarkStart w:id="1" w:name="_Toc69388160"/>
    </w:p>
    <w:p w14:paraId="2A71A025">
      <w:pPr>
        <w:adjustRightInd w:val="0"/>
        <w:snapToGrid w:val="0"/>
        <w:spacing w:line="240" w:lineRule="auto"/>
        <w:ind w:firstLine="0" w:firstLineChars="0"/>
        <w:jc w:val="center"/>
        <w:outlineLvl w:val="9"/>
        <w:rPr>
          <w:rFonts w:hAnsi="宋体" w:cs="Times New Roman"/>
          <w:bCs/>
          <w:color w:val="auto"/>
          <w:sz w:val="72"/>
          <w:szCs w:val="72"/>
        </w:rPr>
      </w:pPr>
    </w:p>
    <w:bookmarkEnd w:id="0"/>
    <w:bookmarkEnd w:id="1"/>
    <w:p w14:paraId="226B08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cs="Times New Roman"/>
          <w:bCs/>
          <w:color w:val="auto"/>
          <w:sz w:val="72"/>
          <w:szCs w:val="72"/>
        </w:rPr>
      </w:pPr>
      <w:bookmarkStart w:id="2" w:name="_Toc25462"/>
      <w:bookmarkStart w:id="3" w:name="_Toc6066"/>
      <w:bookmarkStart w:id="4" w:name="_Toc27281"/>
      <w:r>
        <w:rPr>
          <w:rFonts w:hAnsi="宋体" w:cs="Times New Roman"/>
          <w:bCs/>
          <w:color w:val="auto"/>
          <w:sz w:val="72"/>
          <w:szCs w:val="72"/>
        </w:rPr>
        <w:t>建设项目环境影响报告表</w:t>
      </w:r>
      <w:bookmarkEnd w:id="2"/>
    </w:p>
    <w:p w14:paraId="192F3AC0">
      <w:pPr>
        <w:adjustRightInd w:val="0"/>
        <w:snapToGrid w:val="0"/>
        <w:spacing w:before="192" w:beforeLines="80" w:line="240" w:lineRule="auto"/>
        <w:ind w:firstLine="0" w:firstLineChars="0"/>
        <w:jc w:val="center"/>
        <w:rPr>
          <w:rFonts w:cs="Times New Roman"/>
          <w:bCs/>
          <w:color w:val="auto"/>
          <w:sz w:val="48"/>
          <w:szCs w:val="48"/>
        </w:rPr>
      </w:pPr>
      <w:r>
        <w:rPr>
          <w:rFonts w:hAnsi="宋体" w:cs="Times New Roman"/>
          <w:bCs/>
          <w:color w:val="auto"/>
          <w:sz w:val="48"/>
          <w:szCs w:val="48"/>
        </w:rPr>
        <w:t>（污染影响类）</w:t>
      </w:r>
    </w:p>
    <w:p w14:paraId="7F1602FA">
      <w:pPr>
        <w:spacing w:line="240" w:lineRule="auto"/>
        <w:ind w:firstLine="0" w:firstLineChars="0"/>
        <w:rPr>
          <w:rFonts w:cs="Times New Roman"/>
          <w:color w:val="auto"/>
          <w:sz w:val="21"/>
        </w:rPr>
      </w:pPr>
    </w:p>
    <w:p w14:paraId="0536B85E">
      <w:pPr>
        <w:spacing w:line="240" w:lineRule="auto"/>
        <w:ind w:firstLine="0" w:firstLineChars="0"/>
        <w:jc w:val="center"/>
        <w:rPr>
          <w:rFonts w:cs="Times New Roman"/>
          <w:color w:val="auto"/>
          <w:sz w:val="52"/>
          <w:szCs w:val="52"/>
        </w:rPr>
      </w:pPr>
    </w:p>
    <w:p w14:paraId="4CF540AD">
      <w:pPr>
        <w:tabs>
          <w:tab w:val="left" w:pos="1822"/>
        </w:tabs>
        <w:spacing w:line="240" w:lineRule="auto"/>
        <w:ind w:firstLine="1040" w:firstLineChars="0"/>
        <w:rPr>
          <w:rFonts w:hint="eastAsia" w:eastAsia="宋体" w:cs="Times New Roman"/>
          <w:color w:val="auto"/>
          <w:sz w:val="44"/>
          <w:szCs w:val="44"/>
          <w:lang w:eastAsia="zh-CN"/>
        </w:rPr>
      </w:pPr>
      <w:r>
        <w:rPr>
          <w:rFonts w:hint="eastAsia" w:cs="Times New Roman"/>
          <w:color w:val="auto"/>
          <w:sz w:val="44"/>
          <w:szCs w:val="44"/>
          <w:lang w:eastAsia="zh-CN"/>
        </w:rPr>
        <w:tab/>
      </w:r>
    </w:p>
    <w:p w14:paraId="3D72C33B">
      <w:pPr>
        <w:tabs>
          <w:tab w:val="left" w:pos="3206"/>
        </w:tabs>
        <w:spacing w:line="240" w:lineRule="auto"/>
        <w:ind w:firstLine="1040" w:firstLineChars="0"/>
        <w:rPr>
          <w:rFonts w:hint="eastAsia" w:eastAsia="宋体" w:cs="Times New Roman"/>
          <w:color w:val="auto"/>
          <w:sz w:val="44"/>
          <w:szCs w:val="44"/>
          <w:lang w:eastAsia="zh-CN"/>
        </w:rPr>
      </w:pPr>
      <w:r>
        <w:rPr>
          <w:rFonts w:hint="eastAsia" w:cs="Times New Roman"/>
          <w:color w:val="auto"/>
          <w:sz w:val="44"/>
          <w:szCs w:val="44"/>
          <w:lang w:eastAsia="zh-CN"/>
        </w:rPr>
        <w:tab/>
      </w:r>
    </w:p>
    <w:p w14:paraId="24E5230C">
      <w:pPr>
        <w:spacing w:line="240" w:lineRule="auto"/>
        <w:ind w:firstLine="1040" w:firstLineChars="0"/>
        <w:rPr>
          <w:rFonts w:cs="Times New Roman"/>
          <w:color w:val="auto"/>
          <w:sz w:val="44"/>
          <w:szCs w:val="44"/>
        </w:rPr>
      </w:pPr>
    </w:p>
    <w:p w14:paraId="51C7C16F">
      <w:pPr>
        <w:spacing w:line="240" w:lineRule="auto"/>
        <w:ind w:firstLine="1040" w:firstLineChars="0"/>
        <w:rPr>
          <w:rFonts w:cs="Times New Roman"/>
          <w:color w:val="auto"/>
          <w:sz w:val="44"/>
          <w:szCs w:val="44"/>
        </w:rPr>
      </w:pPr>
    </w:p>
    <w:p w14:paraId="730B8E62">
      <w:pPr>
        <w:adjustRightInd w:val="0"/>
        <w:snapToGrid w:val="0"/>
        <w:ind w:left="0" w:leftChars="0" w:firstLine="0" w:firstLineChars="0"/>
        <w:rPr>
          <w:rFonts w:hint="default" w:eastAsia="宋体" w:cs="Times New Roman"/>
          <w:color w:val="auto"/>
          <w:sz w:val="30"/>
          <w:szCs w:val="30"/>
          <w:u w:val="single"/>
          <w:lang w:val="en-US" w:eastAsia="zh-CN"/>
        </w:rPr>
      </w:pPr>
      <w:r>
        <w:rPr>
          <w:rFonts w:hAnsi="宋体" w:cs="Times New Roman"/>
          <w:color w:val="auto"/>
          <w:spacing w:val="200"/>
          <w:kern w:val="0"/>
          <w:sz w:val="30"/>
          <w:szCs w:val="30"/>
          <w:fitText w:val="2400" w:id="1711955851"/>
        </w:rPr>
        <w:t>项目名</w:t>
      </w:r>
      <w:r>
        <w:rPr>
          <w:rFonts w:hAnsi="宋体" w:cs="Times New Roman"/>
          <w:color w:val="auto"/>
          <w:spacing w:val="0"/>
          <w:kern w:val="0"/>
          <w:sz w:val="30"/>
          <w:szCs w:val="30"/>
          <w:fitText w:val="2400" w:id="1711955851"/>
        </w:rPr>
        <w:t>称</w:t>
      </w:r>
      <w:r>
        <w:rPr>
          <w:rFonts w:hAnsi="宋体" w:cs="Times New Roman"/>
          <w:color w:val="auto"/>
          <w:sz w:val="30"/>
          <w:szCs w:val="30"/>
        </w:rPr>
        <w:t>：</w:t>
      </w:r>
      <w:r>
        <w:rPr>
          <w:rFonts w:hint="eastAsia" w:hAnsi="宋体" w:cs="Times New Roman"/>
          <w:color w:val="auto"/>
          <w:sz w:val="30"/>
          <w:szCs w:val="30"/>
          <w:u w:val="single"/>
          <w:lang w:val="en-US" w:eastAsia="zh-CN"/>
        </w:rPr>
        <w:t xml:space="preserve">   涟水县人民医院教学科研楼建设项目         </w:t>
      </w:r>
    </w:p>
    <w:p w14:paraId="7274B60C">
      <w:pPr>
        <w:adjustRightInd w:val="0"/>
        <w:snapToGrid w:val="0"/>
        <w:ind w:left="0" w:leftChars="0" w:firstLine="0" w:firstLineChars="0"/>
        <w:rPr>
          <w:rFonts w:hint="default" w:eastAsia="宋体" w:cs="Times New Roman"/>
          <w:color w:val="auto"/>
          <w:sz w:val="30"/>
          <w:szCs w:val="30"/>
          <w:u w:val="single"/>
          <w:lang w:val="en-US" w:eastAsia="zh-CN"/>
        </w:rPr>
      </w:pPr>
      <w:r>
        <w:rPr>
          <w:rFonts w:hAnsi="宋体" w:cs="Times New Roman"/>
          <w:color w:val="auto"/>
          <w:spacing w:val="0"/>
          <w:kern w:val="0"/>
          <w:sz w:val="30"/>
          <w:szCs w:val="30"/>
          <w:fitText w:val="2400" w:id="293544791"/>
        </w:rPr>
        <w:t>建设单位（盖章）</w:t>
      </w:r>
      <w:r>
        <w:rPr>
          <w:rFonts w:hAnsi="宋体" w:cs="Times New Roman"/>
          <w:color w:val="auto"/>
          <w:sz w:val="30"/>
          <w:szCs w:val="30"/>
        </w:rPr>
        <w:t>：</w:t>
      </w:r>
      <w:r>
        <w:rPr>
          <w:rFonts w:hint="eastAsia" w:hAnsi="宋体" w:cs="Times New Roman"/>
          <w:color w:val="auto"/>
          <w:sz w:val="30"/>
          <w:szCs w:val="30"/>
          <w:u w:val="single"/>
          <w:lang w:val="en-US" w:eastAsia="zh-CN"/>
        </w:rPr>
        <w:t xml:space="preserve">           涟水县人民医院             </w:t>
      </w:r>
    </w:p>
    <w:p w14:paraId="0E3556CE">
      <w:pPr>
        <w:adjustRightInd w:val="0"/>
        <w:snapToGrid w:val="0"/>
        <w:ind w:left="0" w:leftChars="0" w:firstLine="0" w:firstLineChars="0"/>
        <w:rPr>
          <w:rFonts w:hint="eastAsia" w:eastAsia="宋体" w:cs="Times New Roman"/>
          <w:color w:val="auto"/>
          <w:sz w:val="30"/>
          <w:szCs w:val="30"/>
          <w:u w:val="single"/>
          <w:lang w:val="en-US" w:eastAsia="zh-CN"/>
        </w:rPr>
      </w:pPr>
      <w:r>
        <w:rPr>
          <w:rFonts w:hAnsi="宋体" w:cs="Times New Roman"/>
          <w:color w:val="auto"/>
          <w:spacing w:val="200"/>
          <w:kern w:val="0"/>
          <w:sz w:val="30"/>
          <w:szCs w:val="30"/>
          <w:fitText w:val="2400" w:id="1808026508"/>
        </w:rPr>
        <w:t>编制日</w:t>
      </w:r>
      <w:r>
        <w:rPr>
          <w:rFonts w:hAnsi="宋体" w:cs="Times New Roman"/>
          <w:color w:val="auto"/>
          <w:spacing w:val="0"/>
          <w:kern w:val="0"/>
          <w:sz w:val="30"/>
          <w:szCs w:val="30"/>
          <w:fitText w:val="2400" w:id="1808026508"/>
        </w:rPr>
        <w:t>期</w:t>
      </w:r>
      <w:r>
        <w:rPr>
          <w:rFonts w:hAnsi="宋体" w:cs="Times New Roman"/>
          <w:color w:val="auto"/>
          <w:sz w:val="30"/>
          <w:szCs w:val="30"/>
        </w:rPr>
        <w:t>：</w:t>
      </w:r>
      <w:r>
        <w:rPr>
          <w:rFonts w:hint="eastAsia" w:hAnsi="宋体" w:cs="Times New Roman"/>
          <w:color w:val="auto"/>
          <w:sz w:val="30"/>
          <w:szCs w:val="30"/>
          <w:u w:val="single"/>
        </w:rPr>
        <w:t xml:space="preserve"> </w:t>
      </w:r>
      <w:r>
        <w:rPr>
          <w:rFonts w:hAnsi="宋体" w:cs="Times New Roman"/>
          <w:color w:val="auto"/>
          <w:sz w:val="30"/>
          <w:szCs w:val="30"/>
          <w:u w:val="single"/>
        </w:rPr>
        <w:t xml:space="preserve"> </w:t>
      </w:r>
      <w:r>
        <w:rPr>
          <w:rFonts w:hint="eastAsia" w:hAnsi="宋体" w:cs="Times New Roman"/>
          <w:color w:val="auto"/>
          <w:sz w:val="30"/>
          <w:szCs w:val="30"/>
          <w:u w:val="single"/>
          <w:lang w:val="en-US" w:eastAsia="zh-CN"/>
        </w:rPr>
        <w:t xml:space="preserve">           </w:t>
      </w:r>
      <w:r>
        <w:rPr>
          <w:rFonts w:cs="Times New Roman"/>
          <w:color w:val="auto"/>
          <w:sz w:val="30"/>
          <w:szCs w:val="30"/>
          <w:u w:val="single"/>
        </w:rPr>
        <w:t>202</w:t>
      </w:r>
      <w:r>
        <w:rPr>
          <w:rFonts w:hint="eastAsia" w:cs="Times New Roman"/>
          <w:color w:val="auto"/>
          <w:sz w:val="30"/>
          <w:szCs w:val="30"/>
          <w:u w:val="single"/>
          <w:lang w:val="en-US" w:eastAsia="zh-CN"/>
        </w:rPr>
        <w:t>5</w:t>
      </w:r>
      <w:r>
        <w:rPr>
          <w:rFonts w:hAnsi="宋体" w:cs="Times New Roman"/>
          <w:color w:val="auto"/>
          <w:sz w:val="30"/>
          <w:szCs w:val="30"/>
          <w:u w:val="single"/>
        </w:rPr>
        <w:t>年</w:t>
      </w:r>
      <w:r>
        <w:rPr>
          <w:rFonts w:hint="eastAsia" w:hAnsi="宋体" w:cs="Times New Roman"/>
          <w:color w:val="auto"/>
          <w:sz w:val="30"/>
          <w:szCs w:val="30"/>
          <w:u w:val="single"/>
          <w:lang w:val="en-US" w:eastAsia="zh-CN"/>
        </w:rPr>
        <w:t>3</w:t>
      </w:r>
      <w:r>
        <w:rPr>
          <w:rFonts w:hAnsi="宋体" w:cs="Times New Roman"/>
          <w:color w:val="auto"/>
          <w:sz w:val="30"/>
          <w:szCs w:val="30"/>
          <w:u w:val="single"/>
        </w:rPr>
        <w:t>月</w:t>
      </w:r>
      <w:r>
        <w:rPr>
          <w:rFonts w:hint="eastAsia" w:hAnsi="宋体" w:cs="Times New Roman"/>
          <w:color w:val="auto"/>
          <w:sz w:val="30"/>
          <w:szCs w:val="30"/>
          <w:u w:val="single"/>
          <w:lang w:val="en-US" w:eastAsia="zh-CN"/>
        </w:rPr>
        <w:t xml:space="preserve">   </w:t>
      </w:r>
      <w:r>
        <w:rPr>
          <w:rFonts w:hAnsi="宋体" w:cs="Times New Roman"/>
          <w:color w:val="auto"/>
          <w:sz w:val="30"/>
          <w:szCs w:val="30"/>
          <w:u w:val="single"/>
        </w:rPr>
        <w:t xml:space="preserve">     </w:t>
      </w:r>
      <w:r>
        <w:rPr>
          <w:rFonts w:hint="eastAsia" w:hAnsi="宋体" w:cs="Times New Roman"/>
          <w:color w:val="auto"/>
          <w:sz w:val="30"/>
          <w:szCs w:val="30"/>
          <w:u w:val="single"/>
          <w:lang w:val="en-US" w:eastAsia="zh-CN"/>
        </w:rPr>
        <w:t xml:space="preserve">          </w:t>
      </w:r>
      <w:r>
        <w:rPr>
          <w:rFonts w:hAnsi="宋体" w:cs="Times New Roman"/>
          <w:color w:val="auto"/>
          <w:sz w:val="30"/>
          <w:szCs w:val="30"/>
          <w:u w:val="single"/>
        </w:rPr>
        <w:t xml:space="preserve"> </w:t>
      </w:r>
    </w:p>
    <w:p w14:paraId="049C164F">
      <w:pPr>
        <w:adjustRightInd w:val="0"/>
        <w:snapToGrid w:val="0"/>
        <w:spacing w:line="288" w:lineRule="auto"/>
        <w:ind w:firstLine="1040" w:firstLineChars="0"/>
        <w:rPr>
          <w:rFonts w:cs="Times New Roman"/>
          <w:color w:val="auto"/>
          <w:sz w:val="36"/>
          <w:szCs w:val="36"/>
          <w:u w:val="single"/>
        </w:rPr>
      </w:pPr>
    </w:p>
    <w:p w14:paraId="51437211">
      <w:pPr>
        <w:adjustRightInd w:val="0"/>
        <w:snapToGrid w:val="0"/>
        <w:spacing w:line="288" w:lineRule="auto"/>
        <w:ind w:firstLine="1040" w:firstLineChars="0"/>
        <w:rPr>
          <w:rFonts w:cs="Times New Roman"/>
          <w:color w:val="auto"/>
          <w:sz w:val="36"/>
          <w:szCs w:val="36"/>
        </w:rPr>
      </w:pPr>
    </w:p>
    <w:p w14:paraId="63361F9E">
      <w:pPr>
        <w:spacing w:line="240" w:lineRule="auto"/>
        <w:ind w:firstLine="1040" w:firstLineChars="0"/>
        <w:rPr>
          <w:rFonts w:cs="Times New Roman"/>
          <w:color w:val="auto"/>
          <w:sz w:val="44"/>
          <w:szCs w:val="44"/>
        </w:rPr>
      </w:pPr>
    </w:p>
    <w:p w14:paraId="24F03AF7">
      <w:pPr>
        <w:spacing w:line="240" w:lineRule="auto"/>
        <w:ind w:firstLine="1040" w:firstLineChars="0"/>
        <w:rPr>
          <w:rFonts w:cs="Times New Roman"/>
          <w:color w:val="auto"/>
          <w:sz w:val="44"/>
          <w:szCs w:val="44"/>
        </w:rPr>
      </w:pPr>
    </w:p>
    <w:p w14:paraId="531507E0">
      <w:pPr>
        <w:spacing w:line="240" w:lineRule="auto"/>
        <w:ind w:firstLine="1040" w:firstLineChars="0"/>
        <w:rPr>
          <w:rFonts w:cs="Times New Roman"/>
          <w:color w:val="auto"/>
          <w:sz w:val="44"/>
          <w:szCs w:val="44"/>
        </w:rPr>
      </w:pPr>
    </w:p>
    <w:p w14:paraId="185FEF3C">
      <w:pPr>
        <w:spacing w:line="240" w:lineRule="auto"/>
        <w:ind w:firstLine="1040" w:firstLineChars="0"/>
        <w:rPr>
          <w:rFonts w:cs="Times New Roman"/>
          <w:color w:val="auto"/>
          <w:sz w:val="44"/>
          <w:szCs w:val="44"/>
        </w:rPr>
      </w:pPr>
    </w:p>
    <w:p w14:paraId="0BE986E4">
      <w:pPr>
        <w:spacing w:line="240" w:lineRule="auto"/>
        <w:ind w:firstLine="1040" w:firstLineChars="0"/>
        <w:rPr>
          <w:rFonts w:cs="Times New Roman"/>
          <w:color w:val="auto"/>
          <w:sz w:val="44"/>
          <w:szCs w:val="44"/>
        </w:rPr>
      </w:pPr>
    </w:p>
    <w:p w14:paraId="276FC4E5">
      <w:pPr>
        <w:adjustRightInd w:val="0"/>
        <w:snapToGrid w:val="0"/>
        <w:spacing w:line="288" w:lineRule="auto"/>
        <w:ind w:firstLine="0" w:firstLineChars="0"/>
        <w:jc w:val="center"/>
        <w:outlineLvl w:val="9"/>
        <w:rPr>
          <w:rFonts w:cs="Times New Roman"/>
          <w:color w:val="auto"/>
          <w:sz w:val="36"/>
          <w:szCs w:val="36"/>
        </w:rPr>
      </w:pPr>
      <w:bookmarkStart w:id="5" w:name="_Toc13286"/>
      <w:r>
        <w:rPr>
          <w:rFonts w:hAnsi="宋体" w:cs="Times New Roman"/>
          <w:color w:val="auto"/>
          <w:sz w:val="36"/>
          <w:szCs w:val="36"/>
        </w:rPr>
        <w:t>中华人民共和国生态环境部制</w:t>
      </w:r>
      <w:bookmarkEnd w:id="5"/>
    </w:p>
    <w:p w14:paraId="63B95704">
      <w:pPr>
        <w:adjustRightInd w:val="0"/>
        <w:snapToGrid w:val="0"/>
        <w:spacing w:before="120" w:line="288" w:lineRule="auto"/>
        <w:ind w:firstLine="720"/>
        <w:rPr>
          <w:rFonts w:cs="Times New Roman"/>
          <w:color w:val="auto"/>
          <w:sz w:val="36"/>
          <w:szCs w:val="36"/>
        </w:rPr>
      </w:pPr>
    </w:p>
    <w:p w14:paraId="1CCB5A0B">
      <w:pPr>
        <w:bidi w:val="0"/>
        <w:ind w:left="0" w:leftChars="0" w:firstLine="0" w:firstLineChars="0"/>
        <w:rPr>
          <w:rFonts w:cs="Times New Roman"/>
          <w:color w:val="auto"/>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cs="Times New Roman"/>
          <w:color w:val="auto"/>
          <w:sz w:val="36"/>
          <w:szCs w:val="36"/>
        </w:rPr>
        <w:br w:type="page"/>
      </w:r>
    </w:p>
    <w:sdt>
      <w:sdtPr>
        <w:rPr>
          <w:rFonts w:ascii="宋体" w:hAnsi="宋体" w:eastAsia="宋体" w:cstheme="minorBidi"/>
          <w:color w:val="auto"/>
          <w:kern w:val="2"/>
          <w:sz w:val="21"/>
          <w:szCs w:val="24"/>
          <w:lang w:val="en-US" w:eastAsia="zh-CN" w:bidi="ar-SA"/>
        </w:rPr>
        <w:id w:val="147455940"/>
        <w15:color w:val="DBDBDB"/>
        <w:docPartObj>
          <w:docPartGallery w:val="Table of Contents"/>
          <w:docPartUnique/>
        </w:docPartObj>
      </w:sdtPr>
      <w:sdtEndPr>
        <w:rPr>
          <w:rFonts w:ascii="Times New Roman" w:hAnsi="Times New Roman" w:eastAsia="宋体" w:cs="Times New Roman"/>
          <w:color w:val="auto"/>
          <w:kern w:val="2"/>
          <w:sz w:val="24"/>
          <w:szCs w:val="36"/>
          <w:lang w:val="en-US" w:eastAsia="zh-CN" w:bidi="ar-SA"/>
        </w:rPr>
      </w:sdtEndPr>
      <w:sdtContent>
        <w:p w14:paraId="1AC04F8F">
          <w:pPr>
            <w:keepNext w:val="0"/>
            <w:keepLines w:val="0"/>
            <w:pageBreakBefore w:val="0"/>
            <w:widowControl w:val="0"/>
            <w:kinsoku/>
            <w:wordWrap/>
            <w:overflowPunct/>
            <w:topLinePunct w:val="0"/>
            <w:autoSpaceDE/>
            <w:autoSpaceDN/>
            <w:bidi w:val="0"/>
            <w:adjustRightInd/>
            <w:snapToGrid/>
            <w:spacing w:before="313" w:beforeLines="100" w:after="313" w:afterLines="100"/>
            <w:ind w:left="0" w:leftChars="0" w:firstLine="0" w:firstLineChars="0"/>
            <w:jc w:val="center"/>
            <w:textAlignment w:val="auto"/>
            <w:rPr>
              <w:rFonts w:ascii="Times New Roman" w:hAnsi="Times New Roman" w:eastAsia="宋体" w:cs="Times New Roman"/>
              <w:color w:val="auto"/>
              <w:kern w:val="2"/>
              <w:sz w:val="24"/>
              <w:szCs w:val="36"/>
              <w:lang w:val="en-US" w:eastAsia="zh-CN" w:bidi="ar-SA"/>
            </w:rPr>
          </w:pPr>
          <w:r>
            <w:rPr>
              <w:rFonts w:ascii="宋体" w:hAnsi="宋体" w:eastAsia="宋体"/>
              <w:b/>
              <w:bCs/>
              <w:color w:val="auto"/>
              <w:sz w:val="30"/>
              <w:szCs w:val="30"/>
            </w:rPr>
            <w:t>目</w:t>
          </w:r>
          <w:r>
            <w:rPr>
              <w:rFonts w:hint="eastAsia" w:ascii="宋体" w:hAnsi="宋体" w:eastAsia="宋体"/>
              <w:b/>
              <w:bCs/>
              <w:color w:val="auto"/>
              <w:sz w:val="30"/>
              <w:szCs w:val="30"/>
              <w:lang w:val="en-US" w:eastAsia="zh-CN"/>
            </w:rPr>
            <w:t xml:space="preserve">  </w:t>
          </w:r>
          <w:r>
            <w:rPr>
              <w:rFonts w:ascii="宋体" w:hAnsi="宋体" w:eastAsia="宋体"/>
              <w:b/>
              <w:bCs/>
              <w:color w:val="auto"/>
              <w:sz w:val="30"/>
              <w:szCs w:val="30"/>
            </w:rPr>
            <w:t>录</w:t>
          </w:r>
          <w:r>
            <w:rPr>
              <w:rFonts w:cs="Times New Roman"/>
              <w:color w:val="auto"/>
              <w:sz w:val="36"/>
              <w:szCs w:val="36"/>
            </w:rPr>
            <w:fldChar w:fldCharType="begin"/>
          </w:r>
          <w:r>
            <w:rPr>
              <w:rFonts w:cs="Times New Roman"/>
              <w:color w:val="auto"/>
              <w:sz w:val="36"/>
              <w:szCs w:val="36"/>
            </w:rPr>
            <w:instrText xml:space="preserve">TOC\o"1-1"\h\u</w:instrText>
          </w:r>
          <w:r>
            <w:rPr>
              <w:rFonts w:cs="Times New Roman"/>
              <w:color w:val="auto"/>
              <w:sz w:val="36"/>
              <w:szCs w:val="36"/>
            </w:rPr>
            <w:fldChar w:fldCharType="separate"/>
          </w:r>
        </w:p>
        <w:p w14:paraId="6201BD81">
          <w:pPr>
            <w:pStyle w:val="18"/>
            <w:tabs>
              <w:tab w:val="right" w:leader="dot" w:pos="8306"/>
            </w:tabs>
            <w:rPr>
              <w:color w:val="auto"/>
            </w:rPr>
          </w:pPr>
          <w:r>
            <w:rPr>
              <w:rFonts w:cs="Times New Roman"/>
              <w:color w:val="auto"/>
              <w:szCs w:val="36"/>
            </w:rPr>
            <w:fldChar w:fldCharType="begin"/>
          </w:r>
          <w:r>
            <w:rPr>
              <w:rFonts w:cs="Times New Roman"/>
              <w:color w:val="auto"/>
              <w:szCs w:val="36"/>
            </w:rPr>
            <w:instrText xml:space="preserve"> HYPERLINK \l _Toc27281 </w:instrText>
          </w:r>
          <w:r>
            <w:rPr>
              <w:rFonts w:cs="Times New Roman"/>
              <w:color w:val="auto"/>
              <w:szCs w:val="36"/>
            </w:rPr>
            <w:fldChar w:fldCharType="separate"/>
          </w:r>
          <w:r>
            <w:rPr>
              <w:rFonts w:hint="eastAsia"/>
              <w:bCs/>
              <w:color w:val="auto"/>
              <w:szCs w:val="30"/>
            </w:rPr>
            <w:t>一、 建设项目基本情况</w:t>
          </w:r>
          <w:r>
            <w:rPr>
              <w:color w:val="auto"/>
            </w:rPr>
            <w:tab/>
          </w:r>
          <w:r>
            <w:rPr>
              <w:color w:val="auto"/>
            </w:rPr>
            <w:fldChar w:fldCharType="begin"/>
          </w:r>
          <w:r>
            <w:rPr>
              <w:color w:val="auto"/>
            </w:rPr>
            <w:instrText xml:space="preserve"> PAGEREF _Toc27281 \h </w:instrText>
          </w:r>
          <w:r>
            <w:rPr>
              <w:color w:val="auto"/>
            </w:rPr>
            <w:fldChar w:fldCharType="separate"/>
          </w:r>
          <w:r>
            <w:rPr>
              <w:color w:val="auto"/>
            </w:rPr>
            <w:t>1</w:t>
          </w:r>
          <w:r>
            <w:rPr>
              <w:color w:val="auto"/>
            </w:rPr>
            <w:fldChar w:fldCharType="end"/>
          </w:r>
          <w:r>
            <w:rPr>
              <w:rFonts w:cs="Times New Roman"/>
              <w:color w:val="auto"/>
              <w:szCs w:val="36"/>
            </w:rPr>
            <w:fldChar w:fldCharType="end"/>
          </w:r>
        </w:p>
        <w:p w14:paraId="1A3DC702">
          <w:pPr>
            <w:pStyle w:val="18"/>
            <w:tabs>
              <w:tab w:val="right" w:leader="dot" w:pos="8306"/>
            </w:tabs>
            <w:rPr>
              <w:color w:val="auto"/>
            </w:rPr>
          </w:pPr>
          <w:r>
            <w:rPr>
              <w:rFonts w:cs="Times New Roman"/>
              <w:color w:val="auto"/>
              <w:szCs w:val="36"/>
            </w:rPr>
            <w:fldChar w:fldCharType="begin"/>
          </w:r>
          <w:r>
            <w:rPr>
              <w:rFonts w:cs="Times New Roman"/>
              <w:color w:val="auto"/>
              <w:szCs w:val="36"/>
            </w:rPr>
            <w:instrText xml:space="preserve"> HYPERLINK \l _Toc29494 </w:instrText>
          </w:r>
          <w:r>
            <w:rPr>
              <w:rFonts w:cs="Times New Roman"/>
              <w:color w:val="auto"/>
              <w:szCs w:val="36"/>
            </w:rPr>
            <w:fldChar w:fldCharType="separate"/>
          </w:r>
          <w:r>
            <w:rPr>
              <w:rFonts w:hint="eastAsia"/>
              <w:bCs/>
              <w:color w:val="auto"/>
              <w:szCs w:val="28"/>
            </w:rPr>
            <w:t>二、 建设项目工程分析</w:t>
          </w:r>
          <w:r>
            <w:rPr>
              <w:color w:val="auto"/>
            </w:rPr>
            <w:tab/>
          </w:r>
          <w:r>
            <w:rPr>
              <w:color w:val="auto"/>
            </w:rPr>
            <w:fldChar w:fldCharType="begin"/>
          </w:r>
          <w:r>
            <w:rPr>
              <w:color w:val="auto"/>
            </w:rPr>
            <w:instrText xml:space="preserve"> PAGEREF _Toc29494 \h </w:instrText>
          </w:r>
          <w:r>
            <w:rPr>
              <w:color w:val="auto"/>
            </w:rPr>
            <w:fldChar w:fldCharType="separate"/>
          </w:r>
          <w:r>
            <w:rPr>
              <w:color w:val="auto"/>
            </w:rPr>
            <w:t>15</w:t>
          </w:r>
          <w:r>
            <w:rPr>
              <w:color w:val="auto"/>
            </w:rPr>
            <w:fldChar w:fldCharType="end"/>
          </w:r>
          <w:r>
            <w:rPr>
              <w:rFonts w:cs="Times New Roman"/>
              <w:color w:val="auto"/>
              <w:szCs w:val="36"/>
            </w:rPr>
            <w:fldChar w:fldCharType="end"/>
          </w:r>
        </w:p>
        <w:p w14:paraId="1E6DDAAD">
          <w:pPr>
            <w:pStyle w:val="18"/>
            <w:tabs>
              <w:tab w:val="right" w:leader="dot" w:pos="8306"/>
            </w:tabs>
            <w:rPr>
              <w:color w:val="auto"/>
            </w:rPr>
          </w:pPr>
          <w:r>
            <w:rPr>
              <w:rFonts w:cs="Times New Roman"/>
              <w:color w:val="auto"/>
              <w:szCs w:val="36"/>
            </w:rPr>
            <w:fldChar w:fldCharType="begin"/>
          </w:r>
          <w:r>
            <w:rPr>
              <w:rFonts w:cs="Times New Roman"/>
              <w:color w:val="auto"/>
              <w:szCs w:val="36"/>
            </w:rPr>
            <w:instrText xml:space="preserve"> HYPERLINK \l _Toc11504 </w:instrText>
          </w:r>
          <w:r>
            <w:rPr>
              <w:rFonts w:cs="Times New Roman"/>
              <w:color w:val="auto"/>
              <w:szCs w:val="36"/>
            </w:rPr>
            <w:fldChar w:fldCharType="separate"/>
          </w:r>
          <w:r>
            <w:rPr>
              <w:rFonts w:hint="eastAsia"/>
              <w:bCs/>
              <w:color w:val="auto"/>
              <w:szCs w:val="28"/>
            </w:rPr>
            <w:t xml:space="preserve">三、 </w:t>
          </w:r>
          <w:r>
            <w:rPr>
              <w:rFonts w:hint="eastAsia"/>
              <w:bCs/>
              <w:color w:val="auto"/>
              <w:szCs w:val="28"/>
              <w:lang w:val="en-US" w:eastAsia="zh-CN"/>
            </w:rPr>
            <w:t>区域环境质量现状、环境保护目标及评价标准</w:t>
          </w:r>
          <w:r>
            <w:rPr>
              <w:color w:val="auto"/>
            </w:rPr>
            <w:tab/>
          </w:r>
          <w:r>
            <w:rPr>
              <w:color w:val="auto"/>
            </w:rPr>
            <w:fldChar w:fldCharType="begin"/>
          </w:r>
          <w:r>
            <w:rPr>
              <w:color w:val="auto"/>
            </w:rPr>
            <w:instrText xml:space="preserve"> PAGEREF _Toc11504 \h </w:instrText>
          </w:r>
          <w:r>
            <w:rPr>
              <w:color w:val="auto"/>
            </w:rPr>
            <w:fldChar w:fldCharType="separate"/>
          </w:r>
          <w:r>
            <w:rPr>
              <w:color w:val="auto"/>
            </w:rPr>
            <w:t>39</w:t>
          </w:r>
          <w:r>
            <w:rPr>
              <w:color w:val="auto"/>
            </w:rPr>
            <w:fldChar w:fldCharType="end"/>
          </w:r>
          <w:r>
            <w:rPr>
              <w:rFonts w:cs="Times New Roman"/>
              <w:color w:val="auto"/>
              <w:szCs w:val="36"/>
            </w:rPr>
            <w:fldChar w:fldCharType="end"/>
          </w:r>
        </w:p>
        <w:p w14:paraId="513AB330">
          <w:pPr>
            <w:pStyle w:val="18"/>
            <w:tabs>
              <w:tab w:val="right" w:leader="dot" w:pos="8306"/>
            </w:tabs>
            <w:rPr>
              <w:color w:val="auto"/>
            </w:rPr>
          </w:pPr>
          <w:r>
            <w:rPr>
              <w:rFonts w:cs="Times New Roman"/>
              <w:color w:val="auto"/>
              <w:szCs w:val="36"/>
            </w:rPr>
            <w:fldChar w:fldCharType="begin"/>
          </w:r>
          <w:r>
            <w:rPr>
              <w:rFonts w:cs="Times New Roman"/>
              <w:color w:val="auto"/>
              <w:szCs w:val="36"/>
            </w:rPr>
            <w:instrText xml:space="preserve"> HYPERLINK \l _Toc28152 </w:instrText>
          </w:r>
          <w:r>
            <w:rPr>
              <w:rFonts w:cs="Times New Roman"/>
              <w:color w:val="auto"/>
              <w:szCs w:val="36"/>
            </w:rPr>
            <w:fldChar w:fldCharType="separate"/>
          </w:r>
          <w:r>
            <w:rPr>
              <w:rFonts w:hint="eastAsia"/>
              <w:bCs/>
              <w:color w:val="auto"/>
              <w:szCs w:val="28"/>
              <w:lang w:val="en-US" w:eastAsia="zh-CN"/>
            </w:rPr>
            <w:t>四、 主要环境影响和保护措施</w:t>
          </w:r>
          <w:r>
            <w:rPr>
              <w:color w:val="auto"/>
            </w:rPr>
            <w:tab/>
          </w:r>
          <w:r>
            <w:rPr>
              <w:color w:val="auto"/>
            </w:rPr>
            <w:fldChar w:fldCharType="begin"/>
          </w:r>
          <w:r>
            <w:rPr>
              <w:color w:val="auto"/>
            </w:rPr>
            <w:instrText xml:space="preserve"> PAGEREF _Toc28152 \h </w:instrText>
          </w:r>
          <w:r>
            <w:rPr>
              <w:color w:val="auto"/>
            </w:rPr>
            <w:fldChar w:fldCharType="separate"/>
          </w:r>
          <w:r>
            <w:rPr>
              <w:color w:val="auto"/>
            </w:rPr>
            <w:t>49</w:t>
          </w:r>
          <w:r>
            <w:rPr>
              <w:color w:val="auto"/>
            </w:rPr>
            <w:fldChar w:fldCharType="end"/>
          </w:r>
          <w:r>
            <w:rPr>
              <w:rFonts w:cs="Times New Roman"/>
              <w:color w:val="auto"/>
              <w:szCs w:val="36"/>
            </w:rPr>
            <w:fldChar w:fldCharType="end"/>
          </w:r>
        </w:p>
        <w:p w14:paraId="1C82F993">
          <w:pPr>
            <w:pStyle w:val="18"/>
            <w:tabs>
              <w:tab w:val="right" w:leader="dot" w:pos="8306"/>
            </w:tabs>
            <w:rPr>
              <w:color w:val="auto"/>
            </w:rPr>
          </w:pPr>
          <w:r>
            <w:rPr>
              <w:rFonts w:cs="Times New Roman"/>
              <w:color w:val="auto"/>
              <w:szCs w:val="36"/>
            </w:rPr>
            <w:fldChar w:fldCharType="begin"/>
          </w:r>
          <w:r>
            <w:rPr>
              <w:rFonts w:cs="Times New Roman"/>
              <w:color w:val="auto"/>
              <w:szCs w:val="36"/>
            </w:rPr>
            <w:instrText xml:space="preserve"> HYPERLINK \l _Toc25772 </w:instrText>
          </w:r>
          <w:r>
            <w:rPr>
              <w:rFonts w:cs="Times New Roman"/>
              <w:color w:val="auto"/>
              <w:szCs w:val="36"/>
            </w:rPr>
            <w:fldChar w:fldCharType="separate"/>
          </w:r>
          <w:r>
            <w:rPr>
              <w:rFonts w:hint="eastAsia"/>
              <w:bCs/>
              <w:color w:val="auto"/>
              <w:szCs w:val="28"/>
              <w:lang w:val="en-US" w:eastAsia="zh-CN"/>
            </w:rPr>
            <w:t>五、 环境保护措施监督检查清单</w:t>
          </w:r>
          <w:r>
            <w:rPr>
              <w:color w:val="auto"/>
            </w:rPr>
            <w:tab/>
          </w:r>
          <w:r>
            <w:rPr>
              <w:color w:val="auto"/>
            </w:rPr>
            <w:fldChar w:fldCharType="begin"/>
          </w:r>
          <w:r>
            <w:rPr>
              <w:color w:val="auto"/>
            </w:rPr>
            <w:instrText xml:space="preserve"> PAGEREF _Toc25772 \h </w:instrText>
          </w:r>
          <w:r>
            <w:rPr>
              <w:color w:val="auto"/>
            </w:rPr>
            <w:fldChar w:fldCharType="separate"/>
          </w:r>
          <w:r>
            <w:rPr>
              <w:color w:val="auto"/>
            </w:rPr>
            <w:t>82</w:t>
          </w:r>
          <w:r>
            <w:rPr>
              <w:color w:val="auto"/>
            </w:rPr>
            <w:fldChar w:fldCharType="end"/>
          </w:r>
          <w:r>
            <w:rPr>
              <w:rFonts w:cs="Times New Roman"/>
              <w:color w:val="auto"/>
              <w:szCs w:val="36"/>
            </w:rPr>
            <w:fldChar w:fldCharType="end"/>
          </w:r>
        </w:p>
        <w:p w14:paraId="3A45780A">
          <w:pPr>
            <w:pStyle w:val="18"/>
            <w:tabs>
              <w:tab w:val="right" w:leader="dot" w:pos="8306"/>
            </w:tabs>
            <w:rPr>
              <w:color w:val="auto"/>
            </w:rPr>
          </w:pPr>
          <w:r>
            <w:rPr>
              <w:rFonts w:cs="Times New Roman"/>
              <w:color w:val="auto"/>
              <w:szCs w:val="36"/>
            </w:rPr>
            <w:fldChar w:fldCharType="begin"/>
          </w:r>
          <w:r>
            <w:rPr>
              <w:rFonts w:cs="Times New Roman"/>
              <w:color w:val="auto"/>
              <w:szCs w:val="36"/>
            </w:rPr>
            <w:instrText xml:space="preserve"> HYPERLINK \l _Toc1497 </w:instrText>
          </w:r>
          <w:r>
            <w:rPr>
              <w:rFonts w:cs="Times New Roman"/>
              <w:color w:val="auto"/>
              <w:szCs w:val="36"/>
            </w:rPr>
            <w:fldChar w:fldCharType="separate"/>
          </w:r>
          <w:r>
            <w:rPr>
              <w:rFonts w:hint="eastAsia"/>
              <w:bCs/>
              <w:color w:val="auto"/>
              <w:szCs w:val="28"/>
              <w:lang w:val="en-US" w:eastAsia="zh-CN"/>
            </w:rPr>
            <w:t>六、 结论</w:t>
          </w:r>
          <w:r>
            <w:rPr>
              <w:color w:val="auto"/>
            </w:rPr>
            <w:tab/>
          </w:r>
          <w:r>
            <w:rPr>
              <w:color w:val="auto"/>
            </w:rPr>
            <w:fldChar w:fldCharType="begin"/>
          </w:r>
          <w:r>
            <w:rPr>
              <w:color w:val="auto"/>
            </w:rPr>
            <w:instrText xml:space="preserve"> PAGEREF _Toc1497 \h </w:instrText>
          </w:r>
          <w:r>
            <w:rPr>
              <w:color w:val="auto"/>
            </w:rPr>
            <w:fldChar w:fldCharType="separate"/>
          </w:r>
          <w:r>
            <w:rPr>
              <w:color w:val="auto"/>
            </w:rPr>
            <w:t>84</w:t>
          </w:r>
          <w:r>
            <w:rPr>
              <w:color w:val="auto"/>
            </w:rPr>
            <w:fldChar w:fldCharType="end"/>
          </w:r>
          <w:r>
            <w:rPr>
              <w:rFonts w:cs="Times New Roman"/>
              <w:color w:val="auto"/>
              <w:szCs w:val="36"/>
            </w:rPr>
            <w:fldChar w:fldCharType="end"/>
          </w:r>
        </w:p>
        <w:p w14:paraId="592AEE10">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left="0" w:leftChars="0" w:right="0" w:rightChars="0" w:firstLine="0" w:firstLineChars="0"/>
            <w:jc w:val="center"/>
            <w:textAlignment w:val="auto"/>
            <w:rPr>
              <w:rFonts w:cs="Times New Roman"/>
              <w:color w:val="auto"/>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cs="Times New Roman"/>
              <w:color w:val="auto"/>
              <w:szCs w:val="36"/>
            </w:rPr>
            <w:fldChar w:fldCharType="end"/>
          </w:r>
        </w:p>
      </w:sdtContent>
    </w:sdt>
    <w:p w14:paraId="246E3ED8">
      <w:pPr>
        <w:adjustRightInd w:val="0"/>
        <w:snapToGrid w:val="0"/>
        <w:spacing w:line="360" w:lineRule="auto"/>
        <w:ind w:firstLine="482" w:firstLineChars="200"/>
        <w:rPr>
          <w:rFonts w:eastAsiaTheme="minorEastAsia"/>
          <w:b/>
          <w:color w:val="auto"/>
          <w:sz w:val="24"/>
        </w:rPr>
      </w:pPr>
      <w:r>
        <w:rPr>
          <w:rFonts w:hAnsiTheme="minorEastAsia" w:eastAsiaTheme="minorEastAsia"/>
          <w:b/>
          <w:color w:val="auto"/>
          <w:sz w:val="24"/>
        </w:rPr>
        <w:t>附件</w:t>
      </w:r>
    </w:p>
    <w:p w14:paraId="35705072">
      <w:pPr>
        <w:adjustRightInd w:val="0"/>
        <w:snapToGrid w:val="0"/>
        <w:spacing w:line="360" w:lineRule="auto"/>
        <w:ind w:firstLine="480" w:firstLineChars="200"/>
        <w:rPr>
          <w:rFonts w:hint="eastAsia" w:eastAsiaTheme="minorEastAsia"/>
          <w:color w:val="auto"/>
          <w:sz w:val="24"/>
          <w:lang w:eastAsia="zh-CN"/>
        </w:rPr>
      </w:pPr>
      <w:r>
        <w:rPr>
          <w:rFonts w:hAnsiTheme="minorEastAsia" w:eastAsiaTheme="minorEastAsia"/>
          <w:color w:val="auto"/>
          <w:sz w:val="24"/>
        </w:rPr>
        <w:t>附件</w:t>
      </w:r>
      <w:r>
        <w:rPr>
          <w:rFonts w:hint="eastAsia" w:eastAsiaTheme="minorEastAsia"/>
          <w:color w:val="auto"/>
          <w:sz w:val="24"/>
          <w:lang w:val="en-US" w:eastAsia="zh-CN"/>
        </w:rPr>
        <w:t>1项目</w:t>
      </w:r>
      <w:r>
        <w:rPr>
          <w:rFonts w:hint="eastAsia" w:hAnsiTheme="minorEastAsia" w:eastAsiaTheme="minorEastAsia"/>
          <w:color w:val="auto"/>
          <w:sz w:val="24"/>
          <w:lang w:eastAsia="zh-CN"/>
        </w:rPr>
        <w:t>可行性研究报告的批复</w:t>
      </w:r>
    </w:p>
    <w:p w14:paraId="5DBD2DF5">
      <w:pPr>
        <w:adjustRightInd w:val="0"/>
        <w:snapToGrid w:val="0"/>
        <w:spacing w:line="360" w:lineRule="auto"/>
        <w:ind w:firstLine="480" w:firstLineChars="200"/>
        <w:rPr>
          <w:rFonts w:eastAsiaTheme="minorEastAsia"/>
          <w:color w:val="auto"/>
          <w:sz w:val="24"/>
        </w:rPr>
      </w:pPr>
      <w:r>
        <w:rPr>
          <w:rFonts w:hAnsiTheme="minorEastAsia" w:eastAsiaTheme="minorEastAsia"/>
          <w:color w:val="auto"/>
          <w:sz w:val="24"/>
        </w:rPr>
        <w:t>附件</w:t>
      </w:r>
      <w:r>
        <w:rPr>
          <w:rFonts w:hint="eastAsia" w:eastAsiaTheme="minorEastAsia"/>
          <w:color w:val="auto"/>
          <w:sz w:val="24"/>
          <w:lang w:val="en-US" w:eastAsia="zh-CN"/>
        </w:rPr>
        <w:t>2环评</w:t>
      </w:r>
      <w:r>
        <w:rPr>
          <w:rFonts w:hAnsiTheme="minorEastAsia" w:eastAsiaTheme="minorEastAsia"/>
          <w:color w:val="auto"/>
          <w:sz w:val="24"/>
        </w:rPr>
        <w:t>委托书</w:t>
      </w:r>
    </w:p>
    <w:p w14:paraId="77A9DB28">
      <w:pPr>
        <w:adjustRightInd w:val="0"/>
        <w:snapToGrid w:val="0"/>
        <w:spacing w:line="360" w:lineRule="auto"/>
        <w:ind w:firstLine="480" w:firstLineChars="200"/>
        <w:rPr>
          <w:rFonts w:hint="eastAsia" w:eastAsiaTheme="minorEastAsia"/>
          <w:color w:val="auto"/>
          <w:sz w:val="24"/>
          <w:lang w:val="en-US" w:eastAsia="zh-CN"/>
        </w:rPr>
      </w:pPr>
      <w:r>
        <w:rPr>
          <w:rFonts w:hAnsiTheme="minorEastAsia" w:eastAsiaTheme="minorEastAsia"/>
          <w:color w:val="auto"/>
          <w:sz w:val="24"/>
        </w:rPr>
        <w:t>附件</w:t>
      </w:r>
      <w:r>
        <w:rPr>
          <w:rFonts w:hint="eastAsia" w:eastAsiaTheme="minorEastAsia"/>
          <w:color w:val="auto"/>
          <w:sz w:val="24"/>
          <w:lang w:val="en-US" w:eastAsia="zh-CN"/>
        </w:rPr>
        <w:t>3项目用地红线文件</w:t>
      </w:r>
    </w:p>
    <w:p w14:paraId="45E9A6B6">
      <w:pPr>
        <w:adjustRightInd w:val="0"/>
        <w:snapToGrid w:val="0"/>
        <w:spacing w:line="360" w:lineRule="auto"/>
        <w:ind w:firstLine="480" w:firstLineChars="200"/>
        <w:rPr>
          <w:rFonts w:hint="default" w:hAnsiTheme="minorEastAsia" w:eastAsiaTheme="minorEastAsia"/>
          <w:color w:val="auto"/>
          <w:sz w:val="24"/>
          <w:lang w:val="en-US" w:eastAsia="zh-CN"/>
        </w:rPr>
      </w:pPr>
      <w:r>
        <w:rPr>
          <w:rFonts w:hint="eastAsia" w:hAnsiTheme="minorEastAsia" w:eastAsiaTheme="minorEastAsia"/>
          <w:color w:val="auto"/>
          <w:sz w:val="24"/>
          <w:lang w:val="en-US" w:eastAsia="zh-CN"/>
        </w:rPr>
        <w:t>附件4</w:t>
      </w:r>
      <w:r>
        <w:rPr>
          <w:rFonts w:hAnsiTheme="minorEastAsia" w:eastAsiaTheme="minorEastAsia"/>
          <w:color w:val="auto"/>
          <w:sz w:val="24"/>
        </w:rPr>
        <w:t>危险废物处置承诺书</w:t>
      </w:r>
    </w:p>
    <w:p w14:paraId="3D7579FE">
      <w:pPr>
        <w:adjustRightInd w:val="0"/>
        <w:snapToGrid w:val="0"/>
        <w:spacing w:line="360" w:lineRule="auto"/>
        <w:ind w:firstLine="480" w:firstLineChars="200"/>
        <w:rPr>
          <w:rFonts w:eastAsiaTheme="minorEastAsia"/>
          <w:color w:val="auto"/>
          <w:sz w:val="24"/>
        </w:rPr>
      </w:pPr>
      <w:r>
        <w:rPr>
          <w:rFonts w:hAnsiTheme="minorEastAsia" w:eastAsiaTheme="minorEastAsia"/>
          <w:color w:val="auto"/>
          <w:sz w:val="24"/>
        </w:rPr>
        <w:t>附件</w:t>
      </w:r>
      <w:r>
        <w:rPr>
          <w:rFonts w:hint="eastAsia" w:eastAsiaTheme="minorEastAsia"/>
          <w:color w:val="auto"/>
          <w:sz w:val="24"/>
          <w:lang w:val="en-US" w:eastAsia="zh-CN"/>
        </w:rPr>
        <w:t>5</w:t>
      </w:r>
      <w:r>
        <w:rPr>
          <w:rFonts w:hint="eastAsia" w:hAnsiTheme="minorEastAsia" w:eastAsiaTheme="minorEastAsia"/>
          <w:color w:val="auto"/>
          <w:sz w:val="24"/>
          <w:lang w:eastAsia="zh-CN"/>
        </w:rPr>
        <w:t>噪声</w:t>
      </w:r>
      <w:r>
        <w:rPr>
          <w:rFonts w:hAnsiTheme="minorEastAsia" w:eastAsiaTheme="minorEastAsia"/>
          <w:color w:val="auto"/>
          <w:sz w:val="24"/>
        </w:rPr>
        <w:t>监测报告</w:t>
      </w:r>
    </w:p>
    <w:p w14:paraId="6922A680">
      <w:pPr>
        <w:adjustRightInd w:val="0"/>
        <w:snapToGrid w:val="0"/>
        <w:spacing w:line="360" w:lineRule="auto"/>
        <w:ind w:firstLine="480" w:firstLineChars="200"/>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附件</w:t>
      </w:r>
      <w:r>
        <w:rPr>
          <w:rFonts w:hint="eastAsia" w:cs="Times New Roman" w:eastAsiaTheme="minorEastAsia"/>
          <w:color w:val="auto"/>
          <w:sz w:val="24"/>
          <w:highlight w:val="none"/>
          <w:lang w:val="en-US" w:eastAsia="zh-CN"/>
        </w:rPr>
        <w:t>6生态环境</w:t>
      </w:r>
      <w:r>
        <w:rPr>
          <w:rFonts w:hint="default" w:ascii="Times New Roman" w:hAnsi="Times New Roman" w:cs="Times New Roman" w:eastAsiaTheme="minorEastAsia"/>
          <w:color w:val="auto"/>
          <w:sz w:val="24"/>
          <w:highlight w:val="none"/>
        </w:rPr>
        <w:t>分区管控综合查询报告</w:t>
      </w:r>
    </w:p>
    <w:p w14:paraId="7533FBF4">
      <w:pPr>
        <w:adjustRightInd w:val="0"/>
        <w:snapToGrid w:val="0"/>
        <w:spacing w:line="360" w:lineRule="auto"/>
        <w:ind w:firstLine="480" w:firstLineChars="200"/>
        <w:rPr>
          <w:rFonts w:hint="default" w:hAnsiTheme="minorEastAsia" w:eastAsiaTheme="minorEastAsia"/>
          <w:color w:val="auto"/>
          <w:sz w:val="24"/>
          <w:lang w:val="en-US" w:eastAsia="zh-CN"/>
        </w:rPr>
      </w:pPr>
      <w:r>
        <w:rPr>
          <w:rFonts w:hint="eastAsia" w:hAnsiTheme="minorEastAsia" w:eastAsiaTheme="minorEastAsia"/>
          <w:color w:val="auto"/>
          <w:sz w:val="24"/>
          <w:lang w:eastAsia="zh-CN"/>
        </w:rPr>
        <w:t>附件</w:t>
      </w:r>
      <w:r>
        <w:rPr>
          <w:rFonts w:hint="eastAsia" w:hAnsiTheme="minorEastAsia" w:eastAsiaTheme="minorEastAsia"/>
          <w:color w:val="auto"/>
          <w:sz w:val="24"/>
          <w:lang w:val="en-US" w:eastAsia="zh-CN"/>
        </w:rPr>
        <w:t>7医院现有环评批复、验收材料</w:t>
      </w:r>
    </w:p>
    <w:p w14:paraId="1DCCD383">
      <w:pPr>
        <w:adjustRightInd w:val="0"/>
        <w:snapToGrid w:val="0"/>
        <w:spacing w:line="360" w:lineRule="auto"/>
        <w:ind w:firstLine="480" w:firstLineChars="200"/>
        <w:rPr>
          <w:rFonts w:hAnsiTheme="minorEastAsia" w:eastAsiaTheme="minorEastAsia"/>
          <w:color w:val="auto"/>
          <w:sz w:val="24"/>
        </w:rPr>
      </w:pPr>
      <w:r>
        <w:rPr>
          <w:rFonts w:hint="eastAsia" w:hAnsiTheme="minorEastAsia" w:eastAsiaTheme="minorEastAsia"/>
          <w:color w:val="auto"/>
          <w:sz w:val="24"/>
        </w:rPr>
        <w:t>附件8医疗机构卫生许可证及法人证书</w:t>
      </w:r>
    </w:p>
    <w:p w14:paraId="23F55024">
      <w:pPr>
        <w:adjustRightInd w:val="0"/>
        <w:snapToGrid w:val="0"/>
        <w:spacing w:line="360" w:lineRule="auto"/>
        <w:ind w:firstLine="480" w:firstLineChars="200"/>
        <w:rPr>
          <w:rFonts w:hAnsiTheme="minorEastAsia" w:eastAsiaTheme="minorEastAsia"/>
          <w:color w:val="auto"/>
          <w:sz w:val="24"/>
        </w:rPr>
      </w:pPr>
      <w:r>
        <w:rPr>
          <w:rFonts w:hAnsiTheme="minorEastAsia" w:eastAsiaTheme="minorEastAsia"/>
          <w:color w:val="auto"/>
          <w:sz w:val="24"/>
        </w:rPr>
        <w:t>附件</w:t>
      </w:r>
      <w:r>
        <w:rPr>
          <w:rFonts w:hint="eastAsia" w:eastAsiaTheme="minorEastAsia"/>
          <w:color w:val="auto"/>
          <w:sz w:val="24"/>
          <w:lang w:val="en-US" w:eastAsia="zh-CN"/>
        </w:rPr>
        <w:t>9</w:t>
      </w:r>
      <w:r>
        <w:rPr>
          <w:rFonts w:hAnsiTheme="minorEastAsia" w:eastAsiaTheme="minorEastAsia"/>
          <w:color w:val="auto"/>
          <w:sz w:val="24"/>
        </w:rPr>
        <w:t>政府信息公开删除内容申请表</w:t>
      </w:r>
    </w:p>
    <w:p w14:paraId="3CC163FA">
      <w:pPr>
        <w:adjustRightInd w:val="0"/>
        <w:snapToGrid w:val="0"/>
        <w:spacing w:line="360" w:lineRule="auto"/>
        <w:ind w:firstLine="480" w:firstLineChars="200"/>
        <w:rPr>
          <w:rFonts w:hint="eastAsia" w:hAnsiTheme="minorEastAsia" w:eastAsiaTheme="minorEastAsia"/>
          <w:color w:val="auto"/>
          <w:sz w:val="24"/>
          <w:lang w:eastAsia="zh-CN"/>
        </w:rPr>
      </w:pPr>
      <w:r>
        <w:rPr>
          <w:rFonts w:hint="eastAsia" w:hAnsiTheme="minorEastAsia" w:eastAsiaTheme="minorEastAsia"/>
          <w:color w:val="auto"/>
          <w:sz w:val="24"/>
        </w:rPr>
        <w:t>附件10环评文件</w:t>
      </w:r>
      <w:r>
        <w:rPr>
          <w:rFonts w:hint="eastAsia" w:hAnsiTheme="minorEastAsia" w:eastAsiaTheme="minorEastAsia"/>
          <w:color w:val="auto"/>
          <w:sz w:val="24"/>
          <w:lang w:eastAsia="zh-CN"/>
        </w:rPr>
        <w:t>确认函</w:t>
      </w:r>
    </w:p>
    <w:p w14:paraId="44B2855C">
      <w:pPr>
        <w:adjustRightInd w:val="0"/>
        <w:snapToGrid w:val="0"/>
        <w:spacing w:line="360" w:lineRule="auto"/>
        <w:ind w:firstLine="480" w:firstLineChars="200"/>
        <w:rPr>
          <w:rFonts w:hint="eastAsia" w:hAnsiTheme="minorEastAsia" w:eastAsiaTheme="minorEastAsia"/>
          <w:color w:val="auto"/>
          <w:sz w:val="24"/>
          <w:lang w:eastAsia="zh-CN"/>
        </w:rPr>
      </w:pPr>
      <w:r>
        <w:rPr>
          <w:rFonts w:hAnsiTheme="minorEastAsia" w:eastAsiaTheme="minorEastAsia"/>
          <w:color w:val="auto"/>
          <w:sz w:val="24"/>
        </w:rPr>
        <w:t>附件</w:t>
      </w:r>
      <w:r>
        <w:rPr>
          <w:rFonts w:hint="eastAsia" w:eastAsiaTheme="minorEastAsia"/>
          <w:color w:val="auto"/>
          <w:sz w:val="24"/>
          <w:lang w:val="en-US" w:eastAsia="zh-CN"/>
        </w:rPr>
        <w:t>11</w:t>
      </w:r>
      <w:r>
        <w:rPr>
          <w:rFonts w:hint="eastAsia" w:hAnsiTheme="minorEastAsia" w:eastAsiaTheme="minorEastAsia"/>
          <w:color w:val="auto"/>
          <w:sz w:val="24"/>
          <w:lang w:val="en-US" w:eastAsia="zh-CN"/>
        </w:rPr>
        <w:t>建设项目</w:t>
      </w:r>
      <w:r>
        <w:rPr>
          <w:rFonts w:hint="eastAsia" w:hAnsiTheme="minorEastAsia" w:eastAsiaTheme="minorEastAsia"/>
          <w:color w:val="auto"/>
          <w:sz w:val="24"/>
          <w:lang w:eastAsia="zh-CN"/>
        </w:rPr>
        <w:t>环境影响评价文件报批申请书</w:t>
      </w:r>
    </w:p>
    <w:p w14:paraId="17BFBBC3">
      <w:pPr>
        <w:adjustRightInd w:val="0"/>
        <w:snapToGrid w:val="0"/>
        <w:spacing w:line="360" w:lineRule="auto"/>
        <w:ind w:firstLine="480" w:firstLineChars="200"/>
        <w:rPr>
          <w:rFonts w:hint="eastAsia" w:hAnsiTheme="minorEastAsia" w:eastAsiaTheme="minorEastAsia"/>
          <w:color w:val="auto"/>
          <w:sz w:val="24"/>
          <w:lang w:eastAsia="zh-CN"/>
        </w:rPr>
      </w:pPr>
      <w:r>
        <w:rPr>
          <w:rFonts w:hAnsiTheme="minorEastAsia" w:eastAsiaTheme="minorEastAsia"/>
          <w:color w:val="auto"/>
          <w:sz w:val="24"/>
        </w:rPr>
        <w:t>附件</w:t>
      </w:r>
      <w:r>
        <w:rPr>
          <w:rFonts w:hint="eastAsia" w:eastAsiaTheme="minorEastAsia"/>
          <w:color w:val="auto"/>
          <w:sz w:val="24"/>
          <w:lang w:val="en-US" w:eastAsia="zh-CN"/>
        </w:rPr>
        <w:t>12</w:t>
      </w:r>
      <w:r>
        <w:rPr>
          <w:rFonts w:hint="eastAsia" w:hAnsiTheme="minorEastAsia" w:eastAsiaTheme="minorEastAsia"/>
          <w:color w:val="auto"/>
          <w:sz w:val="24"/>
          <w:lang w:val="en-US" w:eastAsia="zh-CN"/>
        </w:rPr>
        <w:t>建设项目</w:t>
      </w:r>
      <w:r>
        <w:rPr>
          <w:rFonts w:hint="eastAsia" w:hAnsiTheme="minorEastAsia" w:eastAsiaTheme="minorEastAsia"/>
          <w:color w:val="auto"/>
          <w:sz w:val="24"/>
          <w:lang w:eastAsia="zh-CN"/>
        </w:rPr>
        <w:t>现场勘查记录表</w:t>
      </w:r>
    </w:p>
    <w:p w14:paraId="319937C0">
      <w:pPr>
        <w:adjustRightInd w:val="0"/>
        <w:snapToGrid w:val="0"/>
        <w:spacing w:line="360" w:lineRule="auto"/>
        <w:ind w:firstLine="480" w:firstLineChars="200"/>
        <w:rPr>
          <w:rFonts w:hAnsiTheme="minorEastAsia" w:eastAsiaTheme="minorEastAsia"/>
          <w:color w:val="auto"/>
          <w:sz w:val="24"/>
        </w:rPr>
      </w:pPr>
      <w:r>
        <w:rPr>
          <w:rFonts w:hAnsiTheme="minorEastAsia" w:eastAsiaTheme="minorEastAsia"/>
          <w:color w:val="auto"/>
          <w:sz w:val="24"/>
        </w:rPr>
        <w:t>附件</w:t>
      </w:r>
      <w:r>
        <w:rPr>
          <w:rFonts w:hint="eastAsia" w:eastAsiaTheme="minorEastAsia"/>
          <w:color w:val="auto"/>
          <w:sz w:val="24"/>
          <w:lang w:val="en-US" w:eastAsia="zh-CN"/>
        </w:rPr>
        <w:t>13</w:t>
      </w:r>
      <w:r>
        <w:rPr>
          <w:rFonts w:hint="eastAsia" w:hAnsiTheme="minorEastAsia" w:eastAsiaTheme="minorEastAsia"/>
          <w:color w:val="auto"/>
          <w:sz w:val="24"/>
          <w:lang w:val="en-US" w:eastAsia="zh-CN"/>
        </w:rPr>
        <w:t>环评工程师现场核实图片、视频</w:t>
      </w:r>
    </w:p>
    <w:p w14:paraId="213E3B05">
      <w:pPr>
        <w:adjustRightInd w:val="0"/>
        <w:snapToGrid w:val="0"/>
        <w:spacing w:line="360" w:lineRule="auto"/>
        <w:rPr>
          <w:rFonts w:hint="eastAsia" w:eastAsiaTheme="minorEastAsia"/>
          <w:b/>
          <w:bCs/>
          <w:color w:val="auto"/>
          <w:sz w:val="24"/>
        </w:rPr>
      </w:pPr>
      <w:r>
        <w:rPr>
          <w:rFonts w:hAnsiTheme="minorEastAsia" w:eastAsiaTheme="minorEastAsia"/>
          <w:color w:val="auto"/>
          <w:sz w:val="24"/>
        </w:rPr>
        <w:t>附件</w:t>
      </w:r>
      <w:r>
        <w:rPr>
          <w:rFonts w:hint="eastAsia" w:eastAsiaTheme="minorEastAsia"/>
          <w:color w:val="auto"/>
          <w:sz w:val="24"/>
          <w:lang w:val="en-US" w:eastAsia="zh-CN"/>
        </w:rPr>
        <w:t>14</w:t>
      </w:r>
      <w:r>
        <w:rPr>
          <w:rFonts w:hint="eastAsia" w:hAnsiTheme="minorEastAsia" w:eastAsiaTheme="minorEastAsia"/>
          <w:color w:val="auto"/>
          <w:sz w:val="24"/>
          <w:lang w:val="en-US" w:eastAsia="zh-CN"/>
        </w:rPr>
        <w:t>环评合同</w:t>
      </w:r>
    </w:p>
    <w:p w14:paraId="43D43804">
      <w:pPr>
        <w:adjustRightInd w:val="0"/>
        <w:snapToGrid w:val="0"/>
        <w:spacing w:line="360" w:lineRule="auto"/>
        <w:ind w:firstLine="480" w:firstLineChars="200"/>
        <w:rPr>
          <w:rFonts w:hAnsiTheme="minorEastAsia" w:eastAsiaTheme="minorEastAsia"/>
          <w:color w:val="auto"/>
          <w:sz w:val="24"/>
        </w:rPr>
      </w:pPr>
      <w:r>
        <w:rPr>
          <w:rFonts w:hint="eastAsia" w:hAnsiTheme="minorEastAsia" w:eastAsiaTheme="minorEastAsia"/>
          <w:color w:val="auto"/>
          <w:sz w:val="24"/>
        </w:rPr>
        <w:t>附件15废气排放总量指标使用凭证</w:t>
      </w:r>
    </w:p>
    <w:p w14:paraId="38B1B3AA">
      <w:pPr>
        <w:adjustRightInd w:val="0"/>
        <w:snapToGrid w:val="0"/>
        <w:spacing w:line="360" w:lineRule="auto"/>
        <w:rPr>
          <w:rFonts w:hint="eastAsia" w:eastAsiaTheme="minorEastAsia"/>
          <w:b w:val="0"/>
          <w:bCs w:val="0"/>
          <w:color w:val="auto"/>
          <w:sz w:val="24"/>
        </w:rPr>
      </w:pPr>
      <w:r>
        <w:rPr>
          <w:rFonts w:hint="eastAsia" w:eastAsiaTheme="minorEastAsia"/>
          <w:b w:val="0"/>
          <w:bCs w:val="0"/>
          <w:color w:val="auto"/>
          <w:sz w:val="24"/>
        </w:rPr>
        <w:t>附件16</w:t>
      </w:r>
      <w:r>
        <w:rPr>
          <w:rFonts w:hint="eastAsia" w:eastAsiaTheme="minorEastAsia"/>
          <w:b w:val="0"/>
          <w:bCs w:val="0"/>
          <w:color w:val="auto"/>
          <w:sz w:val="24"/>
          <w:lang w:eastAsia="zh-CN"/>
        </w:rPr>
        <w:t>排</w:t>
      </w:r>
      <w:r>
        <w:rPr>
          <w:rFonts w:hint="eastAsia" w:eastAsiaTheme="minorEastAsia"/>
          <w:b w:val="0"/>
          <w:bCs w:val="0"/>
          <w:color w:val="auto"/>
          <w:sz w:val="24"/>
        </w:rPr>
        <w:t>放水污染物总量申请表</w:t>
      </w:r>
    </w:p>
    <w:p w14:paraId="725B2665">
      <w:pPr>
        <w:adjustRightInd w:val="0"/>
        <w:snapToGrid w:val="0"/>
        <w:spacing w:line="360" w:lineRule="auto"/>
        <w:ind w:left="1540" w:leftChars="240" w:hanging="964" w:hangingChars="400"/>
        <w:rPr>
          <w:rFonts w:eastAsiaTheme="minorEastAsia"/>
          <w:b/>
          <w:bCs/>
          <w:color w:val="auto"/>
          <w:sz w:val="24"/>
        </w:rPr>
      </w:pPr>
      <w:r>
        <w:rPr>
          <w:rFonts w:hint="eastAsia" w:eastAsiaTheme="minorEastAsia"/>
          <w:b/>
          <w:bCs/>
          <w:color w:val="auto"/>
          <w:sz w:val="24"/>
        </w:rPr>
        <w:t>附图</w:t>
      </w:r>
    </w:p>
    <w:p w14:paraId="1FC892D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eastAsiaTheme="minorEastAsia"/>
          <w:color w:val="auto"/>
          <w:sz w:val="24"/>
        </w:rPr>
      </w:pPr>
      <w:r>
        <w:rPr>
          <w:rFonts w:hAnsiTheme="minorEastAsia" w:eastAsiaTheme="minorEastAsia"/>
          <w:color w:val="auto"/>
          <w:sz w:val="24"/>
        </w:rPr>
        <w:t>附图</w:t>
      </w:r>
      <w:r>
        <w:rPr>
          <w:rFonts w:hint="eastAsia" w:eastAsiaTheme="minorEastAsia"/>
          <w:color w:val="auto"/>
          <w:sz w:val="24"/>
          <w:lang w:val="en-US" w:eastAsia="zh-CN"/>
        </w:rPr>
        <w:t>1  建设项目</w:t>
      </w:r>
      <w:r>
        <w:rPr>
          <w:rFonts w:hAnsiTheme="minorEastAsia" w:eastAsiaTheme="minorEastAsia"/>
          <w:color w:val="auto"/>
          <w:sz w:val="24"/>
        </w:rPr>
        <w:t>与江苏省国家级生态保护红线位置关系图</w:t>
      </w:r>
    </w:p>
    <w:p w14:paraId="0443633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eastAsiaTheme="minorEastAsia"/>
          <w:color w:val="auto"/>
          <w:sz w:val="24"/>
        </w:rPr>
      </w:pPr>
      <w:r>
        <w:rPr>
          <w:rFonts w:hAnsiTheme="minorEastAsia" w:eastAsiaTheme="minorEastAsia"/>
          <w:color w:val="auto"/>
          <w:sz w:val="24"/>
        </w:rPr>
        <w:t>附图</w:t>
      </w:r>
      <w:r>
        <w:rPr>
          <w:rFonts w:hint="eastAsia" w:eastAsiaTheme="minorEastAsia"/>
          <w:color w:val="auto"/>
          <w:sz w:val="24"/>
          <w:lang w:val="en-US" w:eastAsia="zh-CN"/>
        </w:rPr>
        <w:t>2  建设项目</w:t>
      </w:r>
      <w:r>
        <w:rPr>
          <w:rFonts w:hAnsiTheme="minorEastAsia" w:eastAsiaTheme="minorEastAsia"/>
          <w:color w:val="auto"/>
          <w:sz w:val="24"/>
        </w:rPr>
        <w:t>与江苏省生态空间保护区域位置关系图</w:t>
      </w:r>
    </w:p>
    <w:p w14:paraId="5AEB741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eastAsiaTheme="minorEastAsia"/>
          <w:color w:val="auto"/>
          <w:sz w:val="24"/>
        </w:rPr>
      </w:pPr>
      <w:r>
        <w:rPr>
          <w:rFonts w:hAnsiTheme="minorEastAsia" w:eastAsiaTheme="minorEastAsia"/>
          <w:color w:val="auto"/>
          <w:sz w:val="24"/>
        </w:rPr>
        <w:t>附图</w:t>
      </w:r>
      <w:r>
        <w:rPr>
          <w:rFonts w:hint="eastAsia" w:eastAsiaTheme="minorEastAsia"/>
          <w:color w:val="auto"/>
          <w:sz w:val="24"/>
          <w:lang w:val="en-US" w:eastAsia="zh-CN"/>
        </w:rPr>
        <w:t>3  建设项目</w:t>
      </w:r>
      <w:r>
        <w:rPr>
          <w:rFonts w:hAnsiTheme="minorEastAsia" w:eastAsiaTheme="minorEastAsia"/>
          <w:color w:val="auto"/>
          <w:sz w:val="24"/>
        </w:rPr>
        <w:t>与淮安市环境管控单元位置关系图</w:t>
      </w:r>
    </w:p>
    <w:p w14:paraId="3D3A827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AnsiTheme="minorEastAsia" w:eastAsiaTheme="minorEastAsia"/>
          <w:color w:val="auto"/>
          <w:sz w:val="24"/>
        </w:rPr>
      </w:pPr>
      <w:r>
        <w:rPr>
          <w:rFonts w:hAnsiTheme="minorEastAsia" w:eastAsiaTheme="minorEastAsia"/>
          <w:color w:val="auto"/>
          <w:sz w:val="24"/>
        </w:rPr>
        <w:t>附图</w:t>
      </w:r>
      <w:r>
        <w:rPr>
          <w:rFonts w:hint="eastAsia" w:eastAsiaTheme="minorEastAsia"/>
          <w:color w:val="auto"/>
          <w:sz w:val="24"/>
          <w:lang w:val="en-US" w:eastAsia="zh-CN"/>
        </w:rPr>
        <w:t>4  项目实验室</w:t>
      </w:r>
      <w:r>
        <w:rPr>
          <w:rFonts w:hint="eastAsia" w:hAnsiTheme="minorEastAsia" w:eastAsiaTheme="minorEastAsia"/>
          <w:color w:val="auto"/>
          <w:sz w:val="24"/>
          <w:lang w:val="en-US" w:eastAsia="zh-CN"/>
        </w:rPr>
        <w:t>总</w:t>
      </w:r>
      <w:r>
        <w:rPr>
          <w:rFonts w:hAnsiTheme="minorEastAsia" w:eastAsiaTheme="minorEastAsia"/>
          <w:color w:val="auto"/>
          <w:sz w:val="24"/>
        </w:rPr>
        <w:t>平面布置图</w:t>
      </w:r>
    </w:p>
    <w:p w14:paraId="6FF81BF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eastAsiaTheme="minorEastAsia"/>
          <w:color w:val="auto"/>
          <w:sz w:val="24"/>
        </w:rPr>
      </w:pPr>
      <w:r>
        <w:rPr>
          <w:rFonts w:hAnsiTheme="minorEastAsia" w:eastAsiaTheme="minorEastAsia"/>
          <w:color w:val="auto"/>
          <w:sz w:val="24"/>
        </w:rPr>
        <w:t>附图</w:t>
      </w:r>
      <w:r>
        <w:rPr>
          <w:rFonts w:hint="eastAsia" w:eastAsiaTheme="minorEastAsia"/>
          <w:color w:val="auto"/>
          <w:sz w:val="24"/>
          <w:lang w:val="en-US" w:eastAsia="zh-CN"/>
        </w:rPr>
        <w:t>5  项目噪声</w:t>
      </w:r>
      <w:r>
        <w:rPr>
          <w:rFonts w:hint="eastAsia" w:hAnsiTheme="minorEastAsia" w:eastAsiaTheme="minorEastAsia"/>
          <w:color w:val="auto"/>
          <w:sz w:val="24"/>
          <w:lang w:val="en-US" w:eastAsia="zh-CN"/>
        </w:rPr>
        <w:t>监测点位</w:t>
      </w:r>
      <w:r>
        <w:rPr>
          <w:rFonts w:hAnsiTheme="minorEastAsia" w:eastAsiaTheme="minorEastAsia"/>
          <w:color w:val="auto"/>
          <w:sz w:val="24"/>
        </w:rPr>
        <w:t>图</w:t>
      </w:r>
    </w:p>
    <w:p w14:paraId="20501D9E">
      <w:pPr>
        <w:keepNext w:val="0"/>
        <w:keepLines w:val="0"/>
        <w:pageBreakBefore w:val="0"/>
        <w:widowControl w:val="0"/>
        <w:tabs>
          <w:tab w:val="left" w:pos="4043"/>
        </w:tabs>
        <w:kinsoku/>
        <w:wordWrap/>
        <w:overflowPunct/>
        <w:topLinePunct w:val="0"/>
        <w:autoSpaceDE/>
        <w:autoSpaceDN/>
        <w:bidi w:val="0"/>
        <w:adjustRightInd w:val="0"/>
        <w:snapToGrid w:val="0"/>
        <w:spacing w:line="360" w:lineRule="auto"/>
        <w:ind w:left="0" w:leftChars="0" w:firstLine="480" w:firstLineChars="200"/>
        <w:textAlignment w:val="auto"/>
        <w:rPr>
          <w:rFonts w:eastAsiaTheme="minorEastAsia"/>
          <w:color w:val="auto"/>
          <w:sz w:val="24"/>
        </w:rPr>
      </w:pPr>
      <w:r>
        <w:rPr>
          <w:rFonts w:hAnsiTheme="minorEastAsia" w:eastAsiaTheme="minorEastAsia"/>
          <w:color w:val="auto"/>
          <w:sz w:val="24"/>
        </w:rPr>
        <w:t>附图</w:t>
      </w:r>
      <w:r>
        <w:rPr>
          <w:rFonts w:hint="eastAsia" w:eastAsiaTheme="minorEastAsia"/>
          <w:color w:val="auto"/>
          <w:sz w:val="24"/>
          <w:lang w:val="en-US" w:eastAsia="zh-CN"/>
        </w:rPr>
        <w:t>6  项目地理位置图</w:t>
      </w:r>
    </w:p>
    <w:p w14:paraId="215B1CB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AnsiTheme="minorEastAsia" w:eastAsiaTheme="minorEastAsia"/>
          <w:color w:val="auto"/>
          <w:sz w:val="24"/>
        </w:rPr>
      </w:pPr>
      <w:r>
        <w:rPr>
          <w:rFonts w:hAnsiTheme="minorEastAsia" w:eastAsiaTheme="minorEastAsia"/>
          <w:color w:val="auto"/>
          <w:sz w:val="24"/>
        </w:rPr>
        <w:t>附图</w:t>
      </w:r>
      <w:r>
        <w:rPr>
          <w:rFonts w:hint="eastAsia" w:eastAsiaTheme="minorEastAsia"/>
          <w:color w:val="auto"/>
          <w:sz w:val="24"/>
          <w:lang w:val="en-US" w:eastAsia="zh-CN"/>
        </w:rPr>
        <w:t>7  项目</w:t>
      </w:r>
      <w:r>
        <w:rPr>
          <w:rFonts w:hint="default" w:ascii="Times New Roman" w:hAnsi="Times New Roman" w:eastAsia="宋体" w:cs="Times New Roman"/>
          <w:color w:val="auto"/>
          <w:sz w:val="24"/>
        </w:rPr>
        <w:t>周边500m范围内</w:t>
      </w:r>
      <w:r>
        <w:rPr>
          <w:rFonts w:hint="eastAsia" w:ascii="Times New Roman" w:hAnsi="Times New Roman" w:eastAsia="宋体" w:cs="Times New Roman"/>
          <w:color w:val="auto"/>
          <w:sz w:val="24"/>
          <w:lang w:eastAsia="zh-CN"/>
        </w:rPr>
        <w:t>主要</w:t>
      </w:r>
      <w:r>
        <w:rPr>
          <w:rFonts w:hint="eastAsia" w:cs="Times New Roman"/>
          <w:color w:val="auto"/>
          <w:sz w:val="24"/>
          <w:lang w:eastAsia="zh-CN"/>
        </w:rPr>
        <w:t>环境保护目标分布图</w:t>
      </w:r>
    </w:p>
    <w:p w14:paraId="19F851CB">
      <w:pPr>
        <w:rPr>
          <w:color w:val="auto"/>
        </w:rPr>
      </w:pPr>
    </w:p>
    <w:p w14:paraId="7A1B3EEC">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outlineLvl w:val="9"/>
        <w:rPr>
          <w:rFonts w:hint="default"/>
          <w:b w:val="0"/>
          <w:bCs w:val="0"/>
          <w:color w:val="auto"/>
          <w:sz w:val="24"/>
          <w:szCs w:val="24"/>
          <w:lang w:val="en-US" w:eastAsia="zh-CN"/>
        </w:rPr>
      </w:pPr>
    </w:p>
    <w:p w14:paraId="420F7772">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outlineLvl w:val="9"/>
        <w:rPr>
          <w:rFonts w:hint="default"/>
          <w:b w:val="0"/>
          <w:bCs w:val="0"/>
          <w:color w:val="auto"/>
          <w:sz w:val="24"/>
          <w:szCs w:val="24"/>
          <w:lang w:val="en-US" w:eastAsia="zh-CN"/>
        </w:rPr>
      </w:pPr>
    </w:p>
    <w:p w14:paraId="1A6EB03A">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outlineLvl w:val="9"/>
        <w:rPr>
          <w:rFonts w:hint="default"/>
          <w:b w:val="0"/>
          <w:bCs w:val="0"/>
          <w:color w:val="auto"/>
          <w:sz w:val="24"/>
          <w:szCs w:val="24"/>
          <w:lang w:val="en-US" w:eastAsia="zh-CN"/>
        </w:rPr>
      </w:pPr>
    </w:p>
    <w:p w14:paraId="06F2664B">
      <w:pPr>
        <w:keepNext w:val="0"/>
        <w:keepLines w:val="0"/>
        <w:pageBreakBefore w:val="0"/>
        <w:widowControl/>
        <w:kinsoku/>
        <w:wordWrap/>
        <w:overflowPunct/>
        <w:topLinePunct w:val="0"/>
        <w:autoSpaceDE/>
        <w:autoSpaceDN/>
        <w:bidi w:val="0"/>
        <w:adjustRightInd/>
        <w:snapToGrid/>
        <w:ind w:left="0" w:leftChars="0" w:firstLine="0" w:firstLineChars="0"/>
        <w:jc w:val="left"/>
        <w:textAlignment w:val="auto"/>
        <w:outlineLvl w:val="9"/>
        <w:rPr>
          <w:rFonts w:hint="default"/>
          <w:b w:val="0"/>
          <w:bCs w:val="0"/>
          <w:color w:val="auto"/>
          <w:sz w:val="24"/>
          <w:szCs w:val="24"/>
          <w:lang w:val="en-US" w:eastAsia="zh-CN"/>
        </w:rPr>
      </w:pPr>
    </w:p>
    <w:p w14:paraId="458CD3B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rFonts w:hint="eastAsia"/>
          <w:b/>
          <w:bCs/>
          <w:color w:val="auto"/>
          <w:sz w:val="30"/>
          <w:szCs w:val="30"/>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36E94F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b/>
          <w:bCs/>
          <w:color w:val="auto"/>
          <w:sz w:val="30"/>
          <w:szCs w:val="30"/>
        </w:rPr>
      </w:pPr>
      <w:r>
        <w:rPr>
          <w:rFonts w:hint="eastAsia"/>
          <w:b/>
          <w:bCs/>
          <w:color w:val="auto"/>
          <w:sz w:val="30"/>
          <w:szCs w:val="30"/>
          <w:lang w:val="en-US" w:eastAsia="zh-CN"/>
        </w:rPr>
        <w:t>一、</w:t>
      </w:r>
      <w:r>
        <w:rPr>
          <w:rFonts w:hint="eastAsia"/>
          <w:b/>
          <w:bCs/>
          <w:color w:val="auto"/>
          <w:sz w:val="30"/>
          <w:szCs w:val="30"/>
        </w:rPr>
        <w:t>建设项目基本情况</w:t>
      </w:r>
      <w:bookmarkEnd w:id="3"/>
      <w:bookmarkEnd w:id="4"/>
    </w:p>
    <w:tbl>
      <w:tblPr>
        <w:tblStyle w:val="24"/>
        <w:tblW w:w="89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448"/>
        <w:gridCol w:w="1091"/>
        <w:gridCol w:w="2451"/>
        <w:gridCol w:w="1625"/>
        <w:gridCol w:w="3325"/>
      </w:tblGrid>
      <w:tr w14:paraId="38E65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352F04D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建设项目名称</w:t>
            </w:r>
          </w:p>
        </w:tc>
        <w:tc>
          <w:tcPr>
            <w:tcW w:w="7401" w:type="dxa"/>
            <w:gridSpan w:val="3"/>
            <w:vAlign w:val="center"/>
          </w:tcPr>
          <w:p w14:paraId="4329AED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涟水县人民医院教学科研楼建设项目</w:t>
            </w:r>
          </w:p>
        </w:tc>
      </w:tr>
      <w:tr w14:paraId="3F894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3FAAF15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项目代码</w:t>
            </w:r>
          </w:p>
        </w:tc>
        <w:tc>
          <w:tcPr>
            <w:tcW w:w="7401" w:type="dxa"/>
            <w:gridSpan w:val="3"/>
            <w:vAlign w:val="center"/>
          </w:tcPr>
          <w:p w14:paraId="353F802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2401-320826-04-01-242085</w:t>
            </w:r>
          </w:p>
        </w:tc>
      </w:tr>
      <w:tr w14:paraId="14CEA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03D5AFB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建设单位联系人</w:t>
            </w:r>
          </w:p>
        </w:tc>
        <w:tc>
          <w:tcPr>
            <w:tcW w:w="2451" w:type="dxa"/>
            <w:vAlign w:val="center"/>
          </w:tcPr>
          <w:p w14:paraId="3999644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王邃</w:t>
            </w:r>
          </w:p>
        </w:tc>
        <w:tc>
          <w:tcPr>
            <w:tcW w:w="1625" w:type="dxa"/>
            <w:vAlign w:val="center"/>
          </w:tcPr>
          <w:p w14:paraId="30C73E7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rPr>
            </w:pPr>
            <w:r>
              <w:rPr>
                <w:rFonts w:hint="eastAsia" w:cs="Times New Roman"/>
                <w:b/>
                <w:bCs/>
                <w:color w:val="auto"/>
                <w:sz w:val="21"/>
                <w:szCs w:val="21"/>
              </w:rPr>
              <w:t>联系方式</w:t>
            </w:r>
          </w:p>
        </w:tc>
        <w:tc>
          <w:tcPr>
            <w:tcW w:w="3325" w:type="dxa"/>
            <w:vAlign w:val="center"/>
          </w:tcPr>
          <w:p w14:paraId="4BFC081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15298682686</w:t>
            </w:r>
          </w:p>
        </w:tc>
      </w:tr>
      <w:tr w14:paraId="1CE84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1372637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建设地点</w:t>
            </w:r>
          </w:p>
        </w:tc>
        <w:tc>
          <w:tcPr>
            <w:tcW w:w="7401" w:type="dxa"/>
            <w:gridSpan w:val="3"/>
            <w:vAlign w:val="center"/>
          </w:tcPr>
          <w:p w14:paraId="5CFBABF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color w:val="auto"/>
                <w:sz w:val="21"/>
                <w:szCs w:val="21"/>
                <w:lang w:val="en-US"/>
              </w:rPr>
            </w:pPr>
            <w:r>
              <w:rPr>
                <w:rFonts w:hint="default" w:eastAsia="宋体" w:cs="Times New Roman"/>
                <w:color w:val="auto"/>
                <w:sz w:val="21"/>
                <w:szCs w:val="21"/>
                <w:lang w:val="en-US" w:eastAsia="zh-CN"/>
              </w:rPr>
              <w:t>涟水县人民医院</w:t>
            </w:r>
            <w:r>
              <w:rPr>
                <w:rFonts w:hint="eastAsia" w:eastAsia="宋体" w:cs="Times New Roman"/>
                <w:color w:val="auto"/>
                <w:sz w:val="21"/>
                <w:szCs w:val="21"/>
                <w:lang w:val="en-US" w:eastAsia="zh-CN"/>
              </w:rPr>
              <w:t>院内</w:t>
            </w:r>
          </w:p>
        </w:tc>
      </w:tr>
      <w:tr w14:paraId="6D388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6EDB010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地理坐标</w:t>
            </w:r>
          </w:p>
        </w:tc>
        <w:tc>
          <w:tcPr>
            <w:tcW w:w="7401" w:type="dxa"/>
            <w:gridSpan w:val="3"/>
            <w:vAlign w:val="center"/>
          </w:tcPr>
          <w:p w14:paraId="7EE2689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rPr>
            </w:pPr>
            <w:r>
              <w:rPr>
                <w:rFonts w:hint="eastAsia" w:cs="Times New Roman"/>
                <w:color w:val="auto"/>
                <w:sz w:val="21"/>
                <w:szCs w:val="21"/>
              </w:rPr>
              <w:t>（</w:t>
            </w:r>
            <w:r>
              <w:rPr>
                <w:rFonts w:hint="eastAsia" w:cs="Times New Roman"/>
                <w:color w:val="auto"/>
                <w:sz w:val="21"/>
                <w:szCs w:val="21"/>
                <w:u w:val="single"/>
              </w:rPr>
              <w:t xml:space="preserve"> 119 </w:t>
            </w:r>
            <w:r>
              <w:rPr>
                <w:rFonts w:hint="eastAsia" w:cs="Times New Roman"/>
                <w:color w:val="auto"/>
                <w:sz w:val="21"/>
                <w:szCs w:val="21"/>
              </w:rPr>
              <w:t>度</w:t>
            </w:r>
            <w:r>
              <w:rPr>
                <w:rFonts w:hint="eastAsia" w:cs="Times New Roman"/>
                <w:color w:val="auto"/>
                <w:sz w:val="21"/>
                <w:szCs w:val="21"/>
                <w:u w:val="single"/>
              </w:rPr>
              <w:t xml:space="preserve"> </w:t>
            </w:r>
            <w:r>
              <w:rPr>
                <w:rFonts w:hint="eastAsia" w:cs="Times New Roman"/>
                <w:color w:val="auto"/>
                <w:sz w:val="21"/>
                <w:szCs w:val="21"/>
                <w:u w:val="single"/>
                <w:lang w:val="en-US" w:eastAsia="zh-CN"/>
              </w:rPr>
              <w:t>17</w:t>
            </w:r>
            <w:r>
              <w:rPr>
                <w:rFonts w:hint="eastAsia" w:cs="Times New Roman"/>
                <w:color w:val="auto"/>
                <w:sz w:val="21"/>
                <w:szCs w:val="21"/>
                <w:u w:val="single"/>
              </w:rPr>
              <w:t xml:space="preserve"> </w:t>
            </w:r>
            <w:r>
              <w:rPr>
                <w:rFonts w:hint="eastAsia" w:cs="Times New Roman"/>
                <w:color w:val="auto"/>
                <w:sz w:val="21"/>
                <w:szCs w:val="21"/>
              </w:rPr>
              <w:t>分</w:t>
            </w:r>
            <w:r>
              <w:rPr>
                <w:rFonts w:hint="eastAsia" w:cs="Times New Roman"/>
                <w:color w:val="auto"/>
                <w:sz w:val="21"/>
                <w:szCs w:val="21"/>
                <w:u w:val="single"/>
                <w:lang w:val="en-US" w:eastAsia="zh-CN"/>
              </w:rPr>
              <w:t>23.082</w:t>
            </w:r>
            <w:r>
              <w:rPr>
                <w:rFonts w:hint="eastAsia" w:cs="Times New Roman"/>
                <w:color w:val="auto"/>
                <w:sz w:val="21"/>
                <w:szCs w:val="21"/>
              </w:rPr>
              <w:t>秒，</w:t>
            </w:r>
            <w:r>
              <w:rPr>
                <w:rFonts w:hint="eastAsia" w:cs="Times New Roman"/>
                <w:color w:val="auto"/>
                <w:sz w:val="21"/>
                <w:szCs w:val="21"/>
                <w:u w:val="single"/>
              </w:rPr>
              <w:t xml:space="preserve"> 33 </w:t>
            </w:r>
            <w:r>
              <w:rPr>
                <w:rFonts w:hint="eastAsia" w:cs="Times New Roman"/>
                <w:color w:val="auto"/>
                <w:sz w:val="21"/>
                <w:szCs w:val="21"/>
              </w:rPr>
              <w:t>度</w:t>
            </w:r>
            <w:r>
              <w:rPr>
                <w:rFonts w:hint="eastAsia" w:cs="Times New Roman"/>
                <w:color w:val="auto"/>
                <w:sz w:val="21"/>
                <w:szCs w:val="21"/>
                <w:u w:val="single"/>
                <w:lang w:val="en-US" w:eastAsia="zh-CN"/>
              </w:rPr>
              <w:t>47</w:t>
            </w:r>
            <w:r>
              <w:rPr>
                <w:rFonts w:hint="eastAsia" w:cs="Times New Roman"/>
                <w:color w:val="auto"/>
                <w:sz w:val="21"/>
                <w:szCs w:val="21"/>
              </w:rPr>
              <w:t>分</w:t>
            </w:r>
            <w:r>
              <w:rPr>
                <w:rFonts w:hint="eastAsia" w:cs="Times New Roman"/>
                <w:color w:val="auto"/>
                <w:sz w:val="21"/>
                <w:szCs w:val="21"/>
                <w:u w:val="single"/>
                <w:lang w:val="en-US" w:eastAsia="zh-CN"/>
              </w:rPr>
              <w:t>1.464</w:t>
            </w:r>
            <w:r>
              <w:rPr>
                <w:rFonts w:hint="eastAsia" w:cs="Times New Roman"/>
                <w:color w:val="auto"/>
                <w:sz w:val="21"/>
                <w:szCs w:val="21"/>
              </w:rPr>
              <w:t>秒）</w:t>
            </w:r>
          </w:p>
        </w:tc>
      </w:tr>
      <w:tr w14:paraId="59F56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3A9753A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国民经济</w:t>
            </w:r>
          </w:p>
          <w:p w14:paraId="172F131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行业类别</w:t>
            </w:r>
          </w:p>
        </w:tc>
        <w:tc>
          <w:tcPr>
            <w:tcW w:w="2451" w:type="dxa"/>
            <w:vAlign w:val="center"/>
          </w:tcPr>
          <w:p w14:paraId="5C48CD60">
            <w:pPr>
              <w:keepNext w:val="0"/>
              <w:keepLines w:val="0"/>
              <w:suppressLineNumbers w:val="0"/>
              <w:tabs>
                <w:tab w:val="left" w:pos="1800"/>
              </w:tabs>
              <w:adjustRightInd w:val="0"/>
              <w:snapToGrid w:val="0"/>
              <w:spacing w:before="0" w:beforeAutospacing="0" w:after="0" w:afterAutospacing="0" w:line="240" w:lineRule="auto"/>
              <w:ind w:left="0" w:right="0" w:firstLine="0" w:firstLineChars="0"/>
              <w:jc w:val="both"/>
              <w:rPr>
                <w:rFonts w:hint="default" w:eastAsia="宋体" w:cs="Times New Roman"/>
                <w:color w:val="auto"/>
                <w:sz w:val="21"/>
                <w:szCs w:val="21"/>
                <w:lang w:val="en-US" w:eastAsia="zh-CN"/>
              </w:rPr>
            </w:pPr>
            <w:r>
              <w:rPr>
                <w:rFonts w:hint="eastAsia" w:cs="Times New Roman"/>
                <w:color w:val="auto"/>
                <w:sz w:val="21"/>
                <w:szCs w:val="21"/>
                <w:lang w:val="en-US" w:eastAsia="zh-CN"/>
              </w:rPr>
              <w:t>【</w:t>
            </w:r>
            <w:r>
              <w:rPr>
                <w:rFonts w:hint="default" w:eastAsia="宋体" w:cs="Times New Roman"/>
                <w:color w:val="auto"/>
                <w:sz w:val="21"/>
                <w:szCs w:val="21"/>
                <w:lang w:val="en-US" w:eastAsia="zh-CN"/>
              </w:rPr>
              <w:t>M7340</w:t>
            </w:r>
            <w:r>
              <w:rPr>
                <w:rFonts w:hint="eastAsia" w:cs="Times New Roman"/>
                <w:color w:val="auto"/>
                <w:sz w:val="21"/>
                <w:szCs w:val="21"/>
                <w:lang w:val="en-US" w:eastAsia="zh-CN"/>
              </w:rPr>
              <w:t>】</w:t>
            </w:r>
            <w:r>
              <w:rPr>
                <w:rFonts w:hint="default" w:eastAsia="宋体" w:cs="Times New Roman"/>
                <w:color w:val="auto"/>
                <w:sz w:val="21"/>
                <w:szCs w:val="21"/>
                <w:lang w:val="en-US" w:eastAsia="zh-CN"/>
              </w:rPr>
              <w:t>医学研究和试验</w:t>
            </w:r>
          </w:p>
          <w:p w14:paraId="0B749B35">
            <w:pPr>
              <w:keepNext w:val="0"/>
              <w:keepLines w:val="0"/>
              <w:suppressLineNumbers w:val="0"/>
              <w:tabs>
                <w:tab w:val="left" w:pos="1800"/>
              </w:tabs>
              <w:adjustRightInd w:val="0"/>
              <w:snapToGrid w:val="0"/>
              <w:spacing w:before="0" w:beforeAutospacing="0" w:after="0" w:afterAutospacing="0" w:line="240" w:lineRule="auto"/>
              <w:ind w:left="0" w:right="0" w:firstLine="0" w:firstLineChars="0"/>
              <w:jc w:val="both"/>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发展</w:t>
            </w:r>
          </w:p>
        </w:tc>
        <w:tc>
          <w:tcPr>
            <w:tcW w:w="1625" w:type="dxa"/>
            <w:vAlign w:val="center"/>
          </w:tcPr>
          <w:p w14:paraId="5BBB1DF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bookmarkStart w:id="6" w:name="_Hlk49843745"/>
            <w:r>
              <w:rPr>
                <w:rFonts w:hint="eastAsia" w:cs="Times New Roman"/>
                <w:b/>
                <w:bCs/>
                <w:color w:val="auto"/>
                <w:sz w:val="21"/>
                <w:szCs w:val="21"/>
              </w:rPr>
              <w:t>建设项目</w:t>
            </w:r>
          </w:p>
          <w:p w14:paraId="1ACAAB0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行业类别</w:t>
            </w:r>
            <w:bookmarkEnd w:id="6"/>
          </w:p>
        </w:tc>
        <w:tc>
          <w:tcPr>
            <w:tcW w:w="3325" w:type="dxa"/>
            <w:vAlign w:val="center"/>
          </w:tcPr>
          <w:p w14:paraId="23809934">
            <w:pPr>
              <w:keepNext w:val="0"/>
              <w:keepLines w:val="0"/>
              <w:suppressLineNumbers w:val="0"/>
              <w:tabs>
                <w:tab w:val="left" w:pos="1800"/>
              </w:tabs>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四十五、研究和试验发展98：专业实验室、研发（实验）基地－其他</w:t>
            </w:r>
          </w:p>
        </w:tc>
      </w:tr>
      <w:tr w14:paraId="6BEE7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5F319AB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建设性质</w:t>
            </w:r>
          </w:p>
        </w:tc>
        <w:tc>
          <w:tcPr>
            <w:tcW w:w="2451" w:type="dxa"/>
            <w:vAlign w:val="center"/>
          </w:tcPr>
          <w:p w14:paraId="2E994278">
            <w:pPr>
              <w:keepNext w:val="0"/>
              <w:keepLines w:val="0"/>
              <w:suppressLineNumbers w:val="0"/>
              <w:adjustRightInd w:val="0"/>
              <w:snapToGrid w:val="0"/>
              <w:spacing w:before="0" w:beforeAutospacing="0" w:after="0" w:afterAutospacing="0" w:line="240" w:lineRule="auto"/>
              <w:ind w:left="0" w:right="0" w:firstLine="0" w:firstLineChars="0"/>
              <w:jc w:val="left"/>
              <w:rPr>
                <w:rFonts w:hint="eastAsia" w:cs="Times New Roman"/>
                <w:color w:val="auto"/>
                <w:sz w:val="21"/>
                <w:szCs w:val="21"/>
              </w:rPr>
            </w:pPr>
            <w:r>
              <w:rPr>
                <w:rFonts w:hint="eastAsia" w:cs="Times New Roman"/>
                <w:color w:val="auto"/>
                <w:sz w:val="21"/>
                <w:szCs w:val="21"/>
              </w:rPr>
              <w:sym w:font="Wingdings 2" w:char="00A3"/>
            </w:r>
            <w:r>
              <w:rPr>
                <w:rFonts w:hint="eastAsia" w:cs="Times New Roman"/>
                <w:color w:val="auto"/>
                <w:sz w:val="21"/>
                <w:szCs w:val="21"/>
              </w:rPr>
              <w:t>新建（迁建）</w:t>
            </w:r>
          </w:p>
          <w:p w14:paraId="2769AFC6">
            <w:pPr>
              <w:keepNext w:val="0"/>
              <w:keepLines w:val="0"/>
              <w:suppressLineNumbers w:val="0"/>
              <w:adjustRightInd w:val="0"/>
              <w:snapToGrid w:val="0"/>
              <w:spacing w:before="0" w:beforeAutospacing="0" w:after="0" w:afterAutospacing="0" w:line="240" w:lineRule="auto"/>
              <w:ind w:left="0" w:right="0" w:firstLine="0" w:firstLineChars="0"/>
              <w:jc w:val="left"/>
              <w:rPr>
                <w:rFonts w:hint="eastAsia" w:cs="Times New Roman"/>
                <w:color w:val="auto"/>
                <w:sz w:val="21"/>
                <w:szCs w:val="21"/>
              </w:rPr>
            </w:pPr>
            <w:r>
              <w:rPr>
                <w:rFonts w:hint="eastAsia" w:cs="Times New Roman"/>
                <w:color w:val="auto"/>
                <w:sz w:val="21"/>
                <w:szCs w:val="21"/>
              </w:rPr>
              <w:sym w:font="Wingdings 2" w:char="00A3"/>
            </w:r>
            <w:r>
              <w:rPr>
                <w:rFonts w:hint="eastAsia" w:cs="Times New Roman"/>
                <w:color w:val="auto"/>
                <w:sz w:val="21"/>
                <w:szCs w:val="21"/>
              </w:rPr>
              <w:t>改建</w:t>
            </w:r>
          </w:p>
          <w:p w14:paraId="781D185B">
            <w:pPr>
              <w:keepNext w:val="0"/>
              <w:keepLines w:val="0"/>
              <w:suppressLineNumbers w:val="0"/>
              <w:adjustRightInd w:val="0"/>
              <w:snapToGrid w:val="0"/>
              <w:spacing w:before="0" w:beforeAutospacing="0" w:after="0" w:afterAutospacing="0" w:line="240" w:lineRule="auto"/>
              <w:ind w:left="0" w:right="0" w:firstLine="0" w:firstLineChars="0"/>
              <w:jc w:val="left"/>
              <w:rPr>
                <w:rFonts w:hint="eastAsia" w:cs="Times New Roman"/>
                <w:color w:val="auto"/>
                <w:sz w:val="21"/>
                <w:szCs w:val="21"/>
              </w:rPr>
            </w:pPr>
            <w:r>
              <w:rPr>
                <w:rFonts w:hint="eastAsia" w:cs="Times New Roman"/>
                <w:color w:val="auto"/>
                <w:sz w:val="21"/>
                <w:szCs w:val="21"/>
              </w:rPr>
              <w:sym w:font="Wingdings 2" w:char="0052"/>
            </w:r>
            <w:r>
              <w:rPr>
                <w:rFonts w:hint="eastAsia" w:cs="Times New Roman"/>
                <w:color w:val="auto"/>
                <w:sz w:val="21"/>
                <w:szCs w:val="21"/>
              </w:rPr>
              <w:t>扩建</w:t>
            </w:r>
          </w:p>
          <w:p w14:paraId="3BB3DC43">
            <w:pPr>
              <w:keepNext w:val="0"/>
              <w:keepLines w:val="0"/>
              <w:suppressLineNumbers w:val="0"/>
              <w:adjustRightInd w:val="0"/>
              <w:snapToGrid w:val="0"/>
              <w:spacing w:before="0" w:beforeAutospacing="0" w:after="0" w:afterAutospacing="0" w:line="240" w:lineRule="auto"/>
              <w:ind w:left="0" w:right="0" w:firstLine="0" w:firstLineChars="0"/>
              <w:jc w:val="left"/>
              <w:rPr>
                <w:rFonts w:hint="eastAsia" w:cs="Times New Roman"/>
                <w:color w:val="auto"/>
                <w:sz w:val="21"/>
                <w:szCs w:val="21"/>
              </w:rPr>
            </w:pPr>
            <w:r>
              <w:rPr>
                <w:rFonts w:hint="eastAsia" w:cs="Times New Roman"/>
                <w:color w:val="auto"/>
                <w:sz w:val="21"/>
                <w:szCs w:val="21"/>
              </w:rPr>
              <w:sym w:font="Wingdings 2" w:char="00A3"/>
            </w:r>
            <w:r>
              <w:rPr>
                <w:rFonts w:hint="eastAsia" w:cs="Times New Roman"/>
                <w:color w:val="auto"/>
                <w:sz w:val="21"/>
                <w:szCs w:val="21"/>
              </w:rPr>
              <w:t>技术改造</w:t>
            </w:r>
          </w:p>
        </w:tc>
        <w:tc>
          <w:tcPr>
            <w:tcW w:w="1625" w:type="dxa"/>
            <w:vAlign w:val="center"/>
          </w:tcPr>
          <w:p w14:paraId="75EA8DB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建设项目</w:t>
            </w:r>
          </w:p>
          <w:p w14:paraId="1DE2B16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申报情形</w:t>
            </w:r>
          </w:p>
        </w:tc>
        <w:tc>
          <w:tcPr>
            <w:tcW w:w="3325" w:type="dxa"/>
            <w:vAlign w:val="center"/>
          </w:tcPr>
          <w:p w14:paraId="27D06D98">
            <w:pPr>
              <w:keepNext w:val="0"/>
              <w:keepLines w:val="0"/>
              <w:suppressLineNumbers w:val="0"/>
              <w:adjustRightInd w:val="0"/>
              <w:snapToGrid w:val="0"/>
              <w:spacing w:before="0" w:beforeAutospacing="0" w:after="0" w:afterAutospacing="0" w:line="240" w:lineRule="auto"/>
              <w:ind w:left="0" w:right="0" w:firstLine="0" w:firstLineChars="0"/>
              <w:jc w:val="left"/>
              <w:rPr>
                <w:rFonts w:hint="eastAsia" w:cs="Times New Roman"/>
                <w:color w:val="auto"/>
                <w:sz w:val="21"/>
                <w:szCs w:val="21"/>
              </w:rPr>
            </w:pPr>
            <w:r>
              <w:rPr>
                <w:rFonts w:hint="eastAsia" w:cs="Times New Roman"/>
                <w:color w:val="auto"/>
                <w:sz w:val="21"/>
                <w:szCs w:val="21"/>
              </w:rPr>
              <w:sym w:font="Wingdings 2" w:char="0052"/>
            </w:r>
            <w:r>
              <w:rPr>
                <w:rFonts w:hint="eastAsia" w:cs="Times New Roman"/>
                <w:color w:val="auto"/>
                <w:sz w:val="21"/>
                <w:szCs w:val="21"/>
              </w:rPr>
              <w:t>首次申报项目</w:t>
            </w:r>
          </w:p>
          <w:p w14:paraId="72166957">
            <w:pPr>
              <w:keepNext w:val="0"/>
              <w:keepLines w:val="0"/>
              <w:suppressLineNumbers w:val="0"/>
              <w:adjustRightInd w:val="0"/>
              <w:snapToGrid w:val="0"/>
              <w:spacing w:before="0" w:beforeAutospacing="0" w:after="0" w:afterAutospacing="0" w:line="240" w:lineRule="auto"/>
              <w:ind w:left="0" w:right="0" w:firstLine="0" w:firstLineChars="0"/>
              <w:jc w:val="left"/>
              <w:rPr>
                <w:rFonts w:hint="eastAsia" w:cs="Times New Roman"/>
                <w:color w:val="auto"/>
                <w:sz w:val="21"/>
                <w:szCs w:val="21"/>
              </w:rPr>
            </w:pPr>
            <w:r>
              <w:rPr>
                <w:rFonts w:hint="eastAsia" w:cs="Times New Roman"/>
                <w:color w:val="auto"/>
                <w:sz w:val="21"/>
                <w:szCs w:val="21"/>
              </w:rPr>
              <w:sym w:font="Wingdings 2" w:char="00A3"/>
            </w:r>
            <w:r>
              <w:rPr>
                <w:rFonts w:hint="eastAsia" w:cs="Times New Roman"/>
                <w:color w:val="auto"/>
                <w:sz w:val="21"/>
                <w:szCs w:val="21"/>
              </w:rPr>
              <w:t>不予批准后再次申报项目</w:t>
            </w:r>
          </w:p>
          <w:p w14:paraId="598E00B2">
            <w:pPr>
              <w:keepNext w:val="0"/>
              <w:keepLines w:val="0"/>
              <w:suppressLineNumbers w:val="0"/>
              <w:adjustRightInd w:val="0"/>
              <w:snapToGrid w:val="0"/>
              <w:spacing w:before="0" w:beforeAutospacing="0" w:after="0" w:afterAutospacing="0" w:line="240" w:lineRule="auto"/>
              <w:ind w:left="0" w:right="0" w:firstLine="0" w:firstLineChars="0"/>
              <w:jc w:val="left"/>
              <w:rPr>
                <w:rFonts w:hint="eastAsia" w:cs="Times New Roman"/>
                <w:color w:val="auto"/>
                <w:sz w:val="21"/>
                <w:szCs w:val="21"/>
              </w:rPr>
            </w:pPr>
            <w:r>
              <w:rPr>
                <w:rFonts w:hint="eastAsia" w:cs="Times New Roman"/>
                <w:color w:val="auto"/>
                <w:sz w:val="21"/>
                <w:szCs w:val="21"/>
              </w:rPr>
              <w:sym w:font="Wingdings 2" w:char="00A3"/>
            </w:r>
            <w:r>
              <w:rPr>
                <w:rFonts w:hint="eastAsia" w:cs="Times New Roman"/>
                <w:color w:val="auto"/>
                <w:sz w:val="21"/>
                <w:szCs w:val="21"/>
              </w:rPr>
              <w:t>超五年重新审核项目</w:t>
            </w:r>
          </w:p>
          <w:p w14:paraId="27B9E8FA">
            <w:pPr>
              <w:keepNext w:val="0"/>
              <w:keepLines w:val="0"/>
              <w:suppressLineNumbers w:val="0"/>
              <w:adjustRightInd w:val="0"/>
              <w:snapToGrid w:val="0"/>
              <w:spacing w:before="0" w:beforeAutospacing="0" w:after="0" w:afterAutospacing="0" w:line="240" w:lineRule="auto"/>
              <w:ind w:left="0" w:right="0" w:firstLine="0" w:firstLineChars="0"/>
              <w:jc w:val="left"/>
              <w:rPr>
                <w:rFonts w:hint="eastAsia" w:cs="Times New Roman"/>
                <w:color w:val="auto"/>
                <w:sz w:val="21"/>
                <w:szCs w:val="21"/>
              </w:rPr>
            </w:pPr>
            <w:r>
              <w:rPr>
                <w:rFonts w:hint="eastAsia" w:cs="Times New Roman"/>
                <w:color w:val="auto"/>
                <w:sz w:val="21"/>
                <w:szCs w:val="21"/>
              </w:rPr>
              <w:sym w:font="Wingdings 2" w:char="00A3"/>
            </w:r>
            <w:r>
              <w:rPr>
                <w:rFonts w:hint="eastAsia" w:cs="Times New Roman"/>
                <w:color w:val="auto"/>
                <w:sz w:val="21"/>
                <w:szCs w:val="21"/>
              </w:rPr>
              <w:t>重大变动重新报批项目</w:t>
            </w:r>
          </w:p>
        </w:tc>
      </w:tr>
      <w:tr w14:paraId="3FF2F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3F2F050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项目审批（核准/备案）部门</w:t>
            </w:r>
          </w:p>
          <w:p w14:paraId="3B430EB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（选填）</w:t>
            </w:r>
          </w:p>
        </w:tc>
        <w:tc>
          <w:tcPr>
            <w:tcW w:w="2451" w:type="dxa"/>
            <w:vAlign w:val="center"/>
          </w:tcPr>
          <w:p w14:paraId="20D147A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s="Times New Roman"/>
                <w:color w:val="auto"/>
                <w:sz w:val="21"/>
                <w:szCs w:val="21"/>
                <w:lang w:eastAsia="zh-CN"/>
              </w:rPr>
            </w:pPr>
            <w:r>
              <w:rPr>
                <w:rFonts w:hint="eastAsia" w:cs="Times New Roman"/>
                <w:color w:val="auto"/>
                <w:sz w:val="21"/>
                <w:szCs w:val="21"/>
                <w:lang w:eastAsia="zh-CN"/>
              </w:rPr>
              <w:t>涟水县发展和改革委员会</w:t>
            </w:r>
          </w:p>
        </w:tc>
        <w:tc>
          <w:tcPr>
            <w:tcW w:w="1625" w:type="dxa"/>
            <w:vAlign w:val="center"/>
          </w:tcPr>
          <w:p w14:paraId="324B5A6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项目审批（核准/备案）文号（选填）</w:t>
            </w:r>
          </w:p>
        </w:tc>
        <w:tc>
          <w:tcPr>
            <w:tcW w:w="3325" w:type="dxa"/>
            <w:vAlign w:val="center"/>
          </w:tcPr>
          <w:p w14:paraId="543DD8B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涟发改投〔2024〕42号</w:t>
            </w:r>
          </w:p>
        </w:tc>
      </w:tr>
      <w:tr w14:paraId="6455F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2B63A8F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总投资</w:t>
            </w:r>
          </w:p>
          <w:p w14:paraId="70E74EA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（万元）</w:t>
            </w:r>
          </w:p>
        </w:tc>
        <w:tc>
          <w:tcPr>
            <w:tcW w:w="2451" w:type="dxa"/>
            <w:vAlign w:val="center"/>
          </w:tcPr>
          <w:p w14:paraId="72646C1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11000</w:t>
            </w:r>
          </w:p>
        </w:tc>
        <w:tc>
          <w:tcPr>
            <w:tcW w:w="1625" w:type="dxa"/>
            <w:tcMar>
              <w:top w:w="16" w:type="dxa"/>
              <w:left w:w="16" w:type="dxa"/>
              <w:right w:w="16" w:type="dxa"/>
            </w:tcMar>
            <w:vAlign w:val="center"/>
          </w:tcPr>
          <w:p w14:paraId="558420B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环保投资</w:t>
            </w:r>
          </w:p>
          <w:p w14:paraId="744884C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（万元）</w:t>
            </w:r>
          </w:p>
        </w:tc>
        <w:tc>
          <w:tcPr>
            <w:tcW w:w="3325" w:type="dxa"/>
            <w:vAlign w:val="center"/>
          </w:tcPr>
          <w:p w14:paraId="3767D86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olor w:val="auto"/>
                <w:sz w:val="21"/>
                <w:szCs w:val="21"/>
                <w:lang w:val="en-US" w:eastAsia="zh-CN"/>
              </w:rPr>
              <w:t>20</w:t>
            </w:r>
          </w:p>
        </w:tc>
      </w:tr>
      <w:tr w14:paraId="0C218C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5F04A99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环保投资占比（%）</w:t>
            </w:r>
          </w:p>
        </w:tc>
        <w:tc>
          <w:tcPr>
            <w:tcW w:w="2451" w:type="dxa"/>
            <w:vAlign w:val="center"/>
          </w:tcPr>
          <w:p w14:paraId="1EB09E9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0.18</w:t>
            </w:r>
          </w:p>
        </w:tc>
        <w:tc>
          <w:tcPr>
            <w:tcW w:w="1625" w:type="dxa"/>
            <w:tcMar>
              <w:top w:w="16" w:type="dxa"/>
              <w:left w:w="16" w:type="dxa"/>
              <w:right w:w="16" w:type="dxa"/>
            </w:tcMar>
            <w:vAlign w:val="center"/>
          </w:tcPr>
          <w:p w14:paraId="57B900D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施工工期</w:t>
            </w:r>
          </w:p>
        </w:tc>
        <w:tc>
          <w:tcPr>
            <w:tcW w:w="3325" w:type="dxa"/>
            <w:vAlign w:val="center"/>
          </w:tcPr>
          <w:p w14:paraId="558D46F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rPr>
            </w:pPr>
            <w:r>
              <w:rPr>
                <w:rFonts w:hint="eastAsia" w:cs="Times New Roman"/>
                <w:color w:val="auto"/>
                <w:sz w:val="21"/>
                <w:szCs w:val="21"/>
                <w:lang w:val="en-US" w:eastAsia="zh-CN"/>
              </w:rPr>
              <w:t>9</w:t>
            </w:r>
            <w:r>
              <w:rPr>
                <w:rFonts w:hint="eastAsia" w:cs="Times New Roman"/>
                <w:color w:val="auto"/>
                <w:sz w:val="21"/>
                <w:szCs w:val="21"/>
              </w:rPr>
              <w:t>个月</w:t>
            </w:r>
          </w:p>
        </w:tc>
      </w:tr>
      <w:tr w14:paraId="293FE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tcMar>
              <w:top w:w="16" w:type="dxa"/>
              <w:left w:w="16" w:type="dxa"/>
              <w:right w:w="16" w:type="dxa"/>
            </w:tcMar>
            <w:vAlign w:val="center"/>
          </w:tcPr>
          <w:p w14:paraId="3EDD729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z w:val="21"/>
                <w:szCs w:val="21"/>
              </w:rPr>
              <w:t>是否开工建设</w:t>
            </w:r>
          </w:p>
        </w:tc>
        <w:tc>
          <w:tcPr>
            <w:tcW w:w="2451" w:type="dxa"/>
            <w:vAlign w:val="center"/>
          </w:tcPr>
          <w:p w14:paraId="2088AA98">
            <w:pPr>
              <w:keepNext w:val="0"/>
              <w:keepLines w:val="0"/>
              <w:suppressLineNumbers w:val="0"/>
              <w:adjustRightInd w:val="0"/>
              <w:snapToGrid w:val="0"/>
              <w:spacing w:before="0" w:beforeAutospacing="0" w:after="0" w:afterAutospacing="0" w:line="240" w:lineRule="auto"/>
              <w:ind w:left="0" w:right="0" w:firstLine="0" w:firstLineChars="0"/>
              <w:jc w:val="left"/>
              <w:rPr>
                <w:rFonts w:hint="eastAsia" w:cs="Times New Roman"/>
                <w:color w:val="auto"/>
                <w:sz w:val="21"/>
                <w:szCs w:val="21"/>
              </w:rPr>
            </w:pPr>
            <w:r>
              <w:rPr>
                <w:rFonts w:hint="eastAsia" w:cs="Times New Roman"/>
                <w:color w:val="auto"/>
                <w:sz w:val="21"/>
                <w:szCs w:val="21"/>
              </w:rPr>
              <w:sym w:font="Wingdings 2" w:char="0052"/>
            </w:r>
            <w:r>
              <w:rPr>
                <w:rFonts w:hint="eastAsia" w:cs="Times New Roman"/>
                <w:color w:val="auto"/>
                <w:sz w:val="21"/>
                <w:szCs w:val="21"/>
              </w:rPr>
              <w:t>否</w:t>
            </w:r>
          </w:p>
          <w:p w14:paraId="119FC7AA">
            <w:pPr>
              <w:keepNext w:val="0"/>
              <w:keepLines w:val="0"/>
              <w:suppressLineNumbers w:val="0"/>
              <w:adjustRightInd w:val="0"/>
              <w:snapToGrid w:val="0"/>
              <w:spacing w:before="0" w:beforeAutospacing="0" w:after="0" w:afterAutospacing="0" w:line="240" w:lineRule="auto"/>
              <w:ind w:left="0" w:right="0" w:firstLine="0" w:firstLineChars="0"/>
              <w:jc w:val="left"/>
              <w:rPr>
                <w:rFonts w:hint="default" w:eastAsia="宋体" w:cs="Times New Roman"/>
                <w:color w:val="auto"/>
                <w:sz w:val="21"/>
                <w:szCs w:val="21"/>
                <w:lang w:val="en-US" w:eastAsia="zh-CN"/>
              </w:rPr>
            </w:pPr>
            <w:r>
              <w:rPr>
                <w:rFonts w:hint="eastAsia" w:cs="Times New Roman"/>
                <w:color w:val="auto"/>
                <w:sz w:val="21"/>
                <w:szCs w:val="21"/>
              </w:rPr>
              <w:sym w:font="Wingdings 2" w:char="00A3"/>
            </w:r>
            <w:r>
              <w:rPr>
                <w:rFonts w:hint="eastAsia" w:cs="Times New Roman"/>
                <w:color w:val="auto"/>
                <w:sz w:val="21"/>
                <w:szCs w:val="21"/>
              </w:rPr>
              <w:t>是</w:t>
            </w:r>
          </w:p>
        </w:tc>
        <w:tc>
          <w:tcPr>
            <w:tcW w:w="1625" w:type="dxa"/>
            <w:tcMar>
              <w:top w:w="16" w:type="dxa"/>
              <w:left w:w="16" w:type="dxa"/>
              <w:right w:w="16" w:type="dxa"/>
            </w:tcMar>
            <w:vAlign w:val="center"/>
          </w:tcPr>
          <w:p w14:paraId="5DC9840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pacing w:val="-6"/>
                <w:sz w:val="21"/>
                <w:szCs w:val="21"/>
              </w:rPr>
            </w:pPr>
            <w:r>
              <w:rPr>
                <w:rFonts w:hint="eastAsia" w:cs="Times New Roman"/>
                <w:b/>
                <w:bCs/>
                <w:color w:val="auto"/>
                <w:spacing w:val="-6"/>
                <w:sz w:val="21"/>
                <w:szCs w:val="21"/>
              </w:rPr>
              <w:t>用地（用海）</w:t>
            </w:r>
          </w:p>
          <w:p w14:paraId="32660E4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b/>
                <w:bCs/>
                <w:color w:val="auto"/>
                <w:sz w:val="21"/>
                <w:szCs w:val="21"/>
              </w:rPr>
            </w:pPr>
            <w:r>
              <w:rPr>
                <w:rFonts w:hint="eastAsia" w:cs="Times New Roman"/>
                <w:b/>
                <w:bCs/>
                <w:color w:val="auto"/>
                <w:spacing w:val="-6"/>
                <w:sz w:val="21"/>
                <w:szCs w:val="21"/>
              </w:rPr>
              <w:t>面积（m</w:t>
            </w:r>
            <w:r>
              <w:rPr>
                <w:rFonts w:hint="eastAsia" w:cs="Times New Roman"/>
                <w:b/>
                <w:bCs/>
                <w:color w:val="auto"/>
                <w:spacing w:val="-6"/>
                <w:sz w:val="21"/>
                <w:szCs w:val="21"/>
                <w:vertAlign w:val="superscript"/>
              </w:rPr>
              <w:t>2</w:t>
            </w:r>
            <w:r>
              <w:rPr>
                <w:rFonts w:hint="eastAsia" w:cs="Times New Roman"/>
                <w:b/>
                <w:bCs/>
                <w:color w:val="auto"/>
                <w:spacing w:val="-6"/>
                <w:sz w:val="21"/>
                <w:szCs w:val="21"/>
              </w:rPr>
              <w:t>）</w:t>
            </w:r>
          </w:p>
        </w:tc>
        <w:tc>
          <w:tcPr>
            <w:tcW w:w="3325" w:type="dxa"/>
            <w:vAlign w:val="center"/>
          </w:tcPr>
          <w:p w14:paraId="1019FD3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s="Times New Roman"/>
                <w:color w:val="auto"/>
                <w:sz w:val="21"/>
                <w:szCs w:val="21"/>
                <w:lang w:val="en-US" w:eastAsia="zh-CN"/>
              </w:rPr>
            </w:pPr>
            <w:r>
              <w:rPr>
                <w:rFonts w:hint="eastAsia" w:cs="Times New Roman"/>
                <w:color w:val="auto"/>
                <w:sz w:val="21"/>
                <w:szCs w:val="21"/>
                <w:lang w:val="en-US" w:eastAsia="zh-CN"/>
              </w:rPr>
              <w:t>现有院区内建设，不新增占地</w:t>
            </w:r>
          </w:p>
        </w:tc>
      </w:tr>
      <w:tr w14:paraId="5D34C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39" w:type="dxa"/>
            <w:gridSpan w:val="2"/>
            <w:vAlign w:val="center"/>
          </w:tcPr>
          <w:p w14:paraId="1DEDE63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s="Times New Roman"/>
                <w:b/>
                <w:bCs/>
                <w:color w:val="auto"/>
                <w:kern w:val="0"/>
                <w:sz w:val="21"/>
                <w:szCs w:val="21"/>
              </w:rPr>
            </w:pPr>
            <w:r>
              <w:rPr>
                <w:rFonts w:hint="eastAsia" w:cs="Times New Roman"/>
                <w:b/>
                <w:bCs/>
                <w:color w:val="auto"/>
                <w:kern w:val="0"/>
                <w:sz w:val="21"/>
                <w:szCs w:val="21"/>
              </w:rPr>
              <w:t>专项评价</w:t>
            </w:r>
          </w:p>
          <w:p w14:paraId="4EAE61B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s="Times New Roman"/>
                <w:b/>
                <w:bCs/>
                <w:color w:val="auto"/>
                <w:kern w:val="0"/>
                <w:sz w:val="21"/>
                <w:szCs w:val="21"/>
              </w:rPr>
            </w:pPr>
            <w:r>
              <w:rPr>
                <w:rFonts w:hint="eastAsia" w:cs="Times New Roman"/>
                <w:b/>
                <w:bCs/>
                <w:color w:val="auto"/>
                <w:kern w:val="0"/>
                <w:sz w:val="21"/>
                <w:szCs w:val="21"/>
              </w:rPr>
              <w:t>设置情况</w:t>
            </w:r>
          </w:p>
        </w:tc>
        <w:tc>
          <w:tcPr>
            <w:tcW w:w="7401" w:type="dxa"/>
            <w:gridSpan w:val="3"/>
            <w:vAlign w:val="center"/>
          </w:tcPr>
          <w:p w14:paraId="2BD6CF5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left"/>
              <w:rPr>
                <w:rFonts w:hint="eastAsia" w:cs="Times New Roman"/>
                <w:color w:val="auto"/>
                <w:kern w:val="0"/>
                <w:sz w:val="21"/>
                <w:szCs w:val="21"/>
              </w:rPr>
            </w:pPr>
            <w:r>
              <w:rPr>
                <w:rFonts w:hint="eastAsia" w:cs="Times New Roman"/>
                <w:color w:val="auto"/>
                <w:kern w:val="0"/>
                <w:sz w:val="21"/>
                <w:szCs w:val="21"/>
              </w:rPr>
              <w:t>无</w:t>
            </w:r>
          </w:p>
        </w:tc>
      </w:tr>
      <w:tr w14:paraId="1B390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45" w:hRule="atLeast"/>
          <w:jc w:val="center"/>
        </w:trPr>
        <w:tc>
          <w:tcPr>
            <w:tcW w:w="1539" w:type="dxa"/>
            <w:gridSpan w:val="2"/>
            <w:vAlign w:val="center"/>
          </w:tcPr>
          <w:p w14:paraId="4297BC94">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s="Times New Roman"/>
                <w:b/>
                <w:bCs/>
                <w:color w:val="auto"/>
                <w:kern w:val="0"/>
              </w:rPr>
            </w:pPr>
            <w:r>
              <w:rPr>
                <w:rFonts w:hint="eastAsia" w:cs="Times New Roman"/>
                <w:b/>
                <w:bCs/>
                <w:color w:val="auto"/>
              </w:rPr>
              <w:t>规划情况</w:t>
            </w:r>
          </w:p>
        </w:tc>
        <w:tc>
          <w:tcPr>
            <w:tcW w:w="7401" w:type="dxa"/>
            <w:gridSpan w:val="3"/>
            <w:vAlign w:val="center"/>
          </w:tcPr>
          <w:p w14:paraId="1A0E9F3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s="Times New Roman"/>
                <w:color w:val="auto"/>
                <w:kern w:val="0"/>
                <w:lang w:val="en-US" w:eastAsia="zh-CN"/>
              </w:rPr>
            </w:pPr>
            <w:r>
              <w:rPr>
                <w:rFonts w:hint="default" w:eastAsia="宋体" w:cs="Times New Roman"/>
                <w:color w:val="auto"/>
                <w:kern w:val="0"/>
                <w:lang w:val="en-US" w:eastAsia="zh-CN"/>
              </w:rPr>
              <w:t>规划名称：《涟水县城市总体规划（2013-2030）》</w:t>
            </w:r>
          </w:p>
          <w:p w14:paraId="74952F8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s="Times New Roman"/>
                <w:color w:val="auto"/>
                <w:kern w:val="0"/>
                <w:lang w:val="en-US" w:eastAsia="zh-CN"/>
              </w:rPr>
            </w:pPr>
            <w:r>
              <w:rPr>
                <w:rFonts w:hint="default" w:eastAsia="宋体" w:cs="Times New Roman"/>
                <w:color w:val="auto"/>
                <w:kern w:val="0"/>
                <w:lang w:val="en-US" w:eastAsia="zh-CN"/>
              </w:rPr>
              <w:t>审批机关：淮安市人民政府</w:t>
            </w:r>
          </w:p>
          <w:p w14:paraId="1041565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eastAsia="宋体" w:cs="Times New Roman"/>
                <w:color w:val="auto"/>
                <w:kern w:val="0"/>
                <w:lang w:val="en-US" w:eastAsia="zh-CN"/>
              </w:rPr>
            </w:pPr>
            <w:r>
              <w:rPr>
                <w:rFonts w:hint="default" w:eastAsia="宋体" w:cs="Times New Roman"/>
                <w:color w:val="auto"/>
                <w:kern w:val="0"/>
                <w:lang w:val="en-US" w:eastAsia="zh-CN"/>
              </w:rPr>
              <w:t>审批文件名称及文号：《市政府关于同意涟水县修改城市总体规划的批复》（淮政复〔2016〕15号）</w:t>
            </w:r>
          </w:p>
        </w:tc>
      </w:tr>
      <w:tr w14:paraId="0DFB1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35" w:hRule="atLeast"/>
          <w:jc w:val="center"/>
        </w:trPr>
        <w:tc>
          <w:tcPr>
            <w:tcW w:w="1539" w:type="dxa"/>
            <w:gridSpan w:val="2"/>
            <w:vAlign w:val="center"/>
          </w:tcPr>
          <w:p w14:paraId="1B24FE5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s="Times New Roman"/>
                <w:b/>
                <w:bCs/>
                <w:color w:val="auto"/>
              </w:rPr>
            </w:pPr>
            <w:r>
              <w:rPr>
                <w:rFonts w:hint="eastAsia" w:cs="Times New Roman"/>
                <w:b/>
                <w:bCs/>
                <w:color w:val="auto"/>
              </w:rPr>
              <w:t>规划环境影响评价情况</w:t>
            </w:r>
          </w:p>
        </w:tc>
        <w:tc>
          <w:tcPr>
            <w:tcW w:w="7401" w:type="dxa"/>
            <w:gridSpan w:val="3"/>
            <w:vAlign w:val="center"/>
          </w:tcPr>
          <w:p w14:paraId="4F9AA46F">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rPr>
                <w:rFonts w:hint="eastAsia" w:cs="Times New Roman"/>
                <w:color w:val="auto"/>
              </w:rPr>
            </w:pPr>
            <w:r>
              <w:rPr>
                <w:rFonts w:hint="eastAsia" w:cs="Times New Roman"/>
                <w:color w:val="auto"/>
                <w:kern w:val="0"/>
                <w:sz w:val="21"/>
                <w:szCs w:val="21"/>
              </w:rPr>
              <w:t>无</w:t>
            </w:r>
          </w:p>
        </w:tc>
      </w:tr>
      <w:tr w14:paraId="3AE74E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456" w:hRule="atLeast"/>
          <w:jc w:val="center"/>
        </w:trPr>
        <w:tc>
          <w:tcPr>
            <w:tcW w:w="448" w:type="dxa"/>
            <w:vAlign w:val="center"/>
          </w:tcPr>
          <w:p w14:paraId="652CA21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cs="Times New Roman"/>
                <w:b/>
                <w:bCs/>
                <w:color w:val="auto"/>
                <w:kern w:val="0"/>
              </w:rPr>
            </w:pPr>
            <w:r>
              <w:rPr>
                <w:rFonts w:hint="eastAsia" w:cs="Times New Roman"/>
                <w:b/>
                <w:bCs/>
                <w:color w:val="auto"/>
                <w:kern w:val="0"/>
              </w:rPr>
              <w:t>规划及规划环境影响评价符合性分析</w:t>
            </w:r>
          </w:p>
        </w:tc>
        <w:tc>
          <w:tcPr>
            <w:tcW w:w="8492" w:type="dxa"/>
            <w:gridSpan w:val="4"/>
          </w:tcPr>
          <w:p w14:paraId="0C27E7AA">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《涟水县城市总体规划（2013-2030）》中相关内容如下：</w:t>
            </w:r>
          </w:p>
          <w:p w14:paraId="46ADA4C2">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第二十九条服务业空间布局：中心城区重点发展金融、咨询、信息、商务、商贸等服务业职能，提升并强化涟水城区在全县的服务中心地位。在涟水县城促进各类服务业用地的相对集中，形成2个大型服务中心。其中以红日-五岛湖片区形成行政、文化、商业中心区；以清水湖片区形成商务、商贸、商业、娱乐、休闲等为主的新城市中心区，打造面向全县及周边地区的商务商业中心。在现有炎黄学院的基础上规划科教中心，布置综合科教培训基地，实现科教文化设施的配套服务设施共享，推动全县教育产业的发展。</w:t>
            </w:r>
          </w:p>
          <w:p w14:paraId="44DAB6F0">
            <w:pPr>
              <w:keepNext w:val="0"/>
              <w:keepLines w:val="0"/>
              <w:pageBreakBefore w:val="0"/>
              <w:widowControl w:val="0"/>
              <w:suppressLineNumbers w:val="0"/>
              <w:kinsoku/>
              <w:wordWrap/>
              <w:overflowPunct/>
              <w:topLinePunct w:val="0"/>
              <w:autoSpaceDE/>
              <w:autoSpaceDN/>
              <w:bidi w:val="0"/>
              <w:adjustRightInd/>
              <w:snapToGrid/>
              <w:spacing w:before="0" w:beforeLines="-2147483648" w:beforeAutospacing="0" w:after="0" w:afterAutospacing="0"/>
              <w:ind w:left="0" w:leftChars="0" w:right="0" w:firstLine="480" w:firstLineChars="200"/>
              <w:textAlignment w:val="auto"/>
              <w:rPr>
                <w:rFonts w:hint="eastAsia"/>
                <w:bCs/>
                <w:color w:val="auto"/>
              </w:rPr>
            </w:pPr>
            <w:r>
              <w:rPr>
                <w:rFonts w:hint="eastAsia" w:ascii="Times New Roman" w:hAnsi="Times New Roman" w:eastAsia="宋体" w:cs="Times New Roman"/>
                <w:b w:val="0"/>
                <w:bCs w:val="0"/>
                <w:color w:val="auto"/>
                <w:kern w:val="2"/>
                <w:sz w:val="24"/>
                <w:szCs w:val="24"/>
                <w:lang w:val="en-US" w:eastAsia="zh-CN" w:bidi="ar-SA"/>
              </w:rPr>
              <w:t>相符性分析</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根据</w:t>
            </w:r>
            <w:r>
              <w:rPr>
                <w:rFonts w:hint="default" w:ascii="Times New Roman" w:hAnsi="Times New Roman" w:eastAsia="宋体" w:cs="Times New Roman"/>
                <w:b w:val="0"/>
                <w:bCs w:val="0"/>
                <w:color w:val="auto"/>
                <w:kern w:val="2"/>
                <w:sz w:val="24"/>
                <w:szCs w:val="24"/>
                <w:lang w:val="en-US" w:eastAsia="zh-CN" w:bidi="ar-SA"/>
              </w:rPr>
              <w:t>《涟水县城市总体规划（2013-2030）》</w:t>
            </w:r>
            <w:r>
              <w:rPr>
                <w:rFonts w:hint="eastAsia" w:ascii="Times New Roman" w:hAnsi="Times New Roman" w:eastAsia="宋体" w:cs="Times New Roman"/>
                <w:b w:val="0"/>
                <w:bCs w:val="0"/>
                <w:color w:val="auto"/>
                <w:kern w:val="2"/>
                <w:sz w:val="24"/>
                <w:szCs w:val="24"/>
                <w:lang w:val="en-US" w:eastAsia="zh-CN" w:bidi="ar-SA"/>
              </w:rPr>
              <w:t>，本项目位于</w:t>
            </w:r>
            <w:r>
              <w:rPr>
                <w:rFonts w:hint="default" w:ascii="Times New Roman" w:hAnsi="Times New Roman" w:eastAsia="宋体" w:cs="Times New Roman"/>
                <w:b w:val="0"/>
                <w:bCs w:val="0"/>
                <w:color w:val="auto"/>
                <w:kern w:val="2"/>
                <w:sz w:val="24"/>
                <w:szCs w:val="24"/>
                <w:lang w:val="en-US" w:eastAsia="zh-CN" w:bidi="ar-SA"/>
              </w:rPr>
              <w:t>涟水县城</w:t>
            </w:r>
            <w:r>
              <w:rPr>
                <w:rFonts w:hint="eastAsia" w:ascii="Times New Roman" w:hAnsi="Times New Roman" w:eastAsia="宋体" w:cs="Times New Roman"/>
                <w:b w:val="0"/>
                <w:bCs w:val="0"/>
                <w:color w:val="auto"/>
                <w:kern w:val="2"/>
                <w:sz w:val="24"/>
                <w:szCs w:val="24"/>
                <w:lang w:val="en-US" w:eastAsia="zh-CN" w:bidi="ar-SA"/>
              </w:rPr>
              <w:t>内涟水县人民医院院内，项目从事教学科研楼的建设，项目所在区域属于医疗卫生用地，符合涟水县城市用地规划的要求。</w:t>
            </w:r>
          </w:p>
        </w:tc>
      </w:tr>
      <w:tr w14:paraId="577E4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48" w:type="dxa"/>
            <w:vAlign w:val="center"/>
          </w:tcPr>
          <w:p w14:paraId="5D621A8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eastAsia="宋体" w:cs="Times New Roman"/>
                <w:b/>
                <w:bCs/>
                <w:color w:val="auto"/>
                <w:kern w:val="0"/>
                <w:lang w:val="en-US" w:eastAsia="zh-CN"/>
              </w:rPr>
            </w:pPr>
            <w:r>
              <w:rPr>
                <w:rFonts w:hint="eastAsia" w:cs="Times New Roman"/>
                <w:b/>
                <w:bCs/>
                <w:color w:val="auto"/>
                <w:kern w:val="0"/>
                <w:lang w:val="en-US" w:eastAsia="zh-CN"/>
              </w:rPr>
              <w:t>其他相符性分析</w:t>
            </w:r>
          </w:p>
        </w:tc>
        <w:tc>
          <w:tcPr>
            <w:tcW w:w="8492" w:type="dxa"/>
            <w:gridSpan w:val="4"/>
          </w:tcPr>
          <w:p w14:paraId="0B220401">
            <w:pPr>
              <w:keepNext w:val="0"/>
              <w:keepLines w:val="0"/>
              <w:numPr>
                <w:ilvl w:val="0"/>
                <w:numId w:val="3"/>
              </w:numPr>
              <w:suppressLineNumbers w:val="0"/>
              <w:spacing w:before="156" w:beforeLines="50" w:beforeAutospacing="0" w:after="0" w:afterAutospacing="0"/>
              <w:ind w:left="0" w:right="0" w:firstLine="482"/>
              <w:rPr>
                <w:rFonts w:hint="eastAsia"/>
                <w:b/>
                <w:bCs/>
                <w:color w:val="auto"/>
              </w:rPr>
            </w:pPr>
            <w:r>
              <w:rPr>
                <w:rFonts w:hint="eastAsia"/>
                <w:b/>
                <w:bCs/>
                <w:color w:val="auto"/>
              </w:rPr>
              <w:t>“三线一单”相符性分析</w:t>
            </w:r>
          </w:p>
          <w:p w14:paraId="0DAC745B">
            <w:pPr>
              <w:keepNext w:val="0"/>
              <w:keepLines w:val="0"/>
              <w:numPr>
                <w:ilvl w:val="0"/>
                <w:numId w:val="0"/>
              </w:numPr>
              <w:suppressLineNumbers w:val="0"/>
              <w:spacing w:before="0" w:beforeAutospacing="0" w:after="0" w:afterAutospacing="0"/>
              <w:ind w:left="0" w:right="0" w:firstLine="480" w:firstLineChars="200"/>
              <w:rPr>
                <w:rFonts w:hint="eastAsia"/>
                <w:color w:val="auto"/>
              </w:rPr>
            </w:pPr>
            <w:r>
              <w:rPr>
                <w:rFonts w:hint="eastAsia" w:ascii="Times New Roman" w:hAnsi="Times New Roman" w:eastAsia="宋体" w:cstheme="minorBidi"/>
                <w:color w:val="auto"/>
                <w:kern w:val="2"/>
                <w:sz w:val="24"/>
                <w:szCs w:val="24"/>
                <w:lang w:val="en-US" w:eastAsia="zh-CN" w:bidi="ar-SA"/>
              </w:rPr>
              <w:t>（1）</w:t>
            </w:r>
            <w:r>
              <w:rPr>
                <w:rFonts w:hint="eastAsia"/>
                <w:color w:val="auto"/>
              </w:rPr>
              <w:t>生态红线</w:t>
            </w:r>
          </w:p>
          <w:p w14:paraId="77B34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eastAsia="zh-CN"/>
              </w:rPr>
              <w:t>与</w:t>
            </w:r>
            <w:r>
              <w:rPr>
                <w:rFonts w:hint="default" w:ascii="Times New Roman" w:hAnsi="Times New Roman" w:eastAsia="宋体" w:cs="Times New Roman"/>
                <w:color w:val="auto"/>
                <w:sz w:val="24"/>
                <w:szCs w:val="24"/>
                <w:lang w:eastAsia="zh-CN"/>
              </w:rPr>
              <w:t>《江苏省生态空间管控区域规划》（苏政发</w:t>
            </w:r>
            <w:r>
              <w:rPr>
                <w:rFonts w:hint="eastAsia" w:ascii="Times New Roman" w:hAnsi="Times New Roman" w:eastAsia="宋体" w:cs="Times New Roman"/>
                <w:color w:val="auto"/>
                <w:sz w:val="24"/>
                <w:szCs w:val="24"/>
                <w:lang w:eastAsia="zh-CN"/>
              </w:rPr>
              <w:t>〔2020〕1号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以及</w:t>
            </w:r>
            <w:r>
              <w:rPr>
                <w:rFonts w:hint="default" w:ascii="Times New Roman" w:hAnsi="Times New Roman" w:eastAsia="宋体" w:cs="Times New Roman"/>
                <w:color w:val="auto"/>
                <w:sz w:val="24"/>
                <w:szCs w:val="24"/>
                <w:lang w:eastAsia="zh-CN"/>
              </w:rPr>
              <w:t>《江苏省国家级生态保护红线规划》（苏政发</w:t>
            </w:r>
            <w:r>
              <w:rPr>
                <w:rFonts w:hint="eastAsia" w:ascii="Times New Roman" w:hAnsi="Times New Roman" w:eastAsia="宋体" w:cs="Times New Roman"/>
                <w:color w:val="auto"/>
                <w:sz w:val="24"/>
                <w:szCs w:val="24"/>
                <w:lang w:eastAsia="zh-CN"/>
              </w:rPr>
              <w:t>〔2018〕74号</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相符性分析</w:t>
            </w:r>
          </w:p>
          <w:p w14:paraId="745A5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根据《江苏省生态空间管控区域规划》（苏政发</w:t>
            </w:r>
            <w:r>
              <w:rPr>
                <w:rFonts w:hint="eastAsia" w:ascii="Times New Roman" w:hAnsi="Times New Roman" w:eastAsia="宋体" w:cs="Times New Roman"/>
                <w:color w:val="auto"/>
                <w:sz w:val="24"/>
                <w:szCs w:val="24"/>
                <w:lang w:eastAsia="zh-CN"/>
              </w:rPr>
              <w:t>〔2020〕1号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以及</w:t>
            </w:r>
            <w:r>
              <w:rPr>
                <w:rFonts w:hint="default" w:ascii="Times New Roman" w:hAnsi="Times New Roman" w:eastAsia="宋体" w:cs="Times New Roman"/>
                <w:color w:val="auto"/>
                <w:sz w:val="24"/>
                <w:szCs w:val="24"/>
                <w:lang w:eastAsia="zh-CN"/>
              </w:rPr>
              <w:t>《江苏省国家级生态保护红线规划》（苏政发</w:t>
            </w:r>
            <w:r>
              <w:rPr>
                <w:rFonts w:hint="eastAsia" w:ascii="Times New Roman" w:hAnsi="Times New Roman" w:eastAsia="宋体" w:cs="Times New Roman"/>
                <w:color w:val="auto"/>
                <w:sz w:val="24"/>
                <w:szCs w:val="24"/>
                <w:lang w:eastAsia="zh-CN"/>
              </w:rPr>
              <w:t>〔2018〕74号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eastAsia="zh-CN"/>
              </w:rPr>
              <w:t>项目不在生态空间</w:t>
            </w:r>
            <w:r>
              <w:rPr>
                <w:rFonts w:hint="default" w:ascii="Times New Roman" w:hAnsi="Times New Roman" w:eastAsia="宋体" w:cs="Times New Roman"/>
                <w:color w:val="auto"/>
                <w:sz w:val="24"/>
                <w:szCs w:val="24"/>
                <w:lang w:val="en-US" w:eastAsia="zh-CN"/>
              </w:rPr>
              <w:t>保护</w:t>
            </w:r>
            <w:r>
              <w:rPr>
                <w:rFonts w:hint="default" w:ascii="Times New Roman" w:hAnsi="Times New Roman" w:eastAsia="宋体" w:cs="Times New Roman"/>
                <w:color w:val="auto"/>
                <w:sz w:val="24"/>
                <w:szCs w:val="24"/>
                <w:lang w:eastAsia="zh-CN"/>
              </w:rPr>
              <w:t>区域内，</w:t>
            </w:r>
            <w:r>
              <w:rPr>
                <w:rFonts w:hint="eastAsia" w:ascii="Times New Roman" w:hAnsi="Times New Roman" w:eastAsia="宋体" w:cs="Times New Roman"/>
                <w:color w:val="auto"/>
                <w:sz w:val="24"/>
                <w:szCs w:val="24"/>
                <w:lang w:eastAsia="zh-CN"/>
              </w:rPr>
              <w:t>项目不占用生态红线。项目</w:t>
            </w:r>
            <w:r>
              <w:rPr>
                <w:rFonts w:hint="default" w:ascii="Times New Roman" w:hAnsi="Times New Roman" w:eastAsia="宋体" w:cs="Times New Roman"/>
                <w:color w:val="auto"/>
                <w:sz w:val="24"/>
                <w:szCs w:val="24"/>
                <w:lang w:eastAsia="zh-CN"/>
              </w:rPr>
              <w:t>周边生态空间保护区范围如下：</w:t>
            </w:r>
          </w:p>
          <w:p w14:paraId="59BDF7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表1</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eastAsia="zh-CN"/>
              </w:rPr>
              <w:t>项目周边生态空间保护区域</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935"/>
              <w:gridCol w:w="2635"/>
              <w:gridCol w:w="2490"/>
              <w:gridCol w:w="1179"/>
            </w:tblGrid>
            <w:tr w14:paraId="16367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vMerge w:val="restart"/>
                  <w:tcBorders>
                    <w:tl2br w:val="nil"/>
                    <w:tr2bl w:val="nil"/>
                  </w:tcBorders>
                  <w:noWrap w:val="0"/>
                  <w:vAlign w:val="center"/>
                </w:tcPr>
                <w:p w14:paraId="0556E2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生态空间保护区域名称</w:t>
                  </w:r>
                </w:p>
              </w:tc>
              <w:tc>
                <w:tcPr>
                  <w:tcW w:w="554" w:type="pct"/>
                  <w:vMerge w:val="restart"/>
                  <w:tcBorders>
                    <w:tl2br w:val="nil"/>
                    <w:tr2bl w:val="nil"/>
                  </w:tcBorders>
                  <w:noWrap w:val="0"/>
                  <w:vAlign w:val="center"/>
                </w:tcPr>
                <w:p w14:paraId="2C0953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主导生态功能</w:t>
                  </w:r>
                </w:p>
              </w:tc>
              <w:tc>
                <w:tcPr>
                  <w:tcW w:w="3038" w:type="pct"/>
                  <w:gridSpan w:val="2"/>
                  <w:tcBorders>
                    <w:tl2br w:val="nil"/>
                    <w:tr2bl w:val="nil"/>
                  </w:tcBorders>
                  <w:noWrap w:val="0"/>
                  <w:vAlign w:val="center"/>
                </w:tcPr>
                <w:p w14:paraId="75BD93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范围</w:t>
                  </w:r>
                </w:p>
              </w:tc>
              <w:tc>
                <w:tcPr>
                  <w:tcW w:w="699" w:type="pct"/>
                  <w:vMerge w:val="restart"/>
                  <w:tcBorders>
                    <w:tl2br w:val="nil"/>
                    <w:tr2bl w:val="nil"/>
                  </w:tcBorders>
                  <w:noWrap w:val="0"/>
                  <w:vAlign w:val="center"/>
                </w:tcPr>
                <w:p w14:paraId="1BBE60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与项目相对位置及距离</w:t>
                  </w:r>
                </w:p>
              </w:tc>
            </w:tr>
            <w:tr w14:paraId="428A0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vMerge w:val="continue"/>
                  <w:tcBorders>
                    <w:tl2br w:val="nil"/>
                    <w:tr2bl w:val="nil"/>
                  </w:tcBorders>
                  <w:noWrap w:val="0"/>
                  <w:vAlign w:val="center"/>
                </w:tcPr>
                <w:p w14:paraId="4D5929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p>
              </w:tc>
              <w:tc>
                <w:tcPr>
                  <w:tcW w:w="554" w:type="pct"/>
                  <w:vMerge w:val="continue"/>
                  <w:tcBorders>
                    <w:tl2br w:val="nil"/>
                    <w:tr2bl w:val="nil"/>
                  </w:tcBorders>
                  <w:noWrap w:val="0"/>
                  <w:vAlign w:val="center"/>
                </w:tcPr>
                <w:p w14:paraId="480EAC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p>
              </w:tc>
              <w:tc>
                <w:tcPr>
                  <w:tcW w:w="1562" w:type="pct"/>
                  <w:tcBorders>
                    <w:tl2br w:val="nil"/>
                    <w:tr2bl w:val="nil"/>
                  </w:tcBorders>
                  <w:noWrap w:val="0"/>
                  <w:vAlign w:val="center"/>
                </w:tcPr>
                <w:p w14:paraId="60AB2D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国家级生态保护红线范围</w:t>
                  </w:r>
                </w:p>
              </w:tc>
              <w:tc>
                <w:tcPr>
                  <w:tcW w:w="1475" w:type="pct"/>
                  <w:tcBorders>
                    <w:tl2br w:val="nil"/>
                    <w:tr2bl w:val="nil"/>
                  </w:tcBorders>
                  <w:noWrap w:val="0"/>
                  <w:vAlign w:val="center"/>
                </w:tcPr>
                <w:p w14:paraId="460A13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生态空间管控区域范围</w:t>
                  </w:r>
                </w:p>
              </w:tc>
              <w:tc>
                <w:tcPr>
                  <w:tcW w:w="699" w:type="pct"/>
                  <w:vMerge w:val="continue"/>
                  <w:tcBorders>
                    <w:tl2br w:val="nil"/>
                    <w:tr2bl w:val="nil"/>
                  </w:tcBorders>
                  <w:noWrap w:val="0"/>
                  <w:vAlign w:val="center"/>
                </w:tcPr>
                <w:p w14:paraId="6C675D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p>
              </w:tc>
            </w:tr>
            <w:tr w14:paraId="18281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tcBorders>
                    <w:tl2br w:val="nil"/>
                    <w:tr2bl w:val="nil"/>
                  </w:tcBorders>
                  <w:noWrap w:val="0"/>
                  <w:vAlign w:val="center"/>
                </w:tcPr>
                <w:p w14:paraId="1061485F">
                  <w:pPr>
                    <w:pStyle w:val="2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江苏涟水涟漪湖黄嘴白鹭省级自然保护区</w:t>
                  </w:r>
                </w:p>
              </w:tc>
              <w:tc>
                <w:tcPr>
                  <w:tcW w:w="554" w:type="pct"/>
                  <w:tcBorders>
                    <w:tl2br w:val="nil"/>
                    <w:tr2bl w:val="nil"/>
                  </w:tcBorders>
                  <w:noWrap w:val="0"/>
                  <w:vAlign w:val="center"/>
                </w:tcPr>
                <w:p w14:paraId="3DC0DB1A">
                  <w:pPr>
                    <w:pStyle w:val="2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生物多样性保护</w:t>
                  </w:r>
                </w:p>
              </w:tc>
              <w:tc>
                <w:tcPr>
                  <w:tcW w:w="1562" w:type="pct"/>
                  <w:tcBorders>
                    <w:tl2br w:val="nil"/>
                    <w:tr2bl w:val="nil"/>
                  </w:tcBorders>
                  <w:noWrap w:val="0"/>
                  <w:vAlign w:val="center"/>
                </w:tcPr>
                <w:p w14:paraId="6BE7CAF0">
                  <w:pPr>
                    <w:pStyle w:val="2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包括自然保护区核心区、缓冲区和实验区。自然保护区五岛公园以及相连水域为核心区和缓冲区。实验区范围包括涟水县涟城镇的五岛公园以及相连水域，城郊废黄河沿线的林区和水域、湿地生态系统。坐标为：118°59′E</w:t>
                  </w:r>
                  <w:r>
                    <w:rPr>
                      <w:rFonts w:hint="eastAsia" w:ascii="Times New Roman" w:hAnsi="Times New Roman" w:eastAsia="宋体" w:cs="Times New Roman"/>
                      <w:color w:val="auto"/>
                      <w:kern w:val="2"/>
                      <w:sz w:val="18"/>
                      <w:szCs w:val="18"/>
                      <w:lang w:val="en-US" w:eastAsia="zh-CN"/>
                    </w:rPr>
                    <w:t>至</w:t>
                  </w:r>
                  <w:r>
                    <w:rPr>
                      <w:rFonts w:hint="default" w:ascii="Times New Roman" w:hAnsi="Times New Roman" w:eastAsia="宋体" w:cs="Times New Roman"/>
                      <w:color w:val="auto"/>
                      <w:kern w:val="2"/>
                      <w:sz w:val="18"/>
                      <w:szCs w:val="18"/>
                      <w:lang w:val="en-US" w:eastAsia="zh-CN"/>
                    </w:rPr>
                    <w:t>119°35′E，33°45′N 至34°65′N之间。</w:t>
                  </w:r>
                </w:p>
              </w:tc>
              <w:tc>
                <w:tcPr>
                  <w:tcW w:w="1475" w:type="pct"/>
                  <w:tcBorders>
                    <w:tl2br w:val="nil"/>
                    <w:tr2bl w:val="nil"/>
                  </w:tcBorders>
                  <w:noWrap w:val="0"/>
                  <w:vAlign w:val="center"/>
                </w:tcPr>
                <w:p w14:paraId="3A693C57">
                  <w:pPr>
                    <w:pStyle w:val="2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w:t>
                  </w:r>
                </w:p>
              </w:tc>
              <w:tc>
                <w:tcPr>
                  <w:tcW w:w="699" w:type="pct"/>
                  <w:tcBorders>
                    <w:tl2br w:val="nil"/>
                    <w:tr2bl w:val="nil"/>
                  </w:tcBorders>
                  <w:noWrap w:val="0"/>
                  <w:vAlign w:val="center"/>
                </w:tcPr>
                <w:p w14:paraId="675C1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方位</w:t>
                  </w:r>
                  <w:r>
                    <w:rPr>
                      <w:rFonts w:hint="default" w:ascii="Times New Roman" w:hAnsi="Times New Roman" w:eastAsia="宋体" w:cs="Times New Roman"/>
                      <w:color w:val="auto"/>
                      <w:sz w:val="18"/>
                      <w:szCs w:val="18"/>
                      <w:lang w:val="en-US" w:eastAsia="zh-CN"/>
                    </w:rPr>
                    <w:t>S</w:t>
                  </w:r>
                  <w:r>
                    <w:rPr>
                      <w:rFonts w:hint="eastAsia" w:ascii="Times New Roman" w:hAnsi="Times New Roman" w:eastAsia="宋体" w:cs="Times New Roman"/>
                      <w:color w:val="auto"/>
                      <w:sz w:val="18"/>
                      <w:szCs w:val="18"/>
                      <w:lang w:val="en-US" w:eastAsia="zh-CN"/>
                    </w:rPr>
                    <w:t>W</w:t>
                  </w:r>
                </w:p>
                <w:p w14:paraId="757C85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2.6</w:t>
                  </w:r>
                  <w:r>
                    <w:rPr>
                      <w:rFonts w:hint="default" w:ascii="Times New Roman" w:hAnsi="Times New Roman" w:eastAsia="宋体" w:cs="Times New Roman"/>
                      <w:color w:val="auto"/>
                      <w:sz w:val="18"/>
                      <w:szCs w:val="18"/>
                      <w:lang w:val="en-US" w:eastAsia="zh-CN"/>
                    </w:rPr>
                    <w:t>k</w:t>
                  </w:r>
                  <w:r>
                    <w:rPr>
                      <w:rFonts w:hint="default" w:ascii="Times New Roman" w:hAnsi="Times New Roman" w:eastAsia="宋体" w:cs="Times New Roman"/>
                      <w:color w:val="auto"/>
                      <w:sz w:val="18"/>
                      <w:szCs w:val="18"/>
                      <w:lang w:eastAsia="zh-CN"/>
                    </w:rPr>
                    <w:t>m</w:t>
                  </w:r>
                </w:p>
              </w:tc>
            </w:tr>
            <w:tr w14:paraId="22A7B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8" w:type="pct"/>
                  <w:tcBorders>
                    <w:tl2br w:val="nil"/>
                    <w:tr2bl w:val="nil"/>
                  </w:tcBorders>
                  <w:noWrap w:val="0"/>
                  <w:vAlign w:val="center"/>
                </w:tcPr>
                <w:p w14:paraId="787ED637">
                  <w:pPr>
                    <w:pStyle w:val="2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废黄河（涟水县）重要湿地</w:t>
                  </w:r>
                </w:p>
              </w:tc>
              <w:tc>
                <w:tcPr>
                  <w:tcW w:w="554" w:type="pct"/>
                  <w:tcBorders>
                    <w:tl2br w:val="nil"/>
                    <w:tr2bl w:val="nil"/>
                  </w:tcBorders>
                  <w:noWrap w:val="0"/>
                  <w:vAlign w:val="center"/>
                </w:tcPr>
                <w:p w14:paraId="0B2F5DB1">
                  <w:pPr>
                    <w:pStyle w:val="2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湿地生态系统保护</w:t>
                  </w:r>
                </w:p>
              </w:tc>
              <w:tc>
                <w:tcPr>
                  <w:tcW w:w="1562" w:type="pct"/>
                  <w:tcBorders>
                    <w:tl2br w:val="nil"/>
                    <w:tr2bl w:val="nil"/>
                  </w:tcBorders>
                  <w:noWrap w:val="0"/>
                  <w:vAlign w:val="center"/>
                </w:tcPr>
                <w:p w14:paraId="0E9BCF74">
                  <w:pPr>
                    <w:pStyle w:val="23"/>
                    <w:keepNext w:val="0"/>
                    <w:keepLines w:val="0"/>
                    <w:pageBreakBefore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eastAsia"/>
                      <w:color w:val="auto"/>
                      <w:sz w:val="18"/>
                      <w:szCs w:val="18"/>
                    </w:rPr>
                    <w:t>/</w:t>
                  </w:r>
                </w:p>
              </w:tc>
              <w:tc>
                <w:tcPr>
                  <w:tcW w:w="1475" w:type="pct"/>
                  <w:tcBorders>
                    <w:tl2br w:val="nil"/>
                    <w:tr2bl w:val="nil"/>
                  </w:tcBorders>
                  <w:noWrap w:val="0"/>
                  <w:vAlign w:val="center"/>
                </w:tcPr>
                <w:p w14:paraId="523E74A9">
                  <w:pPr>
                    <w:pStyle w:val="23"/>
                    <w:keepNext w:val="0"/>
                    <w:keepLines w:val="0"/>
                    <w:pageBreakBefore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kern w:val="2"/>
                      <w:sz w:val="18"/>
                      <w:szCs w:val="18"/>
                      <w:lang w:val="en-US" w:eastAsia="zh-CN" w:bidi="ar-SA"/>
                    </w:rPr>
                    <w:t>涟水县境内全长78公里，入口保滩镇殷家渡，出口石湖镇张滩，废黄河北岸保滩镇周庄村至石湖镇张滩村</w:t>
                  </w:r>
                  <w:r>
                    <w:rPr>
                      <w:rFonts w:hint="eastAsia" w:ascii="Times New Roman" w:hAnsi="Times New Roman" w:eastAsia="宋体" w:cs="Times New Roman"/>
                      <w:color w:val="auto"/>
                      <w:kern w:val="2"/>
                      <w:sz w:val="18"/>
                      <w:szCs w:val="18"/>
                      <w:lang w:val="en-US" w:eastAsia="zh-CN" w:bidi="ar-SA"/>
                    </w:rPr>
                    <w:t>。</w:t>
                  </w:r>
                </w:p>
              </w:tc>
              <w:tc>
                <w:tcPr>
                  <w:tcW w:w="699" w:type="pct"/>
                  <w:tcBorders>
                    <w:tl2br w:val="nil"/>
                    <w:tr2bl w:val="nil"/>
                  </w:tcBorders>
                  <w:noWrap w:val="0"/>
                  <w:vAlign w:val="center"/>
                </w:tcPr>
                <w:p w14:paraId="0E7EEF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方位</w:t>
                  </w:r>
                  <w:r>
                    <w:rPr>
                      <w:rFonts w:hint="eastAsia" w:ascii="Times New Roman" w:hAnsi="Times New Roman" w:eastAsia="宋体" w:cs="Times New Roman"/>
                      <w:color w:val="auto"/>
                      <w:sz w:val="18"/>
                      <w:szCs w:val="18"/>
                      <w:lang w:val="en-US" w:eastAsia="zh-CN"/>
                    </w:rPr>
                    <w:t>S</w:t>
                  </w:r>
                </w:p>
                <w:p w14:paraId="4C5F2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2.57k</w:t>
                  </w:r>
                  <w:r>
                    <w:rPr>
                      <w:rFonts w:hint="default" w:ascii="Times New Roman" w:hAnsi="Times New Roman" w:eastAsia="宋体" w:cs="Times New Roman"/>
                      <w:color w:val="auto"/>
                      <w:sz w:val="18"/>
                      <w:szCs w:val="18"/>
                      <w:lang w:eastAsia="zh-CN"/>
                    </w:rPr>
                    <w:t>m</w:t>
                  </w:r>
                </w:p>
              </w:tc>
            </w:tr>
          </w:tbl>
          <w:p w14:paraId="6BCFA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由</w:t>
            </w:r>
            <w:r>
              <w:rPr>
                <w:rFonts w:hint="eastAsia" w:ascii="Times New Roman" w:hAnsi="Times New Roman" w:eastAsia="宋体" w:cs="Times New Roman"/>
                <w:color w:val="auto"/>
                <w:sz w:val="24"/>
                <w:szCs w:val="24"/>
                <w:lang w:eastAsia="zh-CN"/>
              </w:rPr>
              <w:t>上</w:t>
            </w:r>
            <w:r>
              <w:rPr>
                <w:rFonts w:hint="default" w:ascii="Times New Roman" w:hAnsi="Times New Roman" w:eastAsia="宋体" w:cs="Times New Roman"/>
                <w:color w:val="auto"/>
                <w:sz w:val="24"/>
                <w:szCs w:val="24"/>
                <w:lang w:eastAsia="zh-CN"/>
              </w:rPr>
              <w:t>表可以看出，项目选址不在《江苏省生态空间管控区域规划》（苏政发</w:t>
            </w:r>
            <w:r>
              <w:rPr>
                <w:rFonts w:hint="eastAsia" w:ascii="Times New Roman" w:hAnsi="Times New Roman" w:eastAsia="宋体" w:cs="Times New Roman"/>
                <w:color w:val="auto"/>
                <w:sz w:val="24"/>
                <w:szCs w:val="24"/>
                <w:lang w:eastAsia="zh-CN"/>
              </w:rPr>
              <w:t>〔2020〕1号</w:t>
            </w:r>
            <w:r>
              <w:rPr>
                <w:rFonts w:hint="default" w:ascii="Times New Roman" w:hAnsi="Times New Roman" w:eastAsia="宋体" w:cs="Times New Roman"/>
                <w:color w:val="auto"/>
                <w:sz w:val="24"/>
                <w:szCs w:val="24"/>
                <w:lang w:eastAsia="zh-CN"/>
              </w:rPr>
              <w:t>）划定的国家级生态保护红线范围和生态空间管控区域范围内，不涉及《江苏省国家级生态保护红线规划》（苏政发</w:t>
            </w:r>
            <w:r>
              <w:rPr>
                <w:rFonts w:hint="eastAsia" w:ascii="Times New Roman" w:hAnsi="Times New Roman" w:eastAsia="宋体" w:cs="Times New Roman"/>
                <w:color w:val="auto"/>
                <w:sz w:val="24"/>
                <w:szCs w:val="24"/>
                <w:lang w:eastAsia="zh-CN"/>
              </w:rPr>
              <w:t>〔2018〕74号</w:t>
            </w:r>
            <w:r>
              <w:rPr>
                <w:rFonts w:hint="default" w:ascii="Times New Roman" w:hAnsi="Times New Roman" w:eastAsia="宋体" w:cs="Times New Roman"/>
                <w:color w:val="auto"/>
                <w:sz w:val="24"/>
                <w:szCs w:val="24"/>
                <w:lang w:eastAsia="zh-CN"/>
              </w:rPr>
              <w:t>）划定的国家级生态保护红线。因此，本项目的建设符合生态保护红线</w:t>
            </w:r>
            <w:r>
              <w:rPr>
                <w:rFonts w:hint="default" w:ascii="Times New Roman" w:hAnsi="Times New Roman" w:eastAsia="宋体" w:cs="Times New Roman"/>
                <w:color w:val="auto"/>
                <w:sz w:val="24"/>
                <w:szCs w:val="24"/>
                <w:lang w:val="en-US" w:eastAsia="zh-CN"/>
              </w:rPr>
              <w:t>相关文件</w:t>
            </w:r>
            <w:r>
              <w:rPr>
                <w:rFonts w:hint="default" w:ascii="Times New Roman" w:hAnsi="Times New Roman" w:eastAsia="宋体" w:cs="Times New Roman"/>
                <w:color w:val="auto"/>
                <w:sz w:val="24"/>
                <w:szCs w:val="24"/>
                <w:lang w:eastAsia="zh-CN"/>
              </w:rPr>
              <w:t>的要求。</w:t>
            </w:r>
          </w:p>
          <w:p w14:paraId="1DBED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color w:val="auto"/>
              </w:rPr>
            </w:pPr>
            <w:r>
              <w:rPr>
                <w:rFonts w:hint="eastAsia"/>
                <w:color w:val="auto"/>
                <w:sz w:val="24"/>
                <w:lang w:eastAsia="zh-CN"/>
              </w:rPr>
              <w:t>本项目</w:t>
            </w:r>
            <w:r>
              <w:rPr>
                <w:rFonts w:hint="eastAsia"/>
                <w:color w:val="auto"/>
                <w:sz w:val="24"/>
              </w:rPr>
              <w:t>与江苏省国家级生态保护红线区域位置关系详见</w:t>
            </w:r>
            <w:r>
              <w:rPr>
                <w:rFonts w:hint="eastAsia"/>
                <w:b/>
                <w:bCs w:val="0"/>
                <w:color w:val="auto"/>
                <w:sz w:val="24"/>
              </w:rPr>
              <w:t>附图</w:t>
            </w:r>
            <w:r>
              <w:rPr>
                <w:rFonts w:hint="eastAsia"/>
                <w:b/>
                <w:bCs w:val="0"/>
                <w:color w:val="auto"/>
                <w:sz w:val="24"/>
                <w:lang w:val="en-US" w:eastAsia="zh-CN"/>
              </w:rPr>
              <w:t>1</w:t>
            </w:r>
            <w:r>
              <w:rPr>
                <w:rFonts w:hint="eastAsia"/>
                <w:b w:val="0"/>
                <w:bCs/>
                <w:color w:val="auto"/>
                <w:sz w:val="24"/>
                <w:lang w:val="en-US" w:eastAsia="zh-CN"/>
              </w:rPr>
              <w:t>。</w:t>
            </w:r>
            <w:r>
              <w:rPr>
                <w:rFonts w:hint="eastAsia"/>
                <w:color w:val="auto"/>
                <w:lang w:eastAsia="zh-CN"/>
              </w:rPr>
              <w:t>本项目</w:t>
            </w:r>
            <w:r>
              <w:rPr>
                <w:rFonts w:hint="eastAsia"/>
                <w:color w:val="auto"/>
              </w:rPr>
              <w:t>与江苏省生态空间管控区域位置关系详见</w:t>
            </w:r>
            <w:r>
              <w:rPr>
                <w:rFonts w:hint="eastAsia"/>
                <w:b/>
                <w:bCs/>
                <w:color w:val="auto"/>
              </w:rPr>
              <w:t>附图</w:t>
            </w:r>
            <w:r>
              <w:rPr>
                <w:rFonts w:hint="eastAsia"/>
                <w:b/>
                <w:bCs/>
                <w:color w:val="auto"/>
                <w:lang w:val="en-US" w:eastAsia="zh-CN"/>
              </w:rPr>
              <w:t>2</w:t>
            </w:r>
            <w:r>
              <w:rPr>
                <w:rFonts w:hint="eastAsia"/>
                <w:color w:val="auto"/>
              </w:rPr>
              <w:t>。</w:t>
            </w:r>
          </w:p>
          <w:p w14:paraId="18183002">
            <w:pPr>
              <w:keepNext w:val="0"/>
              <w:keepLines w:val="0"/>
              <w:suppressLineNumbers w:val="0"/>
              <w:spacing w:before="0" w:beforeAutospacing="0" w:after="0" w:afterAutospacing="0"/>
              <w:ind w:left="0" w:right="0" w:firstLine="480"/>
              <w:rPr>
                <w:rFonts w:hint="eastAsia"/>
                <w:color w:val="auto"/>
              </w:rPr>
            </w:pPr>
            <w:r>
              <w:rPr>
                <w:rFonts w:hint="eastAsia"/>
                <w:color w:val="auto"/>
              </w:rPr>
              <w:t>②与</w:t>
            </w:r>
            <w:r>
              <w:rPr>
                <w:rFonts w:hint="eastAsia"/>
                <w:color w:val="auto"/>
                <w:sz w:val="24"/>
              </w:rPr>
              <w:t>《江苏省2023年</w:t>
            </w:r>
            <w:r>
              <w:rPr>
                <w:rFonts w:hint="eastAsia"/>
                <w:color w:val="auto"/>
                <w:sz w:val="24"/>
                <w:lang w:eastAsia="zh-CN"/>
              </w:rPr>
              <w:t>度</w:t>
            </w:r>
            <w:r>
              <w:rPr>
                <w:rFonts w:hint="eastAsia"/>
                <w:color w:val="auto"/>
                <w:sz w:val="24"/>
              </w:rPr>
              <w:t>生态环境分区管控成果动态更新成果公告</w:t>
            </w:r>
            <w:r>
              <w:rPr>
                <w:rFonts w:hint="eastAsia"/>
                <w:color w:val="auto"/>
                <w:sz w:val="24"/>
                <w:lang w:eastAsia="zh-CN"/>
              </w:rPr>
              <w:t>》《</w:t>
            </w:r>
            <w:r>
              <w:rPr>
                <w:rFonts w:hint="eastAsia"/>
                <w:color w:val="auto"/>
              </w:rPr>
              <w:t>江苏省政府关于印发</w:t>
            </w:r>
            <w:r>
              <w:rPr>
                <w:rFonts w:hint="eastAsia"/>
                <w:color w:val="auto"/>
                <w:lang w:eastAsia="zh-CN"/>
              </w:rPr>
              <w:t>〈</w:t>
            </w:r>
            <w:r>
              <w:rPr>
                <w:rFonts w:hint="eastAsia"/>
                <w:color w:val="auto"/>
              </w:rPr>
              <w:t>江苏省“三线一单”生态环境分区管控方案</w:t>
            </w:r>
            <w:r>
              <w:rPr>
                <w:rFonts w:hint="eastAsia"/>
                <w:color w:val="auto"/>
                <w:lang w:eastAsia="zh-CN"/>
              </w:rPr>
              <w:t>〉</w:t>
            </w:r>
            <w:r>
              <w:rPr>
                <w:rFonts w:hint="eastAsia"/>
                <w:color w:val="auto"/>
              </w:rPr>
              <w:t>的通知》（苏政发〔2020〕49号）相符性</w:t>
            </w:r>
          </w:p>
          <w:p w14:paraId="27C4DB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rPr>
              <w:t>对照《江苏省“三线一单”生态环境分区管控方案》（苏政发</w:t>
            </w:r>
            <w:r>
              <w:rPr>
                <w:rFonts w:hint="eastAsia" w:ascii="Times New Roman" w:hAnsi="Times New Roman" w:eastAsia="宋体" w:cs="Times New Roman"/>
                <w:color w:val="auto"/>
                <w:sz w:val="24"/>
                <w:szCs w:val="24"/>
                <w:lang w:eastAsia="zh-CN"/>
              </w:rPr>
              <w:t>〔2020〕49号</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及《江苏省2023年度生态环境分区管控动态更新成果公告》</w:t>
            </w:r>
            <w:r>
              <w:rPr>
                <w:rFonts w:hint="default" w:ascii="Times New Roman" w:hAnsi="Times New Roman" w:eastAsia="宋体" w:cs="Times New Roman"/>
                <w:color w:val="auto"/>
                <w:sz w:val="24"/>
                <w:szCs w:val="24"/>
              </w:rPr>
              <w:t>，本项目位于其中的</w:t>
            </w:r>
            <w:r>
              <w:rPr>
                <w:rFonts w:hint="eastAsia" w:ascii="Times New Roman" w:hAnsi="Times New Roman" w:eastAsia="宋体" w:cs="Times New Roman"/>
                <w:color w:val="auto"/>
                <w:sz w:val="24"/>
                <w:szCs w:val="24"/>
                <w:lang w:val="en-US" w:eastAsia="zh-CN"/>
              </w:rPr>
              <w:t>一般</w:t>
            </w:r>
            <w:r>
              <w:rPr>
                <w:rFonts w:hint="default" w:ascii="Times New Roman" w:hAnsi="Times New Roman" w:eastAsia="宋体" w:cs="Times New Roman"/>
                <w:color w:val="auto"/>
                <w:sz w:val="24"/>
                <w:szCs w:val="24"/>
              </w:rPr>
              <w:t>管控单元。</w:t>
            </w:r>
            <w:r>
              <w:rPr>
                <w:rFonts w:hint="default" w:ascii="Times New Roman" w:hAnsi="Times New Roman" w:eastAsia="宋体" w:cs="Times New Roman"/>
                <w:color w:val="auto"/>
                <w:sz w:val="24"/>
                <w:szCs w:val="24"/>
                <w:lang w:bidi="ar"/>
              </w:rPr>
              <w:t>一般管控单元</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指除优先保护单元、重点管控单元以外的其他区域衔接街道</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乡镇</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边界形成管控单元。</w:t>
            </w:r>
          </w:p>
          <w:p w14:paraId="34F99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本项目与《江苏省“三线一单”生态环境分区管控方案》（苏政发</w:t>
            </w:r>
            <w:r>
              <w:rPr>
                <w:rFonts w:hint="eastAsia" w:ascii="Times New Roman" w:hAnsi="Times New Roman" w:eastAsia="宋体" w:cs="Times New Roman"/>
                <w:color w:val="auto"/>
                <w:sz w:val="24"/>
                <w:szCs w:val="24"/>
                <w:lang w:eastAsia="zh-CN"/>
              </w:rPr>
              <w:t>〔2020〕49号</w:t>
            </w:r>
            <w:r>
              <w:rPr>
                <w:rFonts w:hint="default" w:ascii="Times New Roman" w:hAnsi="Times New Roman" w:eastAsia="宋体" w:cs="Times New Roman"/>
                <w:color w:val="auto"/>
                <w:sz w:val="24"/>
                <w:szCs w:val="24"/>
              </w:rPr>
              <w:t>）中江苏省省域生态环境管控要求相符性分析见表1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。本项目选址属于淮河流域，与江苏省重点区域（淮河流域）生态环境分区管控要求相符性分析见表1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p>
          <w:p w14:paraId="122735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表1</w:t>
            </w:r>
            <w:r>
              <w:rPr>
                <w:rFonts w:hint="eastAsia" w:cs="Times New Roman"/>
                <w:b/>
                <w:color w:val="auto"/>
                <w:kern w:val="2"/>
                <w:sz w:val="24"/>
                <w:szCs w:val="24"/>
                <w:lang w:val="en-US" w:eastAsia="zh-CN"/>
              </w:rPr>
              <w:t>.1</w:t>
            </w:r>
            <w:r>
              <w:rPr>
                <w:rFonts w:hint="default" w:ascii="Times New Roman" w:hAnsi="Times New Roman" w:eastAsia="宋体" w:cs="Times New Roman"/>
                <w:b/>
                <w:color w:val="auto"/>
                <w:kern w:val="2"/>
                <w:sz w:val="24"/>
                <w:szCs w:val="24"/>
              </w:rPr>
              <w:t>-</w:t>
            </w:r>
            <w:r>
              <w:rPr>
                <w:rFonts w:hint="eastAsia" w:ascii="Times New Roman" w:hAnsi="Times New Roman" w:eastAsia="宋体" w:cs="Times New Roman"/>
                <w:b/>
                <w:color w:val="auto"/>
                <w:kern w:val="2"/>
                <w:sz w:val="24"/>
                <w:szCs w:val="24"/>
                <w:lang w:val="en-US" w:eastAsia="zh-CN"/>
              </w:rPr>
              <w:t>2</w:t>
            </w:r>
            <w:r>
              <w:rPr>
                <w:rFonts w:hint="default" w:ascii="Times New Roman" w:hAnsi="Times New Roman" w:eastAsia="宋体" w:cs="Times New Roman"/>
                <w:b/>
                <w:color w:val="auto"/>
                <w:kern w:val="2"/>
                <w:sz w:val="24"/>
                <w:szCs w:val="24"/>
                <w:lang w:val="en-US" w:eastAsia="zh-CN"/>
              </w:rPr>
              <w:t xml:space="preserve"> </w:t>
            </w:r>
            <w:r>
              <w:rPr>
                <w:rFonts w:hint="default" w:ascii="Times New Roman" w:hAnsi="Times New Roman" w:eastAsia="宋体" w:cs="Times New Roman"/>
                <w:b/>
                <w:color w:val="auto"/>
                <w:kern w:val="2"/>
                <w:sz w:val="24"/>
                <w:szCs w:val="24"/>
              </w:rPr>
              <w:t>与江苏省省域生态环境管控要求相符性分析</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4725"/>
              <w:gridCol w:w="1965"/>
              <w:gridCol w:w="806"/>
            </w:tblGrid>
            <w:tr w14:paraId="62A7B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939" w:type="dxa"/>
                  <w:tcBorders>
                    <w:tl2br w:val="nil"/>
                    <w:tr2bl w:val="nil"/>
                  </w:tcBorders>
                  <w:noWrap w:val="0"/>
                  <w:vAlign w:val="center"/>
                </w:tcPr>
                <w:p w14:paraId="1FEB04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bidi="ar"/>
                    </w:rPr>
                  </w:pPr>
                  <w:r>
                    <w:rPr>
                      <w:rFonts w:hint="default" w:ascii="Times New Roman" w:hAnsi="Times New Roman" w:eastAsia="宋体" w:cs="Times New Roman"/>
                      <w:b/>
                      <w:bCs/>
                      <w:color w:val="auto"/>
                      <w:sz w:val="18"/>
                      <w:szCs w:val="18"/>
                      <w:lang w:bidi="ar"/>
                    </w:rPr>
                    <w:t>管控类别</w:t>
                  </w:r>
                </w:p>
              </w:tc>
              <w:tc>
                <w:tcPr>
                  <w:tcW w:w="4719" w:type="dxa"/>
                  <w:tcBorders>
                    <w:tl2br w:val="nil"/>
                    <w:tr2bl w:val="nil"/>
                  </w:tcBorders>
                  <w:noWrap w:val="0"/>
                  <w:vAlign w:val="center"/>
                </w:tcPr>
                <w:p w14:paraId="1C4A40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bidi="ar"/>
                    </w:rPr>
                  </w:pPr>
                  <w:r>
                    <w:rPr>
                      <w:rFonts w:hint="default" w:ascii="Times New Roman" w:hAnsi="Times New Roman" w:eastAsia="宋体" w:cs="Times New Roman"/>
                      <w:b/>
                      <w:bCs/>
                      <w:color w:val="auto"/>
                      <w:sz w:val="18"/>
                      <w:szCs w:val="18"/>
                      <w:lang w:bidi="ar"/>
                    </w:rPr>
                    <w:t>重点管控要求</w:t>
                  </w:r>
                </w:p>
              </w:tc>
              <w:tc>
                <w:tcPr>
                  <w:tcW w:w="1963" w:type="dxa"/>
                  <w:tcBorders>
                    <w:tl2br w:val="nil"/>
                    <w:tr2bl w:val="nil"/>
                  </w:tcBorders>
                  <w:noWrap w:val="0"/>
                  <w:vAlign w:val="center"/>
                </w:tcPr>
                <w:p w14:paraId="17A15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bidi="ar"/>
                    </w:rPr>
                  </w:pPr>
                  <w:r>
                    <w:rPr>
                      <w:rFonts w:hint="default" w:ascii="Times New Roman" w:hAnsi="Times New Roman" w:eastAsia="宋体" w:cs="Times New Roman"/>
                      <w:b/>
                      <w:bCs/>
                      <w:color w:val="auto"/>
                      <w:sz w:val="18"/>
                      <w:szCs w:val="18"/>
                      <w:lang w:bidi="ar"/>
                    </w:rPr>
                    <w:t>本项目情况</w:t>
                  </w:r>
                </w:p>
              </w:tc>
              <w:tc>
                <w:tcPr>
                  <w:tcW w:w="805" w:type="dxa"/>
                  <w:tcBorders>
                    <w:tl2br w:val="nil"/>
                    <w:tr2bl w:val="nil"/>
                  </w:tcBorders>
                  <w:noWrap w:val="0"/>
                  <w:vAlign w:val="center"/>
                </w:tcPr>
                <w:p w14:paraId="59C5D0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bidi="ar"/>
                    </w:rPr>
                  </w:pPr>
                  <w:r>
                    <w:rPr>
                      <w:rFonts w:hint="default" w:ascii="Times New Roman" w:hAnsi="Times New Roman" w:eastAsia="宋体" w:cs="Times New Roman"/>
                      <w:b/>
                      <w:bCs/>
                      <w:color w:val="auto"/>
                      <w:sz w:val="18"/>
                      <w:szCs w:val="18"/>
                      <w:lang w:bidi="ar"/>
                    </w:rPr>
                    <w:t>相符性</w:t>
                  </w:r>
                </w:p>
              </w:tc>
            </w:tr>
            <w:tr w14:paraId="0EDA0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tcBorders>
                    <w:tl2br w:val="nil"/>
                    <w:tr2bl w:val="nil"/>
                  </w:tcBorders>
                  <w:noWrap w:val="0"/>
                  <w:vAlign w:val="center"/>
                </w:tcPr>
                <w:p w14:paraId="24DFEE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空间布局约束</w:t>
                  </w:r>
                </w:p>
              </w:tc>
              <w:tc>
                <w:tcPr>
                  <w:tcW w:w="4719" w:type="dxa"/>
                  <w:tcBorders>
                    <w:tl2br w:val="nil"/>
                    <w:tr2bl w:val="nil"/>
                  </w:tcBorders>
                  <w:noWrap w:val="0"/>
                  <w:vAlign w:val="center"/>
                </w:tcPr>
                <w:p w14:paraId="295563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1.按照《自然资源部 生态环境部 国家林业和草原局关于加强生态保护红线管理的通知（试行）》（自然资发</w:t>
                  </w:r>
                  <w:r>
                    <w:rPr>
                      <w:rFonts w:hint="eastAsia" w:ascii="Times New Roman" w:hAnsi="Times New Roman" w:eastAsia="宋体" w:cs="Times New Roman"/>
                      <w:color w:val="auto"/>
                      <w:sz w:val="18"/>
                      <w:szCs w:val="18"/>
                      <w:lang w:eastAsia="zh-CN" w:bidi="ar"/>
                    </w:rPr>
                    <w:t>〔2022〕142号</w:t>
                  </w:r>
                  <w:r>
                    <w:rPr>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《省政府关于印发江苏省生态空间管控区域规划的通知》（苏政发</w:t>
                  </w:r>
                  <w:r>
                    <w:rPr>
                      <w:rFonts w:hint="eastAsia" w:ascii="Times New Roman" w:hAnsi="Times New Roman" w:eastAsia="宋体" w:cs="Times New Roman"/>
                      <w:color w:val="auto"/>
                      <w:sz w:val="18"/>
                      <w:szCs w:val="18"/>
                      <w:lang w:eastAsia="zh-CN" w:bidi="ar"/>
                    </w:rPr>
                    <w:t>〔2020〕1号</w:t>
                  </w:r>
                  <w:r>
                    <w:rPr>
                      <w:rFonts w:hint="default" w:ascii="Times New Roman" w:hAnsi="Times New Roman" w:eastAsia="宋体" w:cs="Times New Roman"/>
                      <w:color w:val="auto"/>
                      <w:sz w:val="18"/>
                      <w:szCs w:val="18"/>
                      <w:lang w:bidi="ar"/>
                    </w:rPr>
                    <w:t>）、《关于进一步加强生态保护红线监督管理的通知》（苏自然函</w:t>
                  </w:r>
                  <w:r>
                    <w:rPr>
                      <w:rFonts w:hint="eastAsia" w:ascii="Times New Roman" w:hAnsi="Times New Roman" w:eastAsia="宋体" w:cs="Times New Roman"/>
                      <w:color w:val="auto"/>
                      <w:sz w:val="18"/>
                      <w:szCs w:val="18"/>
                      <w:lang w:eastAsia="zh-CN" w:bidi="ar"/>
                    </w:rPr>
                    <w:t>〔2023〕880号</w:t>
                  </w:r>
                  <w:r>
                    <w:rPr>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sz w:val="18"/>
                      <w:szCs w:val="18"/>
                      <w:lang w:eastAsia="zh-CN" w:bidi="ar"/>
                    </w:rPr>
                    <w:t>、《江苏省国土空间规划（2021</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eastAsia="zh-CN" w:bidi="ar"/>
                    </w:rPr>
                    <w:t>2035年）》（国函</w:t>
                  </w:r>
                  <w:r>
                    <w:rPr>
                      <w:rFonts w:hint="eastAsia" w:ascii="Times New Roman" w:hAnsi="Times New Roman" w:eastAsia="宋体" w:cs="Times New Roman"/>
                      <w:color w:val="auto"/>
                      <w:sz w:val="18"/>
                      <w:szCs w:val="18"/>
                      <w:lang w:eastAsia="zh-CN" w:bidi="ar"/>
                    </w:rPr>
                    <w:t>〔2023〕69号</w:t>
                  </w:r>
                  <w:r>
                    <w:rPr>
                      <w:rFonts w:hint="default"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，坚持节约优先、保护优先、自然恢复为主的方针，以改善生态环境质量为核心，以保障和维护生态功能为主线，统筹</w:t>
                  </w:r>
                  <w:r>
                    <w:rPr>
                      <w:rFonts w:hint="eastAsia" w:cs="Times New Roman"/>
                      <w:color w:val="auto"/>
                      <w:sz w:val="18"/>
                      <w:szCs w:val="18"/>
                      <w:lang w:eastAsia="zh-CN" w:bidi="ar"/>
                    </w:rPr>
                    <w:t>山水林田湖草沙一体化保护</w:t>
                  </w:r>
                  <w:r>
                    <w:rPr>
                      <w:rFonts w:hint="default" w:ascii="Times New Roman" w:hAnsi="Times New Roman" w:eastAsia="宋体" w:cs="Times New Roman"/>
                      <w:color w:val="auto"/>
                      <w:sz w:val="18"/>
                      <w:szCs w:val="18"/>
                      <w:lang w:bidi="ar"/>
                    </w:rPr>
                    <w:t>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6770F8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2.牢牢把握推动长江经济带发展“</w:t>
                  </w:r>
                  <w:r>
                    <w:rPr>
                      <w:rFonts w:hint="eastAsia" w:ascii="Times New Roman" w:hAnsi="Times New Roman" w:eastAsia="宋体" w:cs="Times New Roman"/>
                      <w:color w:val="auto"/>
                      <w:sz w:val="18"/>
                      <w:szCs w:val="18"/>
                      <w:lang w:eastAsia="zh-CN" w:bidi="ar"/>
                    </w:rPr>
                    <w:t>共抓大保护、不搞大开发</w:t>
                  </w:r>
                  <w:r>
                    <w:rPr>
                      <w:rFonts w:hint="default" w:ascii="Times New Roman" w:hAnsi="Times New Roman" w:eastAsia="宋体" w:cs="Times New Roman"/>
                      <w:color w:val="auto"/>
                      <w:sz w:val="18"/>
                      <w:szCs w:val="18"/>
                      <w:lang w:bidi="ar"/>
                    </w:rPr>
                    <w:t>”战略导向，对省域范围内需要重点保护的岸线、河段和区域实行严格管控，管住控好排放量大、耗能高、产能过剩的产业，推动长江经济带高质量发展。</w:t>
                  </w:r>
                </w:p>
                <w:p w14:paraId="7EB676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2E9F4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5EB72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5.对列入国家和省规划，涉及生态保护红线和相关法定保护区的</w:t>
                  </w:r>
                  <w:r>
                    <w:rPr>
                      <w:rFonts w:hint="eastAsia" w:ascii="Times New Roman" w:hAnsi="Times New Roman" w:eastAsia="宋体" w:cs="Times New Roman"/>
                      <w:color w:val="auto"/>
                      <w:sz w:val="18"/>
                      <w:szCs w:val="18"/>
                      <w:lang w:eastAsia="zh-CN" w:bidi="ar"/>
                    </w:rPr>
                    <w:t>重要民生项目</w:t>
                  </w:r>
                  <w:r>
                    <w:rPr>
                      <w:rFonts w:hint="default" w:ascii="Times New Roman" w:hAnsi="Times New Roman" w:eastAsia="宋体" w:cs="Times New Roman"/>
                      <w:color w:val="auto"/>
                      <w:sz w:val="18"/>
                      <w:szCs w:val="18"/>
                      <w:lang w:bidi="ar"/>
                    </w:rPr>
                    <w:t>、重大基础设施项目</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交通基础设施项目等</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，应优化空间布局</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选线</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、主动避让</w:t>
                  </w:r>
                  <w:r>
                    <w:rPr>
                      <w:rFonts w:hint="default"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确实无法避让的，应采取无害化方式</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如无害化穿、跨越方式等</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，依法依规履行行政审批手续</w:t>
                  </w:r>
                  <w:r>
                    <w:rPr>
                      <w:rFonts w:hint="default"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强化减缓生态环境影响和生态补偿措施。</w:t>
                  </w:r>
                </w:p>
              </w:tc>
              <w:tc>
                <w:tcPr>
                  <w:tcW w:w="1963" w:type="dxa"/>
                  <w:tcBorders>
                    <w:tl2br w:val="nil"/>
                    <w:tr2bl w:val="nil"/>
                  </w:tcBorders>
                  <w:noWrap w:val="0"/>
                  <w:vAlign w:val="center"/>
                </w:tcPr>
                <w:p w14:paraId="7AA7AD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eastAsia" w:ascii="Times New Roman" w:hAnsi="Times New Roman" w:eastAsia="宋体" w:cs="Times New Roman"/>
                      <w:color w:val="auto"/>
                      <w:sz w:val="18"/>
                      <w:szCs w:val="18"/>
                      <w:lang w:val="en-US" w:eastAsia="zh-CN" w:bidi="ar"/>
                    </w:rPr>
                    <w:t>1.</w:t>
                  </w:r>
                  <w:r>
                    <w:rPr>
                      <w:rFonts w:hint="default" w:ascii="Times New Roman" w:hAnsi="Times New Roman" w:eastAsia="宋体" w:cs="Times New Roman"/>
                      <w:color w:val="auto"/>
                      <w:sz w:val="18"/>
                      <w:szCs w:val="18"/>
                      <w:lang w:bidi="ar"/>
                    </w:rPr>
                    <w:t>对照《江苏省生态空间管控区域规划的通知》（苏政发</w:t>
                  </w:r>
                  <w:r>
                    <w:rPr>
                      <w:rFonts w:hint="eastAsia" w:ascii="Times New Roman" w:hAnsi="Times New Roman" w:eastAsia="宋体" w:cs="Times New Roman"/>
                      <w:color w:val="auto"/>
                      <w:sz w:val="18"/>
                      <w:szCs w:val="18"/>
                      <w:lang w:eastAsia="zh-CN" w:bidi="ar"/>
                    </w:rPr>
                    <w:t>〔2020〕1号</w:t>
                  </w:r>
                  <w:r>
                    <w:rPr>
                      <w:rFonts w:hint="default" w:ascii="Times New Roman" w:hAnsi="Times New Roman" w:eastAsia="宋体" w:cs="Times New Roman"/>
                      <w:color w:val="auto"/>
                      <w:sz w:val="18"/>
                      <w:szCs w:val="18"/>
                      <w:lang w:bidi="ar"/>
                    </w:rPr>
                    <w:t>）</w:t>
                  </w:r>
                  <w:r>
                    <w:rPr>
                      <w:rFonts w:hint="eastAsia" w:ascii="Times New Roman" w:hAnsi="Times New Roman" w:eastAsia="宋体" w:cs="Times New Roman"/>
                      <w:color w:val="auto"/>
                      <w:sz w:val="18"/>
                      <w:szCs w:val="18"/>
                      <w:lang w:val="en-US" w:eastAsia="zh-CN" w:bidi="ar"/>
                    </w:rPr>
                    <w:t>等相关文件</w:t>
                  </w:r>
                  <w:r>
                    <w:rPr>
                      <w:rFonts w:hint="default" w:ascii="Times New Roman" w:hAnsi="Times New Roman" w:eastAsia="宋体" w:cs="Times New Roman"/>
                      <w:color w:val="auto"/>
                      <w:sz w:val="18"/>
                      <w:szCs w:val="18"/>
                      <w:lang w:bidi="ar"/>
                    </w:rPr>
                    <w:t>，本项目</w:t>
                  </w:r>
                  <w:r>
                    <w:rPr>
                      <w:rFonts w:hint="default" w:ascii="Times New Roman" w:hAnsi="Times New Roman" w:eastAsia="宋体" w:cs="Times New Roman"/>
                      <w:color w:val="auto"/>
                      <w:sz w:val="18"/>
                      <w:szCs w:val="18"/>
                      <w:lang w:val="en-US" w:eastAsia="zh-CN" w:bidi="ar"/>
                    </w:rPr>
                    <w:t>选址</w:t>
                  </w:r>
                  <w:r>
                    <w:rPr>
                      <w:rFonts w:hint="default" w:ascii="Times New Roman" w:hAnsi="Times New Roman" w:eastAsia="宋体" w:cs="Times New Roman"/>
                      <w:color w:val="auto"/>
                      <w:sz w:val="18"/>
                      <w:szCs w:val="18"/>
                      <w:lang w:bidi="ar"/>
                    </w:rPr>
                    <w:t>不在生态空间管控区域范围内。</w:t>
                  </w:r>
                </w:p>
                <w:p w14:paraId="3CEC84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eastAsia="zh-CN" w:bidi="ar"/>
                    </w:rPr>
                  </w:pPr>
                  <w:r>
                    <w:rPr>
                      <w:rFonts w:hint="eastAsia" w:ascii="Times New Roman" w:hAnsi="Times New Roman" w:eastAsia="宋体" w:cs="Times New Roman"/>
                      <w:color w:val="auto"/>
                      <w:sz w:val="18"/>
                      <w:szCs w:val="18"/>
                      <w:lang w:val="en-US" w:eastAsia="zh-CN" w:bidi="ar"/>
                    </w:rPr>
                    <w:t>2.</w:t>
                  </w:r>
                  <w:r>
                    <w:rPr>
                      <w:rFonts w:hint="default" w:ascii="Times New Roman" w:hAnsi="Times New Roman" w:eastAsia="宋体" w:cs="Times New Roman"/>
                      <w:color w:val="auto"/>
                      <w:sz w:val="18"/>
                      <w:szCs w:val="18"/>
                      <w:lang w:bidi="ar"/>
                    </w:rPr>
                    <w:t>本项目</w:t>
                  </w:r>
                  <w:r>
                    <w:rPr>
                      <w:rFonts w:hint="eastAsia" w:ascii="Times New Roman" w:hAnsi="Times New Roman" w:eastAsia="宋体" w:cs="Times New Roman"/>
                      <w:color w:val="auto"/>
                      <w:sz w:val="18"/>
                      <w:szCs w:val="18"/>
                      <w:lang w:eastAsia="zh-CN" w:bidi="ar"/>
                    </w:rPr>
                    <w:t>为医院配套的教学科研楼建设项目（属于M7340医学研究和试验发展），</w:t>
                  </w:r>
                  <w:r>
                    <w:rPr>
                      <w:rFonts w:hint="default" w:ascii="Times New Roman" w:hAnsi="Times New Roman" w:eastAsia="宋体" w:cs="Times New Roman"/>
                      <w:color w:val="auto"/>
                      <w:sz w:val="18"/>
                      <w:szCs w:val="18"/>
                      <w:lang w:bidi="ar"/>
                    </w:rPr>
                    <w:t>不属于排放量大、耗能高、产能过剩的产业</w:t>
                  </w:r>
                  <w:r>
                    <w:rPr>
                      <w:rFonts w:hint="eastAsia" w:ascii="Times New Roman" w:hAnsi="Times New Roman" w:eastAsia="宋体" w:cs="Times New Roman"/>
                      <w:color w:val="auto"/>
                      <w:sz w:val="18"/>
                      <w:szCs w:val="18"/>
                      <w:lang w:eastAsia="zh-CN" w:bidi="ar"/>
                    </w:rPr>
                    <w:t>。</w:t>
                  </w:r>
                </w:p>
                <w:p w14:paraId="73A44E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bidi="ar"/>
                    </w:rPr>
                  </w:pPr>
                  <w:r>
                    <w:rPr>
                      <w:rFonts w:hint="eastAsia" w:ascii="Times New Roman" w:hAnsi="Times New Roman" w:eastAsia="宋体" w:cs="Times New Roman"/>
                      <w:color w:val="auto"/>
                      <w:sz w:val="18"/>
                      <w:szCs w:val="18"/>
                      <w:lang w:val="en-US" w:eastAsia="zh-CN" w:bidi="ar"/>
                    </w:rPr>
                    <w:t>3.本项目</w:t>
                  </w:r>
                  <w:r>
                    <w:rPr>
                      <w:rFonts w:hint="default" w:ascii="Times New Roman" w:hAnsi="Times New Roman" w:eastAsia="宋体" w:cs="Times New Roman"/>
                      <w:color w:val="auto"/>
                      <w:sz w:val="18"/>
                      <w:szCs w:val="18"/>
                      <w:lang w:val="en-US" w:eastAsia="zh-CN" w:bidi="ar"/>
                    </w:rPr>
                    <w:t>不属于</w:t>
                  </w:r>
                  <w:r>
                    <w:rPr>
                      <w:rFonts w:hint="default" w:ascii="Times New Roman" w:hAnsi="Times New Roman" w:eastAsia="宋体" w:cs="Times New Roman"/>
                      <w:color w:val="auto"/>
                      <w:sz w:val="18"/>
                      <w:szCs w:val="18"/>
                      <w:lang w:bidi="ar"/>
                    </w:rPr>
                    <w:t>化工生产企业</w:t>
                  </w:r>
                  <w:r>
                    <w:rPr>
                      <w:rFonts w:hint="eastAsia" w:ascii="Times New Roman" w:hAnsi="Times New Roman" w:eastAsia="宋体" w:cs="Times New Roman"/>
                      <w:color w:val="auto"/>
                      <w:sz w:val="18"/>
                      <w:szCs w:val="18"/>
                      <w:lang w:val="en-US" w:eastAsia="zh-CN" w:bidi="ar"/>
                    </w:rPr>
                    <w:t>。</w:t>
                  </w:r>
                </w:p>
                <w:p w14:paraId="428DF0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rPr>
                  </w:pPr>
                  <w:r>
                    <w:rPr>
                      <w:rFonts w:hint="eastAsia" w:ascii="Times New Roman" w:hAnsi="Times New Roman" w:eastAsia="宋体" w:cs="Times New Roman"/>
                      <w:color w:val="auto"/>
                      <w:sz w:val="18"/>
                      <w:szCs w:val="18"/>
                      <w:lang w:val="en-US" w:eastAsia="zh-CN" w:bidi="ar"/>
                    </w:rPr>
                    <w:t>4.本项目</w:t>
                  </w:r>
                  <w:r>
                    <w:rPr>
                      <w:rFonts w:hint="default" w:ascii="Times New Roman" w:hAnsi="Times New Roman" w:eastAsia="宋体" w:cs="Times New Roman"/>
                      <w:color w:val="auto"/>
                      <w:sz w:val="18"/>
                      <w:szCs w:val="18"/>
                      <w:lang w:val="en-US" w:eastAsia="zh-CN" w:bidi="ar"/>
                    </w:rPr>
                    <w:t>不涉及钢铁行业</w:t>
                  </w:r>
                  <w:r>
                    <w:rPr>
                      <w:rFonts w:hint="default" w:ascii="Times New Roman" w:hAnsi="Times New Roman" w:eastAsia="宋体" w:cs="Times New Roman"/>
                      <w:color w:val="auto"/>
                      <w:sz w:val="18"/>
                      <w:szCs w:val="18"/>
                      <w:lang w:bidi="ar"/>
                    </w:rPr>
                    <w:t>转型升级优化布局</w:t>
                  </w:r>
                  <w:r>
                    <w:rPr>
                      <w:rFonts w:hint="default" w:ascii="Times New Roman" w:hAnsi="Times New Roman" w:eastAsia="宋体" w:cs="Times New Roman"/>
                      <w:color w:val="auto"/>
                      <w:sz w:val="18"/>
                      <w:szCs w:val="18"/>
                      <w:lang w:eastAsia="zh-CN" w:bidi="ar"/>
                    </w:rPr>
                    <w:t>。</w:t>
                  </w:r>
                </w:p>
                <w:p w14:paraId="327EA4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bidi="ar"/>
                    </w:rPr>
                  </w:pPr>
                  <w:r>
                    <w:rPr>
                      <w:rFonts w:hint="eastAsia"/>
                      <w:color w:val="auto"/>
                      <w:sz w:val="18"/>
                      <w:szCs w:val="18"/>
                      <w:lang w:val="en-US" w:eastAsia="zh-CN"/>
                    </w:rPr>
                    <w:t>5.本项目选址不涉及</w:t>
                  </w:r>
                  <w:r>
                    <w:rPr>
                      <w:rFonts w:hint="default" w:ascii="Times New Roman" w:hAnsi="Times New Roman" w:eastAsia="宋体" w:cs="Times New Roman"/>
                      <w:color w:val="auto"/>
                      <w:sz w:val="18"/>
                      <w:szCs w:val="18"/>
                      <w:lang w:bidi="ar"/>
                    </w:rPr>
                    <w:t>生态保护红线和相关法定保护区</w:t>
                  </w:r>
                  <w:r>
                    <w:rPr>
                      <w:rFonts w:hint="eastAsia" w:ascii="Times New Roman" w:hAnsi="Times New Roman" w:eastAsia="宋体" w:cs="Times New Roman"/>
                      <w:color w:val="auto"/>
                      <w:sz w:val="18"/>
                      <w:szCs w:val="18"/>
                      <w:lang w:eastAsia="zh-CN" w:bidi="ar"/>
                    </w:rPr>
                    <w:t>。</w:t>
                  </w:r>
                </w:p>
              </w:tc>
              <w:tc>
                <w:tcPr>
                  <w:tcW w:w="805" w:type="dxa"/>
                  <w:tcBorders>
                    <w:tl2br w:val="nil"/>
                    <w:tr2bl w:val="nil"/>
                  </w:tcBorders>
                  <w:noWrap w:val="0"/>
                  <w:vAlign w:val="center"/>
                </w:tcPr>
                <w:p w14:paraId="4D71E4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符合</w:t>
                  </w:r>
                </w:p>
              </w:tc>
            </w:tr>
            <w:tr w14:paraId="39039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939" w:type="dxa"/>
                  <w:tcBorders>
                    <w:tl2br w:val="nil"/>
                    <w:tr2bl w:val="nil"/>
                  </w:tcBorders>
                  <w:noWrap w:val="0"/>
                  <w:vAlign w:val="center"/>
                </w:tcPr>
                <w:p w14:paraId="25621B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污染物</w:t>
                  </w:r>
                </w:p>
                <w:p w14:paraId="7034C2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排放管控</w:t>
                  </w:r>
                </w:p>
              </w:tc>
              <w:tc>
                <w:tcPr>
                  <w:tcW w:w="4719" w:type="dxa"/>
                  <w:tcBorders>
                    <w:tl2br w:val="nil"/>
                    <w:tr2bl w:val="nil"/>
                  </w:tcBorders>
                  <w:noWrap w:val="0"/>
                  <w:vAlign w:val="center"/>
                </w:tcPr>
                <w:p w14:paraId="5369BC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1.坚持生态环境质量只能更好、不能变坏，实施污染物总量控制，以环境容量定产业、定项目、定规模，确保开发建设行为不突破生态环境承载力。</w:t>
                  </w:r>
                </w:p>
                <w:p w14:paraId="7BB043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2.2025年，主要污染物排放减排完成国家下达任务，单位工业增加值二氧化碳排放量下降20%，主要高耗能行业单位产品二氧化碳排放达到世界先进水平。实施氮氧化物（NO</w:t>
                  </w:r>
                  <w:r>
                    <w:rPr>
                      <w:rFonts w:hint="default" w:ascii="Times New Roman" w:hAnsi="Times New Roman" w:eastAsia="宋体" w:cs="Times New Roman"/>
                      <w:color w:val="auto"/>
                      <w:sz w:val="18"/>
                      <w:szCs w:val="18"/>
                      <w:vertAlign w:val="subscript"/>
                      <w:lang w:bidi="ar"/>
                    </w:rPr>
                    <w:t>x</w:t>
                  </w:r>
                  <w:r>
                    <w:rPr>
                      <w:rFonts w:hint="default" w:ascii="Times New Roman" w:hAnsi="Times New Roman" w:eastAsia="宋体" w:cs="Times New Roman"/>
                      <w:color w:val="auto"/>
                      <w:sz w:val="18"/>
                      <w:szCs w:val="18"/>
                      <w:lang w:bidi="ar"/>
                    </w:rPr>
                    <w:t>）和VOCs协同减排，推进多污染物和关联区域</w:t>
                  </w:r>
                  <w:r>
                    <w:rPr>
                      <w:rFonts w:hint="eastAsia" w:ascii="Times New Roman" w:hAnsi="Times New Roman" w:eastAsia="宋体" w:cs="Times New Roman"/>
                      <w:color w:val="auto"/>
                      <w:sz w:val="18"/>
                      <w:szCs w:val="18"/>
                      <w:lang w:val="en-US" w:eastAsia="zh-CN" w:bidi="ar"/>
                    </w:rPr>
                    <w:t>联</w:t>
                  </w:r>
                  <w:r>
                    <w:rPr>
                      <w:rFonts w:hint="default" w:ascii="Times New Roman" w:hAnsi="Times New Roman" w:eastAsia="宋体" w:cs="Times New Roman"/>
                      <w:color w:val="auto"/>
                      <w:sz w:val="18"/>
                      <w:szCs w:val="18"/>
                      <w:lang w:bidi="ar"/>
                    </w:rPr>
                    <w:t>防联控。</w:t>
                  </w:r>
                </w:p>
              </w:tc>
              <w:tc>
                <w:tcPr>
                  <w:tcW w:w="1963" w:type="dxa"/>
                  <w:tcBorders>
                    <w:tl2br w:val="nil"/>
                    <w:tr2bl w:val="nil"/>
                  </w:tcBorders>
                  <w:noWrap w:val="0"/>
                  <w:vAlign w:val="center"/>
                </w:tcPr>
                <w:p w14:paraId="79F2AC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eastAsia" w:ascii="Times New Roman" w:hAnsi="Times New Roman" w:eastAsia="宋体" w:cs="Times New Roman"/>
                      <w:color w:val="auto"/>
                      <w:sz w:val="18"/>
                      <w:szCs w:val="18"/>
                      <w:lang w:val="en-US" w:eastAsia="zh-CN" w:bidi="ar"/>
                    </w:rPr>
                    <w:t>1.</w:t>
                  </w:r>
                  <w:r>
                    <w:rPr>
                      <w:rFonts w:hint="default" w:ascii="Times New Roman" w:hAnsi="Times New Roman" w:eastAsia="宋体" w:cs="Times New Roman"/>
                      <w:color w:val="auto"/>
                      <w:sz w:val="18"/>
                      <w:szCs w:val="18"/>
                      <w:lang w:bidi="ar"/>
                    </w:rPr>
                    <w:t>本项目</w:t>
                  </w:r>
                  <w:r>
                    <w:rPr>
                      <w:rFonts w:hint="eastAsia" w:cs="Times New Roman"/>
                      <w:color w:val="auto"/>
                      <w:sz w:val="18"/>
                      <w:szCs w:val="18"/>
                      <w:lang w:eastAsia="zh-CN" w:bidi="ar"/>
                    </w:rPr>
                    <w:t>非甲烷总烃废气</w:t>
                  </w:r>
                  <w:r>
                    <w:rPr>
                      <w:rFonts w:hint="default" w:ascii="Times New Roman" w:hAnsi="Times New Roman" w:eastAsia="宋体" w:cs="Times New Roman"/>
                      <w:color w:val="auto"/>
                      <w:sz w:val="18"/>
                      <w:szCs w:val="18"/>
                      <w:lang w:bidi="ar"/>
                    </w:rPr>
                    <w:t>经过环保处理设施处理后达标排放，实行污染物总量控制</w:t>
                  </w:r>
                  <w:r>
                    <w:rPr>
                      <w:rFonts w:hint="eastAsia" w:ascii="Times New Roman" w:hAnsi="Times New Roman" w:eastAsia="宋体" w:cs="Times New Roman"/>
                      <w:color w:val="auto"/>
                      <w:sz w:val="18"/>
                      <w:szCs w:val="18"/>
                      <w:lang w:eastAsia="zh-CN" w:bidi="ar"/>
                    </w:rPr>
                    <w:t>，</w:t>
                  </w:r>
                  <w:r>
                    <w:rPr>
                      <w:rFonts w:hint="eastAsia" w:ascii="Times New Roman" w:hAnsi="Times New Roman" w:eastAsia="宋体" w:cs="Times New Roman"/>
                      <w:color w:val="auto"/>
                      <w:sz w:val="18"/>
                      <w:szCs w:val="18"/>
                      <w:lang w:val="en-US" w:eastAsia="zh-CN" w:bidi="ar"/>
                    </w:rPr>
                    <w:t>不会突破区域</w:t>
                  </w:r>
                  <w:r>
                    <w:rPr>
                      <w:rFonts w:hint="default" w:ascii="Times New Roman" w:hAnsi="Times New Roman" w:eastAsia="宋体" w:cs="Times New Roman"/>
                      <w:color w:val="auto"/>
                      <w:sz w:val="18"/>
                      <w:szCs w:val="18"/>
                      <w:lang w:bidi="ar"/>
                    </w:rPr>
                    <w:t>生态环境承载力。</w:t>
                  </w:r>
                </w:p>
                <w:p w14:paraId="78EF80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eastAsia" w:ascii="Times New Roman" w:hAnsi="Times New Roman" w:eastAsia="宋体" w:cs="Times New Roman"/>
                      <w:color w:val="auto"/>
                      <w:sz w:val="18"/>
                      <w:szCs w:val="18"/>
                      <w:lang w:val="en-US" w:eastAsia="zh-CN" w:bidi="ar"/>
                    </w:rPr>
                    <w:t>2.本项目建成后积极响应并配合当地相关协同减排及联防联控政策与措施。</w:t>
                  </w:r>
                </w:p>
              </w:tc>
              <w:tc>
                <w:tcPr>
                  <w:tcW w:w="805" w:type="dxa"/>
                  <w:tcBorders>
                    <w:tl2br w:val="nil"/>
                    <w:tr2bl w:val="nil"/>
                  </w:tcBorders>
                  <w:noWrap w:val="0"/>
                  <w:vAlign w:val="center"/>
                </w:tcPr>
                <w:p w14:paraId="53F278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符合</w:t>
                  </w:r>
                </w:p>
              </w:tc>
            </w:tr>
            <w:tr w14:paraId="154CE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39" w:type="dxa"/>
                  <w:tcBorders>
                    <w:tl2br w:val="nil"/>
                    <w:tr2bl w:val="nil"/>
                  </w:tcBorders>
                  <w:noWrap w:val="0"/>
                  <w:vAlign w:val="center"/>
                </w:tcPr>
                <w:p w14:paraId="2496EC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环境风险防控</w:t>
                  </w:r>
                </w:p>
              </w:tc>
              <w:tc>
                <w:tcPr>
                  <w:tcW w:w="4719" w:type="dxa"/>
                  <w:tcBorders>
                    <w:tl2br w:val="nil"/>
                    <w:tr2bl w:val="nil"/>
                  </w:tcBorders>
                  <w:noWrap w:val="0"/>
                  <w:vAlign w:val="center"/>
                </w:tcPr>
                <w:p w14:paraId="29DF6F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1.强化饮用水水源环境风险管控。县级以上城市全部建成应急水源或双源供水。</w:t>
                  </w:r>
                </w:p>
                <w:p w14:paraId="29F93D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72D3E8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3.强化环境事故应急管理。深化跨部门、跨区域环境应急协调联动，分区域建立环境应急物资储备库。各级工业园区</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集聚区</w:t>
                  </w:r>
                  <w:r>
                    <w:rPr>
                      <w:rFonts w:hint="eastAsia"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和企业的环境应急装备和储备物资应纳入储备体系。</w:t>
                  </w:r>
                </w:p>
                <w:p w14:paraId="61FF81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4.强化环境风险防控能力建设。按照统</w:t>
                  </w:r>
                  <w:r>
                    <w:rPr>
                      <w:rFonts w:hint="default" w:ascii="Times New Roman" w:hAnsi="Times New Roman" w:eastAsia="宋体" w:cs="Times New Roman"/>
                      <w:color w:val="auto"/>
                      <w:sz w:val="18"/>
                      <w:szCs w:val="18"/>
                      <w:lang w:val="en-US" w:eastAsia="zh-CN" w:bidi="ar"/>
                    </w:rPr>
                    <w:t>一</w:t>
                  </w:r>
                  <w:r>
                    <w:rPr>
                      <w:rFonts w:hint="default" w:ascii="Times New Roman" w:hAnsi="Times New Roman" w:eastAsia="宋体" w:cs="Times New Roman"/>
                      <w:color w:val="auto"/>
                      <w:sz w:val="18"/>
                      <w:szCs w:val="18"/>
                      <w:lang w:bidi="ar"/>
                    </w:rPr>
                    <w:t>信息平台、统一监管力度、统一应急等级、协同应急救援的思路，在沿江发展带、沿海发展带、环太湖等地区构建区域性环境风险预警应急响应机制，实施区域突发环境风险预警联防联控。</w:t>
                  </w:r>
                </w:p>
              </w:tc>
              <w:tc>
                <w:tcPr>
                  <w:tcW w:w="1963" w:type="dxa"/>
                  <w:tcBorders>
                    <w:tl2br w:val="nil"/>
                    <w:tr2bl w:val="nil"/>
                  </w:tcBorders>
                  <w:noWrap w:val="0"/>
                  <w:vAlign w:val="center"/>
                </w:tcPr>
                <w:p w14:paraId="261B27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bidi="ar"/>
                    </w:rPr>
                    <w:t>1.</w:t>
                  </w:r>
                  <w:r>
                    <w:rPr>
                      <w:rFonts w:hint="default" w:ascii="Times New Roman" w:hAnsi="Times New Roman" w:eastAsia="宋体" w:cs="Times New Roman"/>
                      <w:color w:val="auto"/>
                      <w:sz w:val="18"/>
                      <w:szCs w:val="18"/>
                      <w:lang w:bidi="ar"/>
                    </w:rPr>
                    <w:t>本项目为</w:t>
                  </w:r>
                  <w:r>
                    <w:rPr>
                      <w:rFonts w:hint="eastAsia" w:ascii="Times New Roman" w:hAnsi="Times New Roman" w:eastAsia="宋体" w:cs="Times New Roman"/>
                      <w:color w:val="auto"/>
                      <w:sz w:val="18"/>
                      <w:szCs w:val="18"/>
                      <w:lang w:eastAsia="zh-CN" w:bidi="ar"/>
                    </w:rPr>
                    <w:t>医院配套的教学科研楼建设项目（属于M7340医学研究和试验发展）</w:t>
                  </w:r>
                  <w:r>
                    <w:rPr>
                      <w:rFonts w:hint="default"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项目在医院内预留用地实施，项目所在地不涉及饮用水水源保护区。</w:t>
                  </w:r>
                </w:p>
                <w:p w14:paraId="65126F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bidi="ar"/>
                    </w:rPr>
                  </w:pPr>
                  <w:r>
                    <w:rPr>
                      <w:rFonts w:hint="eastAsia" w:ascii="Times New Roman" w:hAnsi="Times New Roman" w:eastAsia="宋体" w:cs="Times New Roman"/>
                      <w:color w:val="auto"/>
                      <w:sz w:val="18"/>
                      <w:szCs w:val="18"/>
                      <w:lang w:val="en-US" w:eastAsia="zh-CN" w:bidi="ar"/>
                    </w:rPr>
                    <w:t>2.本项目不属于化工行业项目。</w:t>
                  </w:r>
                </w:p>
                <w:p w14:paraId="12729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bidi="ar"/>
                    </w:rPr>
                  </w:pPr>
                  <w:r>
                    <w:rPr>
                      <w:rFonts w:hint="eastAsia" w:ascii="Times New Roman" w:hAnsi="Times New Roman" w:eastAsia="宋体" w:cs="Times New Roman"/>
                      <w:color w:val="auto"/>
                      <w:sz w:val="18"/>
                      <w:szCs w:val="18"/>
                      <w:lang w:val="en-US" w:eastAsia="zh-CN" w:bidi="ar"/>
                    </w:rPr>
                    <w:t>3.</w:t>
                  </w:r>
                  <w:r>
                    <w:rPr>
                      <w:rFonts w:hint="default" w:ascii="Times New Roman" w:hAnsi="Times New Roman" w:eastAsia="宋体" w:cs="Times New Roman"/>
                      <w:color w:val="auto"/>
                      <w:sz w:val="18"/>
                      <w:szCs w:val="18"/>
                      <w:lang w:bidi="ar"/>
                    </w:rPr>
                    <w:t>项目建成后</w:t>
                  </w:r>
                  <w:r>
                    <w:rPr>
                      <w:rFonts w:hint="eastAsia" w:ascii="Times New Roman" w:hAnsi="Times New Roman" w:eastAsia="宋体" w:cs="Times New Roman"/>
                      <w:color w:val="auto"/>
                      <w:sz w:val="18"/>
                      <w:szCs w:val="18"/>
                      <w:lang w:val="en-US" w:eastAsia="zh-CN" w:bidi="ar"/>
                    </w:rPr>
                    <w:t>加强环境事故应急管理</w:t>
                  </w:r>
                  <w:r>
                    <w:rPr>
                      <w:rFonts w:hint="eastAsia" w:cs="Times New Roman"/>
                      <w:color w:val="auto"/>
                      <w:sz w:val="18"/>
                      <w:szCs w:val="18"/>
                      <w:lang w:val="en-US" w:eastAsia="zh-CN" w:bidi="ar"/>
                    </w:rPr>
                    <w:t>并</w:t>
                  </w:r>
                  <w:r>
                    <w:rPr>
                      <w:rFonts w:hint="eastAsia" w:ascii="Times New Roman" w:hAnsi="Times New Roman" w:eastAsia="宋体" w:cs="Times New Roman"/>
                      <w:color w:val="auto"/>
                      <w:sz w:val="18"/>
                      <w:szCs w:val="18"/>
                      <w:lang w:val="en-US" w:eastAsia="zh-CN" w:bidi="ar"/>
                    </w:rPr>
                    <w:t>更新</w:t>
                  </w:r>
                  <w:r>
                    <w:rPr>
                      <w:rFonts w:hint="eastAsia" w:cs="Times New Roman"/>
                      <w:color w:val="auto"/>
                      <w:sz w:val="18"/>
                      <w:szCs w:val="18"/>
                      <w:lang w:val="en-US" w:eastAsia="zh-CN" w:bidi="ar"/>
                    </w:rPr>
                    <w:t>医院</w:t>
                  </w:r>
                  <w:r>
                    <w:rPr>
                      <w:rFonts w:hint="eastAsia" w:ascii="Times New Roman" w:hAnsi="Times New Roman" w:eastAsia="宋体" w:cs="Times New Roman"/>
                      <w:color w:val="auto"/>
                      <w:sz w:val="18"/>
                      <w:szCs w:val="18"/>
                      <w:lang w:val="en-US" w:eastAsia="zh-CN" w:bidi="ar"/>
                    </w:rPr>
                    <w:t>环境应急预案，项目</w:t>
                  </w:r>
                  <w:r>
                    <w:rPr>
                      <w:rFonts w:hint="eastAsia" w:cs="Times New Roman"/>
                      <w:color w:val="auto"/>
                      <w:sz w:val="18"/>
                      <w:szCs w:val="18"/>
                      <w:lang w:val="en-US" w:eastAsia="zh-CN" w:bidi="ar"/>
                    </w:rPr>
                    <w:t>配套的</w:t>
                  </w:r>
                  <w:r>
                    <w:rPr>
                      <w:rFonts w:hint="eastAsia" w:ascii="Times New Roman" w:hAnsi="Times New Roman" w:eastAsia="宋体" w:cs="Times New Roman"/>
                      <w:color w:val="auto"/>
                      <w:sz w:val="18"/>
                      <w:szCs w:val="18"/>
                      <w:lang w:val="en-US" w:eastAsia="zh-CN" w:bidi="ar"/>
                    </w:rPr>
                    <w:t>环境应急装备和储备物资纳入区域储备体系。</w:t>
                  </w:r>
                </w:p>
                <w:p w14:paraId="14B613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eastAsia" w:ascii="Times New Roman" w:hAnsi="Times New Roman" w:eastAsia="宋体" w:cs="Times New Roman"/>
                      <w:color w:val="auto"/>
                      <w:sz w:val="18"/>
                      <w:szCs w:val="18"/>
                      <w:lang w:val="en-US" w:eastAsia="zh-CN" w:bidi="ar"/>
                    </w:rPr>
                    <w:t>4.</w:t>
                  </w:r>
                  <w:r>
                    <w:rPr>
                      <w:rFonts w:hint="eastAsia" w:ascii="Times New Roman" w:hAnsi="Times New Roman" w:eastAsia="宋体" w:cs="Times New Roman"/>
                      <w:color w:val="auto"/>
                      <w:sz w:val="18"/>
                      <w:szCs w:val="18"/>
                      <w:lang w:eastAsia="zh-CN" w:bidi="ar"/>
                    </w:rPr>
                    <w:t>本项目不在</w:t>
                  </w:r>
                  <w:r>
                    <w:rPr>
                      <w:rFonts w:hint="default" w:ascii="Times New Roman" w:hAnsi="Times New Roman" w:eastAsia="宋体" w:cs="Times New Roman"/>
                      <w:color w:val="auto"/>
                      <w:sz w:val="18"/>
                      <w:szCs w:val="18"/>
                      <w:lang w:bidi="ar"/>
                    </w:rPr>
                    <w:t>沿江发展带、沿海发展带、环太湖</w:t>
                  </w:r>
                  <w:r>
                    <w:rPr>
                      <w:rFonts w:hint="eastAsia" w:ascii="Times New Roman" w:hAnsi="Times New Roman" w:eastAsia="宋体" w:cs="Times New Roman"/>
                      <w:color w:val="auto"/>
                      <w:sz w:val="18"/>
                      <w:szCs w:val="18"/>
                      <w:lang w:eastAsia="zh-CN" w:bidi="ar"/>
                    </w:rPr>
                    <w:t>地区</w:t>
                  </w:r>
                  <w:r>
                    <w:rPr>
                      <w:rFonts w:hint="default" w:ascii="Times New Roman" w:hAnsi="Times New Roman" w:eastAsia="宋体" w:cs="Times New Roman"/>
                      <w:color w:val="auto"/>
                      <w:sz w:val="18"/>
                      <w:szCs w:val="18"/>
                      <w:lang w:bidi="ar"/>
                    </w:rPr>
                    <w:t>。</w:t>
                  </w:r>
                </w:p>
              </w:tc>
              <w:tc>
                <w:tcPr>
                  <w:tcW w:w="805" w:type="dxa"/>
                  <w:tcBorders>
                    <w:tl2br w:val="nil"/>
                    <w:tr2bl w:val="nil"/>
                  </w:tcBorders>
                  <w:noWrap w:val="0"/>
                  <w:vAlign w:val="center"/>
                </w:tcPr>
                <w:p w14:paraId="2E84AE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符合</w:t>
                  </w:r>
                </w:p>
              </w:tc>
            </w:tr>
            <w:tr w14:paraId="777A8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939" w:type="dxa"/>
                  <w:tcBorders>
                    <w:tl2br w:val="nil"/>
                    <w:tr2bl w:val="nil"/>
                  </w:tcBorders>
                  <w:noWrap w:val="0"/>
                  <w:vAlign w:val="center"/>
                </w:tcPr>
                <w:p w14:paraId="566C05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资源利用效率要求</w:t>
                  </w:r>
                </w:p>
              </w:tc>
              <w:tc>
                <w:tcPr>
                  <w:tcW w:w="4719" w:type="dxa"/>
                  <w:tcBorders>
                    <w:tl2br w:val="nil"/>
                    <w:tr2bl w:val="nil"/>
                  </w:tcBorders>
                  <w:noWrap w:val="0"/>
                  <w:vAlign w:val="center"/>
                </w:tcPr>
                <w:p w14:paraId="1820DF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1.水资源利用总量及效率要求</w:t>
                  </w:r>
                  <w:r>
                    <w:rPr>
                      <w:rFonts w:hint="default"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到2025年，全省用水总量控制在525.9亿立方米以内，万元地区生产总值用水量、万元工业增加值用水量下降完成国家下达目标，农田灌溉水有效利用系数提高到0.625。</w:t>
                  </w:r>
                </w:p>
                <w:p w14:paraId="302E64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2.土地资源总量要求</w:t>
                  </w:r>
                  <w:r>
                    <w:rPr>
                      <w:rFonts w:hint="default" w:ascii="Times New Roman" w:hAnsi="Times New Roman" w:eastAsia="宋体" w:cs="Times New Roman"/>
                      <w:color w:val="auto"/>
                      <w:sz w:val="18"/>
                      <w:szCs w:val="18"/>
                      <w:lang w:eastAsia="zh-CN" w:bidi="ar"/>
                    </w:rPr>
                    <w:t>：</w:t>
                  </w:r>
                  <w:r>
                    <w:rPr>
                      <w:rFonts w:hint="default" w:ascii="Times New Roman" w:hAnsi="Times New Roman" w:eastAsia="宋体" w:cs="Times New Roman"/>
                      <w:color w:val="auto"/>
                      <w:sz w:val="18"/>
                      <w:szCs w:val="18"/>
                      <w:lang w:bidi="ar"/>
                    </w:rPr>
                    <w:t>到2025年，江苏省耕地保有量不低于5977万亩，其中永久基本农田保护面积不低于5344万亩。</w:t>
                  </w:r>
                </w:p>
                <w:p w14:paraId="10D8A6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3.禁燃区要求：在禁燃区内，禁止销售、燃用高污染燃料；禁止新建、扩建燃用高污染燃料的设施，已建成的，应当在城市人民政府规定的期限内改用天然气、页岩气、液化石油气、</w:t>
                  </w:r>
                  <w:r>
                    <w:rPr>
                      <w:rFonts w:hint="eastAsia" w:ascii="Times New Roman" w:hAnsi="Times New Roman" w:eastAsia="宋体" w:cs="Times New Roman"/>
                      <w:color w:val="auto"/>
                      <w:sz w:val="18"/>
                      <w:szCs w:val="18"/>
                      <w:lang w:eastAsia="zh-CN" w:bidi="ar"/>
                    </w:rPr>
                    <w:t>电力</w:t>
                  </w:r>
                  <w:r>
                    <w:rPr>
                      <w:rFonts w:hint="default" w:ascii="Times New Roman" w:hAnsi="Times New Roman" w:eastAsia="宋体" w:cs="Times New Roman"/>
                      <w:color w:val="auto"/>
                      <w:sz w:val="18"/>
                      <w:szCs w:val="18"/>
                      <w:lang w:bidi="ar"/>
                    </w:rPr>
                    <w:t>或者其他清洁能源。</w:t>
                  </w:r>
                </w:p>
              </w:tc>
              <w:tc>
                <w:tcPr>
                  <w:tcW w:w="1963" w:type="dxa"/>
                  <w:tcBorders>
                    <w:tl2br w:val="nil"/>
                    <w:tr2bl w:val="nil"/>
                  </w:tcBorders>
                  <w:noWrap w:val="0"/>
                  <w:vAlign w:val="center"/>
                </w:tcPr>
                <w:p w14:paraId="5924F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eastAsia" w:ascii="Times New Roman" w:hAnsi="Times New Roman" w:eastAsia="宋体" w:cs="Times New Roman"/>
                      <w:color w:val="auto"/>
                      <w:sz w:val="18"/>
                      <w:szCs w:val="18"/>
                      <w:lang w:val="en-US" w:eastAsia="zh-CN" w:bidi="ar"/>
                    </w:rPr>
                    <w:t>1.</w:t>
                  </w:r>
                  <w:r>
                    <w:rPr>
                      <w:rFonts w:hint="default" w:ascii="Times New Roman" w:hAnsi="Times New Roman" w:eastAsia="宋体" w:cs="Times New Roman"/>
                      <w:color w:val="auto"/>
                      <w:sz w:val="18"/>
                      <w:szCs w:val="18"/>
                      <w:lang w:bidi="ar"/>
                    </w:rPr>
                    <w:t>项目用水量不会突破区域水资源利用上</w:t>
                  </w:r>
                  <w:r>
                    <w:rPr>
                      <w:rFonts w:hint="eastAsia" w:ascii="Times New Roman" w:hAnsi="Times New Roman" w:eastAsia="宋体" w:cs="Times New Roman"/>
                      <w:color w:val="auto"/>
                      <w:sz w:val="18"/>
                      <w:szCs w:val="18"/>
                      <w:lang w:eastAsia="zh-CN" w:bidi="ar"/>
                    </w:rPr>
                    <w:t>限</w:t>
                  </w:r>
                  <w:r>
                    <w:rPr>
                      <w:rFonts w:hint="default" w:ascii="Times New Roman" w:hAnsi="Times New Roman" w:eastAsia="宋体" w:cs="Times New Roman"/>
                      <w:color w:val="auto"/>
                      <w:sz w:val="18"/>
                      <w:szCs w:val="18"/>
                      <w:lang w:bidi="ar"/>
                    </w:rPr>
                    <w:t>。</w:t>
                  </w:r>
                </w:p>
                <w:p w14:paraId="2C622C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eastAsia" w:ascii="Times New Roman" w:hAnsi="Times New Roman" w:eastAsia="宋体" w:cs="Times New Roman"/>
                      <w:color w:val="auto"/>
                      <w:sz w:val="18"/>
                      <w:szCs w:val="18"/>
                      <w:lang w:val="en-US" w:eastAsia="zh-CN" w:bidi="ar"/>
                    </w:rPr>
                    <w:t>2.</w:t>
                  </w:r>
                  <w:r>
                    <w:rPr>
                      <w:rFonts w:hint="default" w:ascii="Times New Roman" w:hAnsi="Times New Roman" w:eastAsia="宋体" w:cs="Times New Roman"/>
                      <w:color w:val="auto"/>
                      <w:sz w:val="18"/>
                      <w:szCs w:val="18"/>
                      <w:lang w:bidi="ar"/>
                    </w:rPr>
                    <w:t>项目选址用地不占用耕地及基本农田。</w:t>
                  </w:r>
                </w:p>
                <w:p w14:paraId="7C5813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eastAsia" w:ascii="Times New Roman" w:hAnsi="Times New Roman" w:eastAsia="宋体" w:cs="Times New Roman"/>
                      <w:color w:val="auto"/>
                      <w:sz w:val="18"/>
                      <w:szCs w:val="18"/>
                      <w:lang w:val="en-US" w:eastAsia="zh-CN" w:bidi="ar"/>
                    </w:rPr>
                    <w:t>3.本</w:t>
                  </w:r>
                  <w:r>
                    <w:rPr>
                      <w:rFonts w:hint="eastAsia" w:ascii="Times New Roman" w:hAnsi="Times New Roman" w:eastAsia="宋体" w:cs="Times New Roman"/>
                      <w:color w:val="auto"/>
                      <w:sz w:val="18"/>
                      <w:szCs w:val="18"/>
                      <w:lang w:eastAsia="zh-CN" w:bidi="ar"/>
                    </w:rPr>
                    <w:t>项目</w:t>
                  </w:r>
                  <w:r>
                    <w:rPr>
                      <w:rFonts w:hint="default" w:ascii="Times New Roman" w:hAnsi="Times New Roman" w:eastAsia="宋体" w:cs="Times New Roman"/>
                      <w:color w:val="auto"/>
                      <w:sz w:val="18"/>
                      <w:szCs w:val="18"/>
                      <w:lang w:bidi="ar"/>
                    </w:rPr>
                    <w:t>不涉及</w:t>
                  </w:r>
                  <w:r>
                    <w:rPr>
                      <w:rFonts w:hint="default" w:ascii="Times New Roman" w:hAnsi="Times New Roman" w:eastAsia="宋体" w:cs="Times New Roman"/>
                      <w:color w:val="auto"/>
                      <w:sz w:val="18"/>
                      <w:szCs w:val="18"/>
                      <w:lang w:val="en-US" w:eastAsia="zh-CN" w:bidi="ar"/>
                    </w:rPr>
                    <w:t>高污染</w:t>
                  </w:r>
                  <w:r>
                    <w:rPr>
                      <w:rFonts w:hint="default" w:ascii="Times New Roman" w:hAnsi="Times New Roman" w:eastAsia="宋体" w:cs="Times New Roman"/>
                      <w:color w:val="auto"/>
                      <w:sz w:val="18"/>
                      <w:szCs w:val="18"/>
                      <w:lang w:bidi="ar"/>
                    </w:rPr>
                    <w:t>燃料</w:t>
                  </w:r>
                  <w:r>
                    <w:rPr>
                      <w:rFonts w:hint="default" w:ascii="Times New Roman" w:hAnsi="Times New Roman" w:eastAsia="宋体" w:cs="Times New Roman"/>
                      <w:color w:val="auto"/>
                      <w:sz w:val="18"/>
                      <w:szCs w:val="18"/>
                      <w:lang w:val="en-US" w:eastAsia="zh-CN" w:bidi="ar"/>
                    </w:rPr>
                    <w:t>的</w:t>
                  </w:r>
                  <w:r>
                    <w:rPr>
                      <w:rFonts w:hint="default" w:ascii="Times New Roman" w:hAnsi="Times New Roman" w:eastAsia="宋体" w:cs="Times New Roman"/>
                      <w:color w:val="auto"/>
                      <w:sz w:val="18"/>
                      <w:szCs w:val="18"/>
                      <w:lang w:bidi="ar"/>
                    </w:rPr>
                    <w:t>使用。本项目</w:t>
                  </w:r>
                  <w:r>
                    <w:rPr>
                      <w:rFonts w:hint="default" w:ascii="Times New Roman" w:hAnsi="Times New Roman" w:eastAsia="宋体" w:cs="Times New Roman"/>
                      <w:color w:val="auto"/>
                      <w:sz w:val="18"/>
                      <w:szCs w:val="18"/>
                      <w:lang w:val="en-US" w:eastAsia="zh-CN" w:bidi="ar"/>
                    </w:rPr>
                    <w:t>选址不在禁燃区内，</w:t>
                  </w:r>
                </w:p>
              </w:tc>
              <w:tc>
                <w:tcPr>
                  <w:tcW w:w="805" w:type="dxa"/>
                  <w:tcBorders>
                    <w:tl2br w:val="nil"/>
                    <w:tr2bl w:val="nil"/>
                  </w:tcBorders>
                  <w:noWrap w:val="0"/>
                  <w:vAlign w:val="center"/>
                </w:tcPr>
                <w:p w14:paraId="3B9540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bidi="ar"/>
                    </w:rPr>
                  </w:pPr>
                  <w:r>
                    <w:rPr>
                      <w:rFonts w:hint="default" w:ascii="Times New Roman" w:hAnsi="Times New Roman" w:eastAsia="宋体" w:cs="Times New Roman"/>
                      <w:color w:val="auto"/>
                      <w:sz w:val="18"/>
                      <w:szCs w:val="18"/>
                      <w:lang w:bidi="ar"/>
                    </w:rPr>
                    <w:t>符合</w:t>
                  </w:r>
                </w:p>
              </w:tc>
            </w:tr>
          </w:tbl>
          <w:p w14:paraId="763D1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表1</w:t>
            </w:r>
            <w:r>
              <w:rPr>
                <w:rFonts w:hint="eastAsia" w:cs="Times New Roman"/>
                <w:b/>
                <w:color w:val="auto"/>
                <w:kern w:val="2"/>
                <w:sz w:val="24"/>
                <w:szCs w:val="24"/>
                <w:lang w:val="en-US" w:eastAsia="zh-CN"/>
              </w:rPr>
              <w:t>.1</w:t>
            </w:r>
            <w:r>
              <w:rPr>
                <w:rFonts w:hint="default" w:ascii="Times New Roman" w:hAnsi="Times New Roman" w:eastAsia="宋体" w:cs="Times New Roman"/>
                <w:b/>
                <w:color w:val="auto"/>
                <w:kern w:val="2"/>
                <w:sz w:val="24"/>
                <w:szCs w:val="24"/>
              </w:rPr>
              <w:t>-</w:t>
            </w:r>
            <w:r>
              <w:rPr>
                <w:rFonts w:hint="eastAsia" w:ascii="Times New Roman" w:hAnsi="Times New Roman" w:eastAsia="宋体" w:cs="Times New Roman"/>
                <w:b/>
                <w:color w:val="auto"/>
                <w:kern w:val="2"/>
                <w:sz w:val="24"/>
                <w:szCs w:val="24"/>
                <w:lang w:val="en-US" w:eastAsia="zh-CN"/>
              </w:rPr>
              <w:t>3</w:t>
            </w:r>
            <w:r>
              <w:rPr>
                <w:rFonts w:hint="default" w:ascii="Times New Roman" w:hAnsi="Times New Roman" w:eastAsia="宋体" w:cs="Times New Roman"/>
                <w:b/>
                <w:color w:val="auto"/>
                <w:kern w:val="2"/>
                <w:sz w:val="24"/>
                <w:szCs w:val="24"/>
                <w:lang w:val="en-US" w:eastAsia="zh-CN"/>
              </w:rPr>
              <w:t xml:space="preserve"> </w:t>
            </w:r>
            <w:r>
              <w:rPr>
                <w:rFonts w:hint="default" w:ascii="Times New Roman" w:hAnsi="Times New Roman" w:eastAsia="宋体" w:cs="Times New Roman"/>
                <w:b/>
                <w:color w:val="auto"/>
                <w:kern w:val="2"/>
                <w:sz w:val="24"/>
                <w:szCs w:val="24"/>
              </w:rPr>
              <w:t>与江苏省重点区域（淮河流域）生态环境分区管控要求相符性分析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4275"/>
              <w:gridCol w:w="2877"/>
            </w:tblGrid>
            <w:tr w14:paraId="70DD5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9" w:hRule="atLeast"/>
                <w:jc w:val="center"/>
              </w:trPr>
              <w:tc>
                <w:tcPr>
                  <w:tcW w:w="1421" w:type="dxa"/>
                  <w:tcBorders>
                    <w:tl2br w:val="nil"/>
                    <w:tr2bl w:val="nil"/>
                  </w:tcBorders>
                  <w:noWrap w:val="0"/>
                  <w:vAlign w:val="center"/>
                </w:tcPr>
                <w:p w14:paraId="4F452CBF">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管控类别</w:t>
                  </w:r>
                </w:p>
              </w:tc>
              <w:tc>
                <w:tcPr>
                  <w:tcW w:w="4819" w:type="dxa"/>
                  <w:tcBorders>
                    <w:tl2br w:val="nil"/>
                    <w:tr2bl w:val="nil"/>
                  </w:tcBorders>
                  <w:noWrap w:val="0"/>
                  <w:vAlign w:val="center"/>
                </w:tcPr>
                <w:p w14:paraId="08DF99E7">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管控要求</w:t>
                  </w:r>
                </w:p>
              </w:tc>
              <w:tc>
                <w:tcPr>
                  <w:tcW w:w="3143" w:type="dxa"/>
                  <w:tcBorders>
                    <w:tl2br w:val="nil"/>
                    <w:tr2bl w:val="nil"/>
                  </w:tcBorders>
                  <w:noWrap w:val="0"/>
                  <w:vAlign w:val="center"/>
                </w:tcPr>
                <w:p w14:paraId="4A1156B9">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相符性</w:t>
                  </w:r>
                </w:p>
              </w:tc>
            </w:tr>
            <w:tr w14:paraId="46804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l2br w:val="nil"/>
                    <w:tr2bl w:val="nil"/>
                  </w:tcBorders>
                  <w:noWrap w:val="0"/>
                  <w:vAlign w:val="center"/>
                </w:tcPr>
                <w:p w14:paraId="6B534FB8">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空间布局约束</w:t>
                  </w:r>
                </w:p>
              </w:tc>
              <w:tc>
                <w:tcPr>
                  <w:tcW w:w="4819" w:type="dxa"/>
                  <w:tcBorders>
                    <w:tl2br w:val="nil"/>
                    <w:tr2bl w:val="nil"/>
                  </w:tcBorders>
                  <w:noWrap w:val="0"/>
                  <w:vAlign w:val="center"/>
                </w:tcPr>
                <w:p w14:paraId="1FBD86B0">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1.禁止在淮河流域新建化学制浆造纸企业，禁止在淮河流域新建制革、化工、印染、电镀、酿造等污染严重的小型企业。</w:t>
                  </w:r>
                </w:p>
                <w:p w14:paraId="5C0BF0C3">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p w14:paraId="30645A9E">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3.在通榆河一级保护区，禁止新建、扩建直接或者间接向水体排放污染物的项目，禁止建设工业固体废物集中贮存、利用、处置设施或者场所以及城市生活垃圾填埋场，禁止新建规模化畜禽养殖场。</w:t>
                  </w:r>
                </w:p>
              </w:tc>
              <w:tc>
                <w:tcPr>
                  <w:tcW w:w="3143" w:type="dxa"/>
                  <w:tcBorders>
                    <w:tl2br w:val="nil"/>
                    <w:tr2bl w:val="nil"/>
                  </w:tcBorders>
                  <w:noWrap w:val="0"/>
                  <w:vAlign w:val="center"/>
                </w:tcPr>
                <w:p w14:paraId="03047198">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lang w:eastAsia="zh-CN"/>
                    </w:rPr>
                  </w:pPr>
                  <w:r>
                    <w:rPr>
                      <w:rFonts w:hint="eastAsia" w:ascii="Times New Roman" w:hAnsi="Times New Roman" w:eastAsia="宋体" w:cs="Times New Roman"/>
                      <w:b w:val="0"/>
                      <w:color w:val="auto"/>
                      <w:sz w:val="18"/>
                      <w:szCs w:val="18"/>
                      <w:lang w:eastAsia="zh-CN"/>
                    </w:rPr>
                    <w:t>本项目为医院配套的教学科研楼建设项目（属于M7340医学研究和试验发展），不涉及通榆河一级、二级保护区，项目</w:t>
                  </w:r>
                  <w:r>
                    <w:rPr>
                      <w:rFonts w:hint="default" w:ascii="Times New Roman" w:hAnsi="Times New Roman" w:eastAsia="宋体" w:cs="Times New Roman"/>
                      <w:b w:val="0"/>
                      <w:color w:val="auto"/>
                      <w:sz w:val="18"/>
                      <w:szCs w:val="18"/>
                    </w:rPr>
                    <w:t>不属于制革、化工、印染、电镀、酿造等污染严重的</w:t>
                  </w:r>
                  <w:r>
                    <w:rPr>
                      <w:rFonts w:hint="eastAsia" w:ascii="Times New Roman" w:hAnsi="Times New Roman" w:eastAsia="宋体" w:cs="Times New Roman"/>
                      <w:b w:val="0"/>
                      <w:color w:val="auto"/>
                      <w:sz w:val="18"/>
                      <w:szCs w:val="18"/>
                      <w:lang w:eastAsia="zh-CN"/>
                    </w:rPr>
                    <w:t>项目类型</w:t>
                  </w:r>
                  <w:r>
                    <w:rPr>
                      <w:rFonts w:hint="default" w:ascii="Times New Roman" w:hAnsi="Times New Roman" w:eastAsia="宋体" w:cs="Times New Roman"/>
                      <w:b w:val="0"/>
                      <w:color w:val="auto"/>
                      <w:sz w:val="18"/>
                      <w:szCs w:val="18"/>
                    </w:rPr>
                    <w:t>，符合空间布局约束要求</w:t>
                  </w:r>
                  <w:r>
                    <w:rPr>
                      <w:rFonts w:hint="default" w:ascii="Times New Roman" w:hAnsi="Times New Roman" w:eastAsia="宋体" w:cs="Times New Roman"/>
                      <w:b w:val="0"/>
                      <w:color w:val="auto"/>
                      <w:sz w:val="18"/>
                      <w:szCs w:val="18"/>
                      <w:lang w:eastAsia="zh-CN"/>
                    </w:rPr>
                    <w:t>。</w:t>
                  </w:r>
                </w:p>
              </w:tc>
            </w:tr>
            <w:tr w14:paraId="75671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l2br w:val="nil"/>
                    <w:tr2bl w:val="nil"/>
                  </w:tcBorders>
                  <w:noWrap w:val="0"/>
                  <w:vAlign w:val="center"/>
                </w:tcPr>
                <w:p w14:paraId="3090E729">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污染物排放管控</w:t>
                  </w:r>
                </w:p>
              </w:tc>
              <w:tc>
                <w:tcPr>
                  <w:tcW w:w="4819" w:type="dxa"/>
                  <w:tcBorders>
                    <w:tl2br w:val="nil"/>
                    <w:tr2bl w:val="nil"/>
                  </w:tcBorders>
                  <w:noWrap w:val="0"/>
                  <w:vAlign w:val="center"/>
                </w:tcPr>
                <w:p w14:paraId="7B124338">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按照《淮河流域水污染防治暂行条例》实施排污总量控制制度。</w:t>
                  </w:r>
                </w:p>
              </w:tc>
              <w:tc>
                <w:tcPr>
                  <w:tcW w:w="3143" w:type="dxa"/>
                  <w:tcBorders>
                    <w:tl2br w:val="nil"/>
                    <w:tr2bl w:val="nil"/>
                  </w:tcBorders>
                  <w:noWrap w:val="0"/>
                  <w:vAlign w:val="center"/>
                </w:tcPr>
                <w:p w14:paraId="3D398E3A">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lang w:eastAsia="zh-CN"/>
                    </w:rPr>
                  </w:pPr>
                  <w:r>
                    <w:rPr>
                      <w:rFonts w:hint="default" w:ascii="Times New Roman" w:hAnsi="Times New Roman" w:eastAsia="宋体" w:cs="Times New Roman"/>
                      <w:b w:val="0"/>
                      <w:color w:val="auto"/>
                      <w:sz w:val="18"/>
                      <w:szCs w:val="18"/>
                    </w:rPr>
                    <w:t>按照相关规定实施总量控制</w:t>
                  </w:r>
                  <w:r>
                    <w:rPr>
                      <w:rFonts w:hint="default" w:ascii="Times New Roman" w:hAnsi="Times New Roman" w:eastAsia="宋体" w:cs="Times New Roman"/>
                      <w:b w:val="0"/>
                      <w:color w:val="auto"/>
                      <w:sz w:val="18"/>
                      <w:szCs w:val="18"/>
                      <w:lang w:eastAsia="zh-CN"/>
                    </w:rPr>
                    <w:t>。</w:t>
                  </w:r>
                  <w:r>
                    <w:rPr>
                      <w:rFonts w:hint="eastAsia" w:ascii="Times New Roman" w:hAnsi="Times New Roman" w:eastAsia="宋体" w:cs="Times New Roman"/>
                      <w:b w:val="0"/>
                      <w:color w:val="auto"/>
                      <w:sz w:val="18"/>
                      <w:szCs w:val="18"/>
                      <w:lang w:val="en-US" w:eastAsia="zh-CN"/>
                    </w:rPr>
                    <w:t>本</w:t>
                  </w:r>
                  <w:r>
                    <w:rPr>
                      <w:rFonts w:hint="eastAsia" w:ascii="Times New Roman" w:hAnsi="Times New Roman" w:eastAsia="宋体" w:cs="Times New Roman"/>
                      <w:b w:val="0"/>
                      <w:color w:val="auto"/>
                      <w:sz w:val="18"/>
                      <w:szCs w:val="18"/>
                    </w:rPr>
                    <w:t>项目建成后污染物总量控制指标为</w:t>
                  </w:r>
                  <w:r>
                    <w:rPr>
                      <w:rFonts w:hint="eastAsia" w:ascii="Times New Roman" w:hAnsi="Times New Roman" w:eastAsia="宋体" w:cs="Times New Roman"/>
                      <w:b w:val="0"/>
                      <w:color w:val="auto"/>
                      <w:sz w:val="18"/>
                      <w:szCs w:val="18"/>
                      <w:lang w:eastAsia="zh-CN"/>
                    </w:rPr>
                    <w:t>非甲烷总烃</w:t>
                  </w:r>
                  <w:r>
                    <w:rPr>
                      <w:rFonts w:hint="eastAsia" w:ascii="Times New Roman" w:hAnsi="Times New Roman" w:eastAsia="宋体" w:cs="Times New Roman"/>
                      <w:b w:val="0"/>
                      <w:color w:val="auto"/>
                      <w:sz w:val="18"/>
                      <w:szCs w:val="18"/>
                      <w:lang w:val="en-US" w:eastAsia="zh-CN"/>
                    </w:rPr>
                    <w:t>0.027</w:t>
                  </w:r>
                  <w:r>
                    <w:rPr>
                      <w:rFonts w:hint="eastAsia" w:ascii="Times New Roman" w:hAnsi="Times New Roman" w:eastAsia="宋体" w:cs="Times New Roman"/>
                      <w:b w:val="0"/>
                      <w:color w:val="auto"/>
                      <w:sz w:val="18"/>
                      <w:szCs w:val="18"/>
                    </w:rPr>
                    <w:t>t/a</w:t>
                  </w:r>
                  <w:r>
                    <w:rPr>
                      <w:rFonts w:hint="eastAsia" w:ascii="Times New Roman" w:hAnsi="Times New Roman" w:eastAsia="宋体" w:cs="Times New Roman"/>
                      <w:b w:val="0"/>
                      <w:color w:val="auto"/>
                      <w:sz w:val="18"/>
                      <w:szCs w:val="18"/>
                      <w:lang w:eastAsia="zh-CN"/>
                    </w:rPr>
                    <w:t>（</w:t>
                  </w:r>
                  <w:r>
                    <w:rPr>
                      <w:rFonts w:hint="eastAsia" w:ascii="Times New Roman" w:hAnsi="Times New Roman" w:eastAsia="宋体" w:cs="Times New Roman"/>
                      <w:b w:val="0"/>
                      <w:color w:val="auto"/>
                      <w:sz w:val="18"/>
                      <w:szCs w:val="18"/>
                      <w:lang w:val="en-US" w:eastAsia="zh-CN"/>
                    </w:rPr>
                    <w:t>有组织0.018t/a、无组织0.009t/a</w:t>
                  </w:r>
                  <w:r>
                    <w:rPr>
                      <w:rFonts w:hint="eastAsia" w:ascii="Times New Roman" w:hAnsi="Times New Roman" w:eastAsia="宋体" w:cs="Times New Roman"/>
                      <w:b w:val="0"/>
                      <w:color w:val="auto"/>
                      <w:sz w:val="18"/>
                      <w:szCs w:val="18"/>
                      <w:lang w:eastAsia="zh-CN"/>
                    </w:rPr>
                    <w:t>）</w:t>
                  </w:r>
                  <w:r>
                    <w:rPr>
                      <w:rFonts w:hint="eastAsia" w:ascii="Times New Roman" w:hAnsi="Times New Roman" w:eastAsia="宋体" w:cs="Times New Roman"/>
                      <w:b w:val="0"/>
                      <w:color w:val="auto"/>
                      <w:sz w:val="18"/>
                      <w:szCs w:val="18"/>
                    </w:rPr>
                    <w:t>。</w:t>
                  </w:r>
                  <w:r>
                    <w:rPr>
                      <w:rFonts w:hint="eastAsia" w:ascii="Times New Roman" w:hAnsi="Times New Roman" w:eastAsia="宋体" w:cs="Times New Roman"/>
                      <w:b w:val="0"/>
                      <w:color w:val="auto"/>
                      <w:sz w:val="18"/>
                      <w:szCs w:val="18"/>
                      <w:lang w:val="en-US" w:eastAsia="zh-CN"/>
                    </w:rPr>
                    <w:t>项目生产废水新增COD、氨氮、总磷、总氮排放量指标</w:t>
                  </w:r>
                  <w:r>
                    <w:rPr>
                      <w:rFonts w:hint="eastAsia" w:ascii="Times New Roman" w:hAnsi="Times New Roman" w:eastAsia="宋体" w:cs="Times New Roman"/>
                      <w:b w:val="0"/>
                      <w:color w:val="auto"/>
                      <w:sz w:val="18"/>
                      <w:szCs w:val="18"/>
                    </w:rPr>
                    <w:t>在涟水县总量范围内平衡</w:t>
                  </w:r>
                  <w:r>
                    <w:rPr>
                      <w:rFonts w:hint="eastAsia" w:ascii="Times New Roman" w:hAnsi="Times New Roman" w:eastAsia="宋体" w:cs="Times New Roman"/>
                      <w:b w:val="0"/>
                      <w:color w:val="auto"/>
                      <w:sz w:val="18"/>
                      <w:szCs w:val="18"/>
                      <w:lang w:val="en-US" w:eastAsia="zh-CN"/>
                    </w:rPr>
                    <w:t>；项目</w:t>
                  </w:r>
                  <w:r>
                    <w:rPr>
                      <w:rFonts w:hint="eastAsia" w:ascii="Times New Roman" w:hAnsi="Times New Roman" w:eastAsia="宋体" w:cs="Times New Roman"/>
                      <w:b w:val="0"/>
                      <w:color w:val="auto"/>
                      <w:sz w:val="18"/>
                      <w:szCs w:val="18"/>
                    </w:rPr>
                    <w:t>生活污水</w:t>
                  </w:r>
                  <w:r>
                    <w:rPr>
                      <w:rFonts w:hint="eastAsia" w:ascii="Times New Roman" w:hAnsi="Times New Roman" w:eastAsia="宋体" w:cs="Times New Roman"/>
                      <w:b w:val="0"/>
                      <w:color w:val="auto"/>
                      <w:sz w:val="18"/>
                      <w:szCs w:val="18"/>
                      <w:lang w:val="en-US" w:eastAsia="zh-CN"/>
                    </w:rPr>
                    <w:t>排放量指标</w:t>
                  </w:r>
                  <w:r>
                    <w:rPr>
                      <w:rFonts w:hint="eastAsia" w:ascii="Times New Roman" w:hAnsi="Times New Roman" w:eastAsia="宋体" w:cs="Times New Roman"/>
                      <w:b w:val="0"/>
                      <w:color w:val="auto"/>
                      <w:sz w:val="18"/>
                      <w:szCs w:val="18"/>
                    </w:rPr>
                    <w:t>在</w:t>
                  </w:r>
                  <w:r>
                    <w:rPr>
                      <w:rFonts w:hint="eastAsia" w:ascii="Times New Roman" w:hAnsi="Times New Roman" w:eastAsia="宋体" w:cs="Times New Roman"/>
                      <w:b w:val="0"/>
                      <w:color w:val="auto"/>
                      <w:sz w:val="18"/>
                      <w:szCs w:val="18"/>
                      <w:lang w:eastAsia="zh-CN"/>
                    </w:rPr>
                    <w:t>涟水县</w:t>
                  </w:r>
                  <w:r>
                    <w:rPr>
                      <w:rFonts w:hint="eastAsia" w:ascii="Times New Roman" w:hAnsi="Times New Roman" w:eastAsia="宋体" w:cs="Times New Roman"/>
                      <w:b w:val="0"/>
                      <w:color w:val="auto"/>
                      <w:sz w:val="18"/>
                      <w:szCs w:val="18"/>
                    </w:rPr>
                    <w:t>污水处理厂</w:t>
                  </w:r>
                  <w:r>
                    <w:rPr>
                      <w:rFonts w:hint="eastAsia" w:ascii="Times New Roman" w:hAnsi="Times New Roman" w:eastAsia="宋体" w:cs="Times New Roman"/>
                      <w:b w:val="0"/>
                      <w:color w:val="auto"/>
                      <w:sz w:val="18"/>
                      <w:szCs w:val="18"/>
                      <w:lang w:val="en-US" w:eastAsia="zh-CN"/>
                    </w:rPr>
                    <w:t>剩余</w:t>
                  </w:r>
                  <w:r>
                    <w:rPr>
                      <w:rFonts w:hint="eastAsia" w:ascii="Times New Roman" w:hAnsi="Times New Roman" w:eastAsia="宋体" w:cs="Times New Roman"/>
                      <w:b w:val="0"/>
                      <w:color w:val="auto"/>
                      <w:sz w:val="18"/>
                      <w:szCs w:val="18"/>
                    </w:rPr>
                    <w:t>总量中</w:t>
                  </w:r>
                  <w:r>
                    <w:rPr>
                      <w:rFonts w:hint="eastAsia" w:ascii="Times New Roman" w:hAnsi="Times New Roman" w:eastAsia="宋体" w:cs="Times New Roman"/>
                      <w:b w:val="0"/>
                      <w:color w:val="auto"/>
                      <w:sz w:val="18"/>
                      <w:szCs w:val="18"/>
                      <w:lang w:val="en-US" w:eastAsia="zh-CN"/>
                    </w:rPr>
                    <w:t>进行</w:t>
                  </w:r>
                  <w:r>
                    <w:rPr>
                      <w:rFonts w:hint="eastAsia" w:ascii="Times New Roman" w:hAnsi="Times New Roman" w:eastAsia="宋体" w:cs="Times New Roman"/>
                      <w:b w:val="0"/>
                      <w:color w:val="auto"/>
                      <w:sz w:val="18"/>
                      <w:szCs w:val="18"/>
                    </w:rPr>
                    <w:t>平衡</w:t>
                  </w:r>
                  <w:r>
                    <w:rPr>
                      <w:rFonts w:hint="eastAsia" w:ascii="Times New Roman" w:hAnsi="Times New Roman" w:eastAsia="宋体" w:cs="Times New Roman"/>
                      <w:b w:val="0"/>
                      <w:color w:val="auto"/>
                      <w:sz w:val="18"/>
                      <w:szCs w:val="18"/>
                      <w:lang w:eastAsia="zh-CN"/>
                    </w:rPr>
                    <w:t>，</w:t>
                  </w:r>
                  <w:r>
                    <w:rPr>
                      <w:rFonts w:hint="eastAsia" w:ascii="Times New Roman" w:hAnsi="Times New Roman" w:eastAsia="宋体" w:cs="Times New Roman"/>
                      <w:b w:val="0"/>
                      <w:color w:val="auto"/>
                      <w:sz w:val="18"/>
                      <w:szCs w:val="18"/>
                      <w:lang w:val="en-US" w:eastAsia="zh-CN"/>
                    </w:rPr>
                    <w:t>不另行申请；固废零排放。</w:t>
                  </w:r>
                </w:p>
              </w:tc>
            </w:tr>
            <w:tr w14:paraId="52ED8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l2br w:val="nil"/>
                    <w:tr2bl w:val="nil"/>
                  </w:tcBorders>
                  <w:noWrap w:val="0"/>
                  <w:vAlign w:val="center"/>
                </w:tcPr>
                <w:p w14:paraId="7B9D7195">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污染物风险管控</w:t>
                  </w:r>
                </w:p>
              </w:tc>
              <w:tc>
                <w:tcPr>
                  <w:tcW w:w="4819" w:type="dxa"/>
                  <w:tcBorders>
                    <w:tl2br w:val="nil"/>
                    <w:tr2bl w:val="nil"/>
                  </w:tcBorders>
                  <w:noWrap w:val="0"/>
                  <w:vAlign w:val="center"/>
                </w:tcPr>
                <w:p w14:paraId="3D3EAC11">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禁止运输剧毒化学品以及国家规定禁止通过内河运输的其他危险化学品的船舶进入通榆河及主要供水河道。</w:t>
                  </w:r>
                </w:p>
              </w:tc>
              <w:tc>
                <w:tcPr>
                  <w:tcW w:w="3143" w:type="dxa"/>
                  <w:tcBorders>
                    <w:tl2br w:val="nil"/>
                    <w:tr2bl w:val="nil"/>
                  </w:tcBorders>
                  <w:noWrap w:val="0"/>
                  <w:vAlign w:val="center"/>
                </w:tcPr>
                <w:p w14:paraId="3447BDA5">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lang w:eastAsia="zh-CN"/>
                    </w:rPr>
                  </w:pPr>
                  <w:r>
                    <w:rPr>
                      <w:rFonts w:hint="eastAsia" w:ascii="Times New Roman" w:hAnsi="Times New Roman" w:eastAsia="宋体" w:cs="Times New Roman"/>
                      <w:b w:val="0"/>
                      <w:color w:val="auto"/>
                      <w:sz w:val="18"/>
                      <w:szCs w:val="18"/>
                      <w:lang w:eastAsia="zh-CN"/>
                    </w:rPr>
                    <w:t>本项目不涉及</w:t>
                  </w:r>
                  <w:r>
                    <w:rPr>
                      <w:rFonts w:hint="default" w:ascii="Times New Roman" w:hAnsi="Times New Roman" w:eastAsia="宋体" w:cs="Times New Roman"/>
                      <w:b w:val="0"/>
                      <w:color w:val="auto"/>
                      <w:sz w:val="18"/>
                      <w:szCs w:val="18"/>
                      <w:lang w:eastAsia="zh-CN"/>
                    </w:rPr>
                    <w:t>。</w:t>
                  </w:r>
                </w:p>
              </w:tc>
            </w:tr>
            <w:tr w14:paraId="465BC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1" w:type="dxa"/>
                  <w:tcBorders>
                    <w:tl2br w:val="nil"/>
                    <w:tr2bl w:val="nil"/>
                  </w:tcBorders>
                  <w:noWrap w:val="0"/>
                  <w:vAlign w:val="center"/>
                </w:tcPr>
                <w:p w14:paraId="550615D8">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资源利用效率要求</w:t>
                  </w:r>
                </w:p>
              </w:tc>
              <w:tc>
                <w:tcPr>
                  <w:tcW w:w="4819" w:type="dxa"/>
                  <w:tcBorders>
                    <w:tl2br w:val="nil"/>
                    <w:tr2bl w:val="nil"/>
                  </w:tcBorders>
                  <w:noWrap w:val="0"/>
                  <w:vAlign w:val="center"/>
                </w:tcPr>
                <w:p w14:paraId="5A8F762A">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限制缺水地区发展耗水型产业，调整缺水地区的产业结构，严格控制高耗水、高耗能和重污染的建设项目。</w:t>
                  </w:r>
                </w:p>
              </w:tc>
              <w:tc>
                <w:tcPr>
                  <w:tcW w:w="3143" w:type="dxa"/>
                  <w:tcBorders>
                    <w:tl2br w:val="nil"/>
                    <w:tr2bl w:val="nil"/>
                  </w:tcBorders>
                  <w:noWrap w:val="0"/>
                  <w:vAlign w:val="center"/>
                </w:tcPr>
                <w:p w14:paraId="44629B8D">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lang w:eastAsia="zh-CN"/>
                    </w:rPr>
                  </w:pPr>
                  <w:r>
                    <w:rPr>
                      <w:rFonts w:hint="eastAsia" w:ascii="Times New Roman" w:hAnsi="Times New Roman" w:eastAsia="宋体" w:cs="Times New Roman"/>
                      <w:b w:val="0"/>
                      <w:color w:val="auto"/>
                      <w:sz w:val="18"/>
                      <w:szCs w:val="18"/>
                      <w:lang w:eastAsia="zh-CN"/>
                    </w:rPr>
                    <w:t>本项目为医院配套的教学科研楼建设项目（属于M7340医学研究和试验发展）</w:t>
                  </w:r>
                  <w:r>
                    <w:rPr>
                      <w:rFonts w:hint="default" w:ascii="Times New Roman" w:hAnsi="Times New Roman" w:eastAsia="宋体" w:cs="Times New Roman"/>
                      <w:b w:val="0"/>
                      <w:color w:val="auto"/>
                      <w:sz w:val="18"/>
                      <w:szCs w:val="18"/>
                    </w:rPr>
                    <w:t>，不属于高耗水、高耗能和重污染的</w:t>
                  </w:r>
                  <w:r>
                    <w:rPr>
                      <w:rFonts w:hint="default" w:ascii="Times New Roman" w:hAnsi="Times New Roman" w:eastAsia="宋体" w:cs="Times New Roman"/>
                      <w:b w:val="0"/>
                      <w:color w:val="auto"/>
                      <w:sz w:val="18"/>
                      <w:szCs w:val="18"/>
                      <w:lang w:val="en-US" w:eastAsia="zh-CN"/>
                    </w:rPr>
                    <w:t>产业</w:t>
                  </w:r>
                  <w:r>
                    <w:rPr>
                      <w:rFonts w:hint="default" w:ascii="Times New Roman" w:hAnsi="Times New Roman" w:eastAsia="宋体" w:cs="Times New Roman"/>
                      <w:b w:val="0"/>
                      <w:color w:val="auto"/>
                      <w:sz w:val="18"/>
                      <w:szCs w:val="18"/>
                    </w:rPr>
                    <w:t>项目</w:t>
                  </w:r>
                  <w:r>
                    <w:rPr>
                      <w:rFonts w:hint="default" w:ascii="Times New Roman" w:hAnsi="Times New Roman" w:eastAsia="宋体" w:cs="Times New Roman"/>
                      <w:b w:val="0"/>
                      <w:color w:val="auto"/>
                      <w:sz w:val="18"/>
                      <w:szCs w:val="18"/>
                      <w:lang w:eastAsia="zh-CN"/>
                    </w:rPr>
                    <w:t>。</w:t>
                  </w:r>
                </w:p>
              </w:tc>
            </w:tr>
          </w:tbl>
          <w:p w14:paraId="6709766C">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③与《市政府关于印发</w:t>
            </w:r>
            <w:r>
              <w:rPr>
                <w:rFonts w:hint="eastAsia" w:cs="Times New Roman"/>
                <w:color w:val="auto"/>
                <w:lang w:eastAsia="zh-CN"/>
              </w:rPr>
              <w:t>〈</w:t>
            </w:r>
            <w:r>
              <w:rPr>
                <w:rFonts w:hint="default" w:ascii="Times New Roman" w:hAnsi="Times New Roman" w:cs="Times New Roman"/>
                <w:color w:val="auto"/>
              </w:rPr>
              <w:t>淮安市“三线一单”生态环境分区管控方案</w:t>
            </w:r>
            <w:r>
              <w:rPr>
                <w:rFonts w:hint="eastAsia" w:cs="Times New Roman"/>
                <w:color w:val="auto"/>
                <w:lang w:eastAsia="zh-CN"/>
              </w:rPr>
              <w:t>〉</w:t>
            </w:r>
            <w:r>
              <w:rPr>
                <w:rFonts w:hint="default" w:ascii="Times New Roman" w:hAnsi="Times New Roman" w:cs="Times New Roman"/>
                <w:color w:val="auto"/>
              </w:rPr>
              <w:t>的通知》（淮政发〔2020〕16号）</w:t>
            </w:r>
            <w:r>
              <w:rPr>
                <w:rFonts w:hint="default" w:ascii="Times New Roman" w:hAnsi="Times New Roman" w:cs="Times New Roman"/>
                <w:color w:val="auto"/>
                <w:lang w:eastAsia="zh-CN"/>
              </w:rPr>
              <w:t>、</w:t>
            </w:r>
            <w:r>
              <w:rPr>
                <w:rFonts w:hint="default" w:ascii="Times New Roman" w:hAnsi="Times New Roman" w:cs="Times New Roman"/>
                <w:bCs/>
                <w:color w:val="auto"/>
              </w:rPr>
              <w:t>《市政府办公室关于对淮安市“三线一单”生态环境分区管控方案内容修改的通知》（淮政办函〔2022〕5号）</w:t>
            </w:r>
            <w:r>
              <w:rPr>
                <w:rFonts w:hint="default" w:ascii="Times New Roman" w:hAnsi="Times New Roman" w:cs="Times New Roman"/>
                <w:color w:val="auto"/>
              </w:rPr>
              <w:t>、</w:t>
            </w:r>
            <w:r>
              <w:rPr>
                <w:rFonts w:hint="default" w:ascii="Times New Roman" w:hAnsi="Times New Roman" w:eastAsia="宋体" w:cs="Times New Roman"/>
                <w:color w:val="auto"/>
                <w:sz w:val="24"/>
              </w:rPr>
              <w:t>《淮安市生态环境分区管控动态更新成果》（2023版）</w:t>
            </w:r>
            <w:r>
              <w:rPr>
                <w:rFonts w:hint="default" w:ascii="Times New Roman" w:hAnsi="Times New Roman" w:cs="Times New Roman"/>
                <w:color w:val="auto"/>
              </w:rPr>
              <w:t>相符性</w:t>
            </w:r>
          </w:p>
          <w:p w14:paraId="457E2793">
            <w:pPr>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根据</w:t>
            </w:r>
            <w:r>
              <w:rPr>
                <w:rFonts w:hint="default" w:ascii="Times New Roman" w:hAnsi="Times New Roman" w:cs="Times New Roman"/>
                <w:color w:val="auto"/>
              </w:rPr>
              <w:t>《市政府关于印发</w:t>
            </w:r>
            <w:r>
              <w:rPr>
                <w:rFonts w:hint="eastAsia" w:cs="Times New Roman"/>
                <w:color w:val="auto"/>
                <w:lang w:eastAsia="zh-CN"/>
              </w:rPr>
              <w:t>〈</w:t>
            </w:r>
            <w:r>
              <w:rPr>
                <w:rFonts w:hint="default" w:ascii="Times New Roman" w:hAnsi="Times New Roman" w:cs="Times New Roman"/>
                <w:color w:val="auto"/>
              </w:rPr>
              <w:t>淮安市“三线一单”生态环境分区管控方案</w:t>
            </w:r>
            <w:r>
              <w:rPr>
                <w:rFonts w:hint="eastAsia" w:cs="Times New Roman"/>
                <w:color w:val="auto"/>
                <w:lang w:eastAsia="zh-CN"/>
              </w:rPr>
              <w:t>〉</w:t>
            </w:r>
            <w:r>
              <w:rPr>
                <w:rFonts w:hint="default" w:ascii="Times New Roman" w:hAnsi="Times New Roman" w:cs="Times New Roman"/>
                <w:color w:val="auto"/>
              </w:rPr>
              <w:t>的通知》（淮政发〔2020〕16号）</w:t>
            </w:r>
            <w:r>
              <w:rPr>
                <w:rFonts w:hint="eastAsia" w:ascii="Times New Roman" w:hAnsi="Times New Roman" w:eastAsia="宋体" w:cs="Times New Roman"/>
                <w:color w:val="auto"/>
                <w:lang w:val="en-US" w:eastAsia="zh-CN"/>
              </w:rPr>
              <w:t>及《市政府办公室关于对淮安市“三线一单”生态环境分区管控方案内容修改的通知》（淮政办函〔2022〕5号）</w:t>
            </w:r>
            <w:r>
              <w:rPr>
                <w:rFonts w:hint="eastAsia" w:ascii="Times New Roman" w:hAnsi="Times New Roman" w:eastAsia="宋体" w:cs="Times New Roman"/>
                <w:color w:val="auto"/>
                <w:lang w:eastAsia="zh-CN"/>
              </w:rPr>
              <w:t>文件中内容，涉及的涟水县环境管控单元名录见下表。</w:t>
            </w:r>
          </w:p>
          <w:p w14:paraId="013FDB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500" w:lineRule="exact"/>
              <w:ind w:left="0" w:right="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表1</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淮安市环境管控单元名录表（涟水县）</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76"/>
              <w:gridCol w:w="535"/>
              <w:gridCol w:w="1573"/>
              <w:gridCol w:w="4165"/>
              <w:gridCol w:w="1684"/>
            </w:tblGrid>
            <w:tr w14:paraId="67142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2" w:type="pct"/>
                  <w:tcBorders>
                    <w:tl2br w:val="nil"/>
                    <w:tr2bl w:val="nil"/>
                  </w:tcBorders>
                  <w:noWrap w:val="0"/>
                  <w:vAlign w:val="center"/>
                </w:tcPr>
                <w:p w14:paraId="005D1F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行政区</w:t>
                  </w:r>
                </w:p>
              </w:tc>
              <w:tc>
                <w:tcPr>
                  <w:tcW w:w="317" w:type="pct"/>
                  <w:tcBorders>
                    <w:tl2br w:val="nil"/>
                    <w:tr2bl w:val="nil"/>
                  </w:tcBorders>
                  <w:noWrap w:val="0"/>
                  <w:vAlign w:val="center"/>
                </w:tcPr>
                <w:p w14:paraId="38C7E95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单元总数</w:t>
                  </w:r>
                </w:p>
              </w:tc>
              <w:tc>
                <w:tcPr>
                  <w:tcW w:w="932" w:type="pct"/>
                  <w:tcBorders>
                    <w:tl2br w:val="nil"/>
                    <w:tr2bl w:val="nil"/>
                  </w:tcBorders>
                  <w:noWrap w:val="0"/>
                  <w:vAlign w:val="center"/>
                </w:tcPr>
                <w:p w14:paraId="024E760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优先保护单元（生态保护红线、生态空间管控区域）</w:t>
                  </w:r>
                </w:p>
              </w:tc>
              <w:tc>
                <w:tcPr>
                  <w:tcW w:w="2468" w:type="pct"/>
                  <w:tcBorders>
                    <w:tl2br w:val="nil"/>
                    <w:tr2bl w:val="nil"/>
                  </w:tcBorders>
                  <w:noWrap w:val="0"/>
                  <w:vAlign w:val="center"/>
                </w:tcPr>
                <w:p w14:paraId="0FAF775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重点管控单元（产业园区、中心城区）</w:t>
                  </w:r>
                </w:p>
              </w:tc>
              <w:tc>
                <w:tcPr>
                  <w:tcW w:w="998" w:type="pct"/>
                  <w:tcBorders>
                    <w:tl2br w:val="nil"/>
                    <w:tr2bl w:val="nil"/>
                  </w:tcBorders>
                  <w:noWrap w:val="0"/>
                  <w:vAlign w:val="center"/>
                </w:tcPr>
                <w:p w14:paraId="36EB1E6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一般管控</w:t>
                  </w:r>
                </w:p>
                <w:p w14:paraId="23C010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单元</w:t>
                  </w:r>
                </w:p>
              </w:tc>
            </w:tr>
            <w:tr w14:paraId="13216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2" w:type="pct"/>
                  <w:tcBorders>
                    <w:tl2br w:val="nil"/>
                    <w:tr2bl w:val="nil"/>
                  </w:tcBorders>
                  <w:noWrap w:val="0"/>
                  <w:vAlign w:val="center"/>
                </w:tcPr>
                <w:p w14:paraId="34A97F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涟水县</w:t>
                  </w:r>
                </w:p>
              </w:tc>
              <w:tc>
                <w:tcPr>
                  <w:tcW w:w="317" w:type="pct"/>
                  <w:tcBorders>
                    <w:tl2br w:val="nil"/>
                    <w:tr2bl w:val="nil"/>
                  </w:tcBorders>
                  <w:noWrap w:val="0"/>
                  <w:vAlign w:val="center"/>
                </w:tcPr>
                <w:p w14:paraId="67A94C4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58</w:t>
                  </w:r>
                </w:p>
              </w:tc>
              <w:tc>
                <w:tcPr>
                  <w:tcW w:w="932" w:type="pct"/>
                  <w:tcBorders>
                    <w:tl2br w:val="nil"/>
                    <w:tr2bl w:val="nil"/>
                  </w:tcBorders>
                  <w:noWrap w:val="0"/>
                  <w:vAlign w:val="center"/>
                </w:tcPr>
                <w:p w14:paraId="473EFDE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3个</w:t>
                  </w:r>
                </w:p>
                <w:p w14:paraId="7A4822B3">
                  <w:pPr>
                    <w:pStyle w:val="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bCs w:val="0"/>
                      <w:color w:val="auto"/>
                      <w:sz w:val="18"/>
                      <w:szCs w:val="18"/>
                    </w:rPr>
                    <w:t>古黄河（涟水）饮用水水源保护区、江苏涟水涟漪湖黄嘴白鹭省级自然保护区、废黄河（涟水县）重要湿地</w:t>
                  </w:r>
                </w:p>
              </w:tc>
              <w:tc>
                <w:tcPr>
                  <w:tcW w:w="2468" w:type="pct"/>
                  <w:tcBorders>
                    <w:tl2br w:val="nil"/>
                    <w:tr2bl w:val="nil"/>
                  </w:tcBorders>
                  <w:noWrap w:val="0"/>
                  <w:vAlign w:val="center"/>
                </w:tcPr>
                <w:p w14:paraId="4729215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36个</w:t>
                  </w:r>
                </w:p>
                <w:p w14:paraId="309F12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江苏涟水经济开发区、</w:t>
                  </w:r>
                  <w:r>
                    <w:rPr>
                      <w:rFonts w:hint="default" w:ascii="Times New Roman" w:hAnsi="Times New Roman" w:eastAsia="宋体" w:cs="Times New Roman"/>
                      <w:b w:val="0"/>
                      <w:bCs w:val="0"/>
                      <w:color w:val="auto"/>
                      <w:sz w:val="18"/>
                      <w:szCs w:val="18"/>
                    </w:rPr>
                    <w:t>淮安</w:t>
                  </w:r>
                  <w:r>
                    <w:rPr>
                      <w:rFonts w:hint="eastAsia"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薛行</w:t>
                  </w:r>
                  <w:r>
                    <w:rPr>
                      <w:rFonts w:hint="eastAsia"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循环经济产业园、</w:t>
                  </w:r>
                  <w:r>
                    <w:rPr>
                      <w:rFonts w:hint="default" w:ascii="Times New Roman" w:hAnsi="Times New Roman" w:eastAsia="宋体" w:cs="Times New Roman"/>
                      <w:color w:val="auto"/>
                      <w:sz w:val="18"/>
                      <w:szCs w:val="18"/>
                    </w:rPr>
                    <w:t>凌庄新型金属材料工业集中区、淮安</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涟水</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空港产业园、</w:t>
                  </w:r>
                  <w:r>
                    <w:rPr>
                      <w:rFonts w:hint="default" w:ascii="Times New Roman" w:hAnsi="Times New Roman" w:eastAsia="宋体" w:cs="Times New Roman"/>
                      <w:b w:val="0"/>
                      <w:bCs w:val="0"/>
                      <w:color w:val="auto"/>
                      <w:sz w:val="18"/>
                      <w:szCs w:val="18"/>
                    </w:rPr>
                    <w:t>涟城街道工业集中区</w:t>
                  </w:r>
                  <w:r>
                    <w:rPr>
                      <w:rFonts w:hint="default" w:ascii="Times New Roman" w:hAnsi="Times New Roman" w:eastAsia="宋体" w:cs="Times New Roman"/>
                      <w:color w:val="auto"/>
                      <w:sz w:val="18"/>
                      <w:szCs w:val="18"/>
                    </w:rPr>
                    <w:t>、红窑镇工业集中区、粱岔镇工业集中区、涟城街道</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徐集</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工业集中区、东胡集镇扶贫产业园、东胡集镇</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嵇码</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工业集中区、陈师街道工业集中区、大东镇工业集中区、岔庙镇工业集中区、黄营镇工业集中区、黄营镇</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北集</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工业集中区、南集镇工业集中区、朱码街道工业集中区、朱码街道民营经济产业、朱码街道双河工业区、朱码街道河网工业区、成集镇工业集中区、红窑镇</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义兴</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工业集中区、高沟镇</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灰墩</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工业集中区、高沟镇（前进</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工业集中区、唐集镇工业集中区、高沟镇工业集中区、高沟镇</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高杨</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集中区、</w:t>
                  </w:r>
                  <w:r>
                    <w:rPr>
                      <w:rFonts w:hint="default" w:ascii="Times New Roman" w:hAnsi="Times New Roman" w:eastAsia="宋体" w:cs="Times New Roman"/>
                      <w:b w:val="0"/>
                      <w:bCs w:val="0"/>
                      <w:color w:val="auto"/>
                      <w:sz w:val="18"/>
                      <w:szCs w:val="18"/>
                    </w:rPr>
                    <w:t>食品产业园</w:t>
                  </w:r>
                  <w:r>
                    <w:rPr>
                      <w:rFonts w:hint="default" w:ascii="Times New Roman" w:hAnsi="Times New Roman" w:eastAsia="宋体" w:cs="Times New Roman"/>
                      <w:color w:val="auto"/>
                      <w:sz w:val="18"/>
                      <w:szCs w:val="18"/>
                    </w:rPr>
                    <w:t>、</w:t>
                  </w:r>
                  <w:r>
                    <w:rPr>
                      <w:rFonts w:hint="default" w:ascii="Times New Roman" w:hAnsi="Times New Roman" w:eastAsia="宋体" w:cs="Times New Roman"/>
                      <w:b w:val="0"/>
                      <w:bCs w:val="0"/>
                      <w:color w:val="auto"/>
                      <w:sz w:val="18"/>
                      <w:szCs w:val="18"/>
                    </w:rPr>
                    <w:t>五港镇工业集中区、</w:t>
                  </w:r>
                  <w:r>
                    <w:rPr>
                      <w:rFonts w:hint="default" w:ascii="Times New Roman" w:hAnsi="Times New Roman" w:eastAsia="宋体" w:cs="Times New Roman"/>
                      <w:color w:val="auto"/>
                      <w:sz w:val="18"/>
                      <w:szCs w:val="18"/>
                    </w:rPr>
                    <w:t>五港</w:t>
                  </w:r>
                  <w:r>
                    <w:rPr>
                      <w:rFonts w:hint="default" w:ascii="Times New Roman" w:hAnsi="Times New Roman" w:eastAsia="宋体" w:cs="Times New Roman"/>
                      <w:color w:val="auto"/>
                      <w:sz w:val="18"/>
                      <w:szCs w:val="18"/>
                      <w:lang w:val="en-US" w:eastAsia="zh-CN"/>
                    </w:rPr>
                    <w:t>镇</w:t>
                  </w:r>
                  <w:r>
                    <w:rPr>
                      <w:rFonts w:hint="default" w:ascii="Times New Roman" w:hAnsi="Times New Roman" w:eastAsia="宋体" w:cs="Times New Roman"/>
                      <w:color w:val="auto"/>
                      <w:sz w:val="18"/>
                      <w:szCs w:val="18"/>
                    </w:rPr>
                    <w:t>工业集中区拓展区</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再生纸产业</w:t>
                  </w:r>
                  <w:r>
                    <w:rPr>
                      <w:rFonts w:hint="eastAsia" w:ascii="Times New Roman" w:hAnsi="Times New Roman" w:eastAsia="宋体" w:cs="Times New Roman"/>
                      <w:color w:val="auto"/>
                      <w:sz w:val="18"/>
                      <w:szCs w:val="18"/>
                      <w:lang w:val="en-US" w:eastAsia="zh-CN"/>
                    </w:rPr>
                    <w:t>园）</w:t>
                  </w:r>
                  <w:r>
                    <w:rPr>
                      <w:rFonts w:hint="default" w:ascii="Times New Roman" w:hAnsi="Times New Roman" w:eastAsia="宋体" w:cs="Times New Roman"/>
                      <w:color w:val="auto"/>
                      <w:sz w:val="18"/>
                      <w:szCs w:val="18"/>
                    </w:rPr>
                    <w:t>、石湖镇瓦房工业集中区、石湖镇外口工业集中区、石湖镇东兴</w:t>
                  </w:r>
                  <w:r>
                    <w:rPr>
                      <w:rFonts w:hint="eastAsia" w:cs="Times New Roman"/>
                      <w:color w:val="auto"/>
                      <w:sz w:val="18"/>
                      <w:szCs w:val="18"/>
                      <w:lang w:eastAsia="zh-CN"/>
                    </w:rPr>
                    <w:t>工业</w:t>
                  </w:r>
                  <w:r>
                    <w:rPr>
                      <w:rFonts w:hint="default" w:ascii="Times New Roman" w:hAnsi="Times New Roman" w:eastAsia="宋体" w:cs="Times New Roman"/>
                      <w:color w:val="auto"/>
                      <w:sz w:val="18"/>
                      <w:szCs w:val="18"/>
                    </w:rPr>
                    <w:t>集中区、保滩街道（周集</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工业集中区、保滩街道（十堡</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工业集中区、淮安（薛行）循环经济产业园西区</w:t>
                  </w:r>
                </w:p>
              </w:tc>
              <w:tc>
                <w:tcPr>
                  <w:tcW w:w="998" w:type="pct"/>
                  <w:tcBorders>
                    <w:tl2br w:val="nil"/>
                    <w:tr2bl w:val="nil"/>
                  </w:tcBorders>
                  <w:noWrap w:val="0"/>
                  <w:vAlign w:val="center"/>
                </w:tcPr>
                <w:p w14:paraId="6D97FB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19个</w:t>
                  </w:r>
                </w:p>
                <w:p w14:paraId="62CF5EB5">
                  <w:pPr>
                    <w:pStyle w:val="2"/>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both"/>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bCs w:val="0"/>
                      <w:color w:val="auto"/>
                      <w:sz w:val="18"/>
                      <w:szCs w:val="18"/>
                    </w:rPr>
                    <w:t>保滩街道、徐集乡</w:t>
                  </w:r>
                  <w:r>
                    <w:rPr>
                      <w:rFonts w:hint="eastAsia"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涟城街道</w:t>
                  </w:r>
                  <w:r>
                    <w:rPr>
                      <w:rFonts w:hint="eastAsia"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、黄营镇、</w:t>
                  </w:r>
                  <w:r>
                    <w:rPr>
                      <w:rFonts w:hint="default" w:ascii="Times New Roman" w:hAnsi="Times New Roman" w:eastAsia="宋体" w:cs="Times New Roman"/>
                      <w:b/>
                      <w:bCs/>
                      <w:color w:val="auto"/>
                      <w:sz w:val="18"/>
                      <w:szCs w:val="18"/>
                    </w:rPr>
                    <w:t>涟城街道</w:t>
                  </w:r>
                  <w:r>
                    <w:rPr>
                      <w:rFonts w:hint="default" w:ascii="Times New Roman" w:hAnsi="Times New Roman" w:eastAsia="宋体" w:cs="Times New Roman"/>
                      <w:b w:val="0"/>
                      <w:bCs w:val="0"/>
                      <w:color w:val="auto"/>
                      <w:sz w:val="18"/>
                      <w:szCs w:val="18"/>
                    </w:rPr>
                    <w:t>、高沟镇、唐集镇、大东镇、五港镇、梁岔镇、朱码街道、岔庙镇、东胡集镇、南集镇、义兴镇</w:t>
                  </w:r>
                  <w:r>
                    <w:rPr>
                      <w:rFonts w:hint="eastAsia"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红窑镇</w:t>
                  </w:r>
                  <w:r>
                    <w:rPr>
                      <w:rFonts w:hint="eastAsia"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、成集镇、红窑镇、陈师街道、前进镇</w:t>
                  </w:r>
                  <w:r>
                    <w:rPr>
                      <w:rFonts w:hint="eastAsia"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高沟镇</w:t>
                  </w:r>
                  <w:r>
                    <w:rPr>
                      <w:rFonts w:hint="eastAsia"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、石湖镇</w:t>
                  </w:r>
                </w:p>
              </w:tc>
            </w:tr>
          </w:tbl>
          <w:p w14:paraId="7F0F4E94">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本项目位于淮安市涟水县</w:t>
            </w:r>
            <w:r>
              <w:rPr>
                <w:rFonts w:hint="eastAsia" w:ascii="Times New Roman" w:hAnsi="Times New Roman" w:eastAsia="宋体" w:cs="Times New Roman"/>
                <w:b w:val="0"/>
                <w:bCs/>
                <w:color w:val="auto"/>
                <w:kern w:val="2"/>
                <w:sz w:val="24"/>
                <w:szCs w:val="24"/>
                <w:lang w:val="en-US" w:eastAsia="zh-CN" w:bidi="ar-SA"/>
              </w:rPr>
              <w:t>中心城区涟城街道</w:t>
            </w:r>
            <w:r>
              <w:rPr>
                <w:rFonts w:hint="default" w:ascii="Times New Roman" w:hAnsi="Times New Roman" w:eastAsia="宋体" w:cs="Times New Roman"/>
                <w:b w:val="0"/>
                <w:bCs/>
                <w:color w:val="auto"/>
                <w:kern w:val="2"/>
                <w:sz w:val="24"/>
                <w:szCs w:val="24"/>
                <w:lang w:val="en-US" w:eastAsia="zh-CN" w:bidi="ar-SA"/>
              </w:rPr>
              <w:t>，属于淮安市环境管控单元名录中的</w:t>
            </w:r>
            <w:r>
              <w:rPr>
                <w:rFonts w:hint="eastAsia" w:ascii="Times New Roman" w:hAnsi="Times New Roman" w:eastAsia="宋体" w:cs="Times New Roman"/>
                <w:b w:val="0"/>
                <w:bCs/>
                <w:color w:val="auto"/>
                <w:kern w:val="2"/>
                <w:sz w:val="24"/>
                <w:szCs w:val="24"/>
                <w:lang w:val="en-US" w:eastAsia="zh-CN" w:bidi="ar-SA"/>
              </w:rPr>
              <w:t>一般</w:t>
            </w:r>
            <w:r>
              <w:rPr>
                <w:rFonts w:hint="default" w:ascii="Times New Roman" w:hAnsi="Times New Roman" w:eastAsia="宋体" w:cs="Times New Roman"/>
                <w:b w:val="0"/>
                <w:bCs/>
                <w:color w:val="auto"/>
                <w:kern w:val="2"/>
                <w:sz w:val="24"/>
                <w:szCs w:val="24"/>
                <w:lang w:val="en-US" w:eastAsia="zh-CN" w:bidi="ar-SA"/>
              </w:rPr>
              <w:t>管控单元。</w:t>
            </w:r>
          </w:p>
          <w:p w14:paraId="43B0527E">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b/>
                <w:bCs/>
                <w:color w:val="auto"/>
                <w:sz w:val="24"/>
              </w:rPr>
            </w:pPr>
            <w:r>
              <w:rPr>
                <w:rFonts w:hint="default" w:ascii="Times New Roman" w:hAnsi="Times New Roman" w:eastAsia="宋体" w:cs="Times New Roman"/>
                <w:b w:val="0"/>
                <w:bCs/>
                <w:color w:val="auto"/>
                <w:kern w:val="2"/>
                <w:sz w:val="24"/>
                <w:szCs w:val="24"/>
                <w:lang w:val="en-US" w:eastAsia="zh-CN" w:bidi="ar-SA"/>
              </w:rPr>
              <w:t>根据《市政府关于印发淮安市“三线一单”生态环境分区管控方案的通知》（淮政发</w:t>
            </w:r>
            <w:r>
              <w:rPr>
                <w:rFonts w:hint="eastAsia" w:ascii="Times New Roman" w:hAnsi="Times New Roman" w:eastAsia="宋体" w:cs="Times New Roman"/>
                <w:b w:val="0"/>
                <w:bCs/>
                <w:color w:val="auto"/>
                <w:kern w:val="2"/>
                <w:sz w:val="24"/>
                <w:szCs w:val="24"/>
                <w:lang w:val="en-US" w:eastAsia="zh-CN" w:bidi="ar-SA"/>
              </w:rPr>
              <w:t>〔2020〕16号</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sz w:val="24"/>
                <w:szCs w:val="24"/>
                <w:lang w:val="en-US" w:eastAsia="zh-CN"/>
              </w:rPr>
              <w:t>及《市政府办公室关于对淮安市“三线一单”生态环境分区管控方案内容修改的通知》（淮政办函〔2022〕5号）、</w:t>
            </w:r>
            <w:r>
              <w:rPr>
                <w:rFonts w:hint="default" w:ascii="Times New Roman" w:hAnsi="Times New Roman" w:eastAsia="宋体" w:cs="Times New Roman"/>
                <w:b w:val="0"/>
                <w:bCs/>
                <w:color w:val="auto"/>
                <w:sz w:val="24"/>
                <w:szCs w:val="24"/>
                <w:lang w:val="en-US" w:eastAsia="zh-CN"/>
              </w:rPr>
              <w:t>《淮安市生态环境分区管控动态更新成果》（2023年版）</w:t>
            </w:r>
            <w:r>
              <w:rPr>
                <w:rFonts w:hint="default" w:ascii="Times New Roman" w:hAnsi="Times New Roman" w:eastAsia="宋体" w:cs="Times New Roman"/>
                <w:b w:val="0"/>
                <w:bCs/>
                <w:color w:val="auto"/>
                <w:kern w:val="2"/>
                <w:sz w:val="24"/>
                <w:szCs w:val="24"/>
                <w:lang w:val="en-US" w:eastAsia="zh-CN" w:bidi="ar-SA"/>
              </w:rPr>
              <w:t>文件中内容，淮安市总体准入要求如下表。</w:t>
            </w:r>
          </w:p>
          <w:p w14:paraId="0833B8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4"/>
              </w:rPr>
            </w:pPr>
          </w:p>
          <w:p w14:paraId="0C43B4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表1</w:t>
            </w:r>
            <w:r>
              <w:rPr>
                <w:rFonts w:hint="eastAsia" w:cs="Times New Roman"/>
                <w:b/>
                <w:bCs/>
                <w:color w:val="auto"/>
                <w:sz w:val="24"/>
                <w:lang w:val="en-US" w:eastAsia="zh-CN"/>
              </w:rPr>
              <w:t>.1</w:t>
            </w:r>
            <w:r>
              <w:rPr>
                <w:rFonts w:hint="eastAsia" w:ascii="Times New Roman" w:hAnsi="Times New Roman" w:eastAsia="宋体" w:cs="Times New Roman"/>
                <w:b/>
                <w:bCs/>
                <w:color w:val="auto"/>
                <w:sz w:val="24"/>
              </w:rPr>
              <w:t>-5 与淮安市总体准入要求相符性分析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21"/>
              <w:gridCol w:w="3534"/>
              <w:gridCol w:w="3279"/>
              <w:gridCol w:w="1002"/>
            </w:tblGrid>
            <w:tr w14:paraId="0D159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368" w:type="pct"/>
                  <w:tcBorders>
                    <w:top w:val="single" w:color="auto" w:sz="12" w:space="0"/>
                    <w:left w:val="nil"/>
                    <w:bottom w:val="single" w:color="auto" w:sz="4" w:space="0"/>
                    <w:right w:val="single" w:color="auto" w:sz="4" w:space="0"/>
                  </w:tcBorders>
                  <w:vAlign w:val="center"/>
                </w:tcPr>
                <w:p w14:paraId="456F40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类型</w:t>
                  </w:r>
                </w:p>
              </w:tc>
              <w:tc>
                <w:tcPr>
                  <w:tcW w:w="2094" w:type="pct"/>
                  <w:tcBorders>
                    <w:top w:val="single" w:color="auto" w:sz="12" w:space="0"/>
                    <w:left w:val="single" w:color="auto" w:sz="4" w:space="0"/>
                    <w:bottom w:val="single" w:color="auto" w:sz="4" w:space="0"/>
                    <w:right w:val="single" w:color="auto" w:sz="4" w:space="0"/>
                  </w:tcBorders>
                  <w:vAlign w:val="center"/>
                </w:tcPr>
                <w:p w14:paraId="168C2E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重点管控要求</w:t>
                  </w:r>
                </w:p>
              </w:tc>
              <w:tc>
                <w:tcPr>
                  <w:tcW w:w="1943" w:type="pct"/>
                  <w:tcBorders>
                    <w:top w:val="single" w:color="auto" w:sz="12" w:space="0"/>
                    <w:left w:val="single" w:color="auto" w:sz="4" w:space="0"/>
                    <w:bottom w:val="single" w:color="auto" w:sz="4" w:space="0"/>
                    <w:right w:val="single" w:color="auto" w:sz="4" w:space="0"/>
                  </w:tcBorders>
                  <w:vAlign w:val="center"/>
                </w:tcPr>
                <w:p w14:paraId="5B57B0F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项目情况</w:t>
                  </w:r>
                </w:p>
              </w:tc>
              <w:tc>
                <w:tcPr>
                  <w:tcW w:w="593" w:type="pct"/>
                  <w:tcBorders>
                    <w:top w:val="single" w:color="auto" w:sz="12" w:space="0"/>
                    <w:left w:val="single" w:color="auto" w:sz="4" w:space="0"/>
                    <w:bottom w:val="single" w:color="auto" w:sz="4" w:space="0"/>
                    <w:right w:val="nil"/>
                  </w:tcBorders>
                  <w:vAlign w:val="center"/>
                </w:tcPr>
                <w:p w14:paraId="2F2E561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相符性分析</w:t>
                  </w:r>
                </w:p>
              </w:tc>
            </w:tr>
            <w:tr w14:paraId="552F8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1" w:hRule="atLeast"/>
                <w:jc w:val="center"/>
              </w:trPr>
              <w:tc>
                <w:tcPr>
                  <w:tcW w:w="368" w:type="pct"/>
                  <w:tcBorders>
                    <w:top w:val="single" w:color="auto" w:sz="4" w:space="0"/>
                    <w:left w:val="nil"/>
                    <w:bottom w:val="single" w:color="auto" w:sz="4" w:space="0"/>
                    <w:right w:val="single" w:color="auto" w:sz="4" w:space="0"/>
                  </w:tcBorders>
                  <w:vAlign w:val="center"/>
                </w:tcPr>
                <w:p w14:paraId="7F50A07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空间布局约束</w:t>
                  </w:r>
                </w:p>
              </w:tc>
              <w:tc>
                <w:tcPr>
                  <w:tcW w:w="2094" w:type="pct"/>
                  <w:tcBorders>
                    <w:top w:val="single" w:color="auto" w:sz="4" w:space="0"/>
                    <w:left w:val="single" w:color="auto" w:sz="4" w:space="0"/>
                    <w:bottom w:val="single" w:color="auto" w:sz="4" w:space="0"/>
                    <w:right w:val="single" w:color="auto" w:sz="4" w:space="0"/>
                  </w:tcBorders>
                  <w:vAlign w:val="center"/>
                </w:tcPr>
                <w:p w14:paraId="0627704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1.</w:t>
                  </w:r>
                  <w:r>
                    <w:rPr>
                      <w:rFonts w:hint="default" w:ascii="Times New Roman" w:hAnsi="Times New Roman" w:eastAsia="宋体" w:cs="Times New Roman"/>
                      <w:color w:val="auto"/>
                      <w:sz w:val="18"/>
                      <w:szCs w:val="18"/>
                    </w:rPr>
                    <w:t>严格执行《中共江苏省委江苏省人民政府关于深入打好污染防治攻坚战的实施意见》(2022年1月24日</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、《淮安市深入打好净土保卫战实施方案》</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淮污防攻坚指办[2023]17 号</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 xml:space="preserve"> 、《淮安市生态碧水三年行动方案》</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淮政发[2022]12 号</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等文件要求。</w:t>
                  </w:r>
                </w:p>
                <w:p w14:paraId="49DC00E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2.严格执行《</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长江经济带发展负面清单指南</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试行，2022年版</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江苏省实施细则》</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苏长江办发</w:t>
                  </w:r>
                  <w:r>
                    <w:rPr>
                      <w:rFonts w:hint="eastAsia" w:cs="Times New Roman"/>
                      <w:color w:val="auto"/>
                      <w:sz w:val="18"/>
                      <w:szCs w:val="18"/>
                      <w:lang w:eastAsia="zh-CN"/>
                    </w:rPr>
                    <w:t>〔2022〕55号）</w:t>
                  </w:r>
                  <w:r>
                    <w:rPr>
                      <w:rFonts w:hint="default" w:ascii="Times New Roman" w:hAnsi="Times New Roman" w:eastAsia="宋体" w:cs="Times New Roman"/>
                      <w:color w:val="auto"/>
                      <w:sz w:val="18"/>
                      <w:szCs w:val="18"/>
                    </w:rPr>
                    <w:t>中相关要求。</w:t>
                  </w:r>
                </w:p>
                <w:p w14:paraId="54E034C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3.严格执行《淮安市国土空间总体规划</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2021</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2035年</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中相关要求，坚持最严格的耕地保护制度、生态保护制度和节约用地制度，严格保护耕地资源，落实耕地和永久基本农田保护红线。严格保护湿地资源，强化湿地建设与管理，加快保护区建设与管理；加强其他土地开发的生态影响评价，严禁在生态脆弱和环境敏感地区进行土地开发。</w:t>
                  </w:r>
                </w:p>
                <w:p w14:paraId="6C35C90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4.根据《大运河淮安段核心监控区国土空间</w:t>
                  </w:r>
                  <w:r>
                    <w:rPr>
                      <w:rFonts w:hint="eastAsia" w:cs="Times New Roman"/>
                      <w:color w:val="auto"/>
                      <w:sz w:val="18"/>
                      <w:szCs w:val="18"/>
                      <w:lang w:eastAsia="zh-CN"/>
                    </w:rPr>
                    <w:t>管控</w:t>
                  </w:r>
                  <w:r>
                    <w:rPr>
                      <w:rFonts w:hint="default" w:ascii="Times New Roman" w:hAnsi="Times New Roman" w:eastAsia="宋体" w:cs="Times New Roman"/>
                      <w:color w:val="auto"/>
                      <w:sz w:val="18"/>
                      <w:szCs w:val="18"/>
                    </w:rPr>
                    <w:t>细则》</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淮政规</w:t>
                  </w:r>
                  <w:r>
                    <w:rPr>
                      <w:rFonts w:hint="eastAsia" w:cs="Times New Roman"/>
                      <w:color w:val="auto"/>
                      <w:sz w:val="18"/>
                      <w:szCs w:val="18"/>
                      <w:lang w:eastAsia="zh-CN"/>
                    </w:rPr>
                    <w:t>〔2022〕8号）</w:t>
                  </w:r>
                  <w:r>
                    <w:rPr>
                      <w:rFonts w:hint="default" w:ascii="Times New Roman" w:hAnsi="Times New Roman" w:eastAsia="宋体" w:cs="Times New Roman"/>
                      <w:color w:val="auto"/>
                      <w:sz w:val="18"/>
                      <w:szCs w:val="18"/>
                    </w:rPr>
                    <w:t>，核心监控区内，实行国土空间准入正负面清单管理制度，控制开发规模和强度，禁止不符合主体功能定位的各类开发活动。</w:t>
                  </w:r>
                </w:p>
              </w:tc>
              <w:tc>
                <w:tcPr>
                  <w:tcW w:w="1943" w:type="pct"/>
                  <w:tcBorders>
                    <w:top w:val="single" w:color="auto" w:sz="4" w:space="0"/>
                    <w:left w:val="single" w:color="auto" w:sz="4" w:space="0"/>
                    <w:bottom w:val="single" w:color="auto" w:sz="4" w:space="0"/>
                    <w:right w:val="single" w:color="auto" w:sz="4" w:space="0"/>
                  </w:tcBorders>
                  <w:vAlign w:val="center"/>
                </w:tcPr>
                <w:p w14:paraId="5AEB28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bidi="ar"/>
                    </w:rPr>
                    <w:t>本项目为</w:t>
                  </w:r>
                  <w:r>
                    <w:rPr>
                      <w:rFonts w:hint="eastAsia" w:ascii="Times New Roman" w:hAnsi="Times New Roman" w:eastAsia="宋体" w:cs="Times New Roman"/>
                      <w:color w:val="auto"/>
                      <w:sz w:val="18"/>
                      <w:szCs w:val="18"/>
                      <w:lang w:eastAsia="zh-CN" w:bidi="ar"/>
                    </w:rPr>
                    <w:t>医院配套的教学科研楼建设项目（属于M7340医学研究和试验发展）</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不属于“两高项目”</w:t>
                  </w:r>
                  <w:r>
                    <w:rPr>
                      <w:rFonts w:hint="default" w:ascii="Times New Roman" w:hAnsi="Times New Roman" w:eastAsia="宋体" w:cs="Times New Roman"/>
                      <w:color w:val="auto"/>
                      <w:sz w:val="18"/>
                      <w:szCs w:val="18"/>
                    </w:rPr>
                    <w:t>，不在禁止发展的</w:t>
                  </w:r>
                  <w:r>
                    <w:rPr>
                      <w:rFonts w:hint="eastAsia" w:cs="Times New Roman"/>
                      <w:color w:val="auto"/>
                      <w:sz w:val="18"/>
                      <w:szCs w:val="18"/>
                      <w:lang w:val="en-US" w:eastAsia="zh-CN"/>
                    </w:rPr>
                    <w:t>产业范围</w:t>
                  </w:r>
                  <w:r>
                    <w:rPr>
                      <w:rFonts w:hint="default" w:ascii="Times New Roman" w:hAnsi="Times New Roman" w:eastAsia="宋体" w:cs="Times New Roman"/>
                      <w:color w:val="auto"/>
                      <w:sz w:val="18"/>
                      <w:szCs w:val="18"/>
                    </w:rPr>
                    <w:t>内，不属于限制和禁止类</w:t>
                  </w:r>
                  <w:r>
                    <w:rPr>
                      <w:rFonts w:hint="eastAsia" w:cs="Times New Roman"/>
                      <w:color w:val="auto"/>
                      <w:sz w:val="18"/>
                      <w:szCs w:val="18"/>
                      <w:lang w:val="en-US" w:eastAsia="zh-CN"/>
                    </w:rPr>
                    <w:t>项目</w:t>
                  </w:r>
                  <w:r>
                    <w:rPr>
                      <w:rFonts w:hint="default" w:ascii="Times New Roman" w:hAnsi="Times New Roman" w:eastAsia="宋体" w:cs="Times New Roman"/>
                      <w:color w:val="auto"/>
                      <w:sz w:val="18"/>
                      <w:szCs w:val="18"/>
                    </w:rPr>
                    <w:t>。本项目严格执行文件</w:t>
                  </w:r>
                  <w:r>
                    <w:rPr>
                      <w:rFonts w:hint="eastAsia" w:cs="Times New Roman"/>
                      <w:color w:val="auto"/>
                      <w:sz w:val="18"/>
                      <w:szCs w:val="18"/>
                      <w:lang w:eastAsia="zh-CN"/>
                    </w:rPr>
                    <w:t>精神</w:t>
                  </w:r>
                  <w:r>
                    <w:rPr>
                      <w:rFonts w:hint="default" w:ascii="Times New Roman" w:hAnsi="Times New Roman" w:eastAsia="宋体" w:cs="Times New Roman"/>
                      <w:color w:val="auto"/>
                      <w:sz w:val="18"/>
                      <w:szCs w:val="18"/>
                    </w:rPr>
                    <w:t>要求，</w:t>
                  </w:r>
                  <w:r>
                    <w:rPr>
                      <w:rFonts w:hint="eastAsia" w:cs="Times New Roman"/>
                      <w:color w:val="auto"/>
                      <w:sz w:val="18"/>
                      <w:szCs w:val="18"/>
                      <w:lang w:eastAsia="zh-CN"/>
                    </w:rPr>
                    <w:t>项目选址</w:t>
                  </w:r>
                  <w:r>
                    <w:rPr>
                      <w:rFonts w:hint="default" w:ascii="Times New Roman" w:hAnsi="Times New Roman" w:eastAsia="宋体" w:cs="Times New Roman"/>
                      <w:color w:val="auto"/>
                      <w:sz w:val="18"/>
                      <w:szCs w:val="18"/>
                    </w:rPr>
                    <w:t>不在生态脆弱和环境敏感地区，不在大运河淮安段核心监控区。本项目</w:t>
                  </w:r>
                  <w:r>
                    <w:rPr>
                      <w:rFonts w:hint="eastAsia" w:cs="Times New Roman"/>
                      <w:color w:val="auto"/>
                      <w:sz w:val="18"/>
                      <w:szCs w:val="18"/>
                      <w:lang w:eastAsia="zh-CN"/>
                    </w:rPr>
                    <w:t>用地属于医疗卫生用地，</w:t>
                  </w:r>
                  <w:r>
                    <w:rPr>
                      <w:rFonts w:hint="default" w:ascii="Times New Roman" w:hAnsi="Times New Roman" w:eastAsia="宋体" w:cs="Times New Roman"/>
                      <w:color w:val="auto"/>
                      <w:sz w:val="18"/>
                      <w:szCs w:val="18"/>
                      <w:lang w:val="en-US" w:eastAsia="zh-CN"/>
                    </w:rPr>
                    <w:t>符合淮安市国土空间总体规划</w:t>
                  </w:r>
                  <w:r>
                    <w:rPr>
                      <w:rFonts w:hint="eastAsia" w:cs="Times New Roman"/>
                      <w:color w:val="auto"/>
                      <w:sz w:val="18"/>
                      <w:szCs w:val="18"/>
                      <w:lang w:val="en-US" w:eastAsia="zh-CN"/>
                    </w:rPr>
                    <w:t>的要求，项目用地性质与上位规划相符。</w:t>
                  </w:r>
                </w:p>
              </w:tc>
              <w:tc>
                <w:tcPr>
                  <w:tcW w:w="593" w:type="pct"/>
                  <w:tcBorders>
                    <w:top w:val="single" w:color="auto" w:sz="4" w:space="0"/>
                    <w:left w:val="single" w:color="auto" w:sz="4" w:space="0"/>
                    <w:bottom w:val="single" w:color="auto" w:sz="4" w:space="0"/>
                    <w:right w:val="nil"/>
                  </w:tcBorders>
                  <w:vAlign w:val="center"/>
                </w:tcPr>
                <w:p w14:paraId="44FF58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相符</w:t>
                  </w:r>
                </w:p>
              </w:tc>
            </w:tr>
            <w:tr w14:paraId="22EDD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368" w:type="pct"/>
                  <w:tcBorders>
                    <w:top w:val="single" w:color="auto" w:sz="4" w:space="0"/>
                    <w:left w:val="nil"/>
                    <w:bottom w:val="single" w:color="auto" w:sz="4" w:space="0"/>
                    <w:right w:val="single" w:color="auto" w:sz="4" w:space="0"/>
                  </w:tcBorders>
                  <w:vAlign w:val="center"/>
                </w:tcPr>
                <w:p w14:paraId="6962D14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污染物排放管控</w:t>
                  </w:r>
                </w:p>
              </w:tc>
              <w:tc>
                <w:tcPr>
                  <w:tcW w:w="2094" w:type="pct"/>
                  <w:tcBorders>
                    <w:top w:val="single" w:color="auto" w:sz="4" w:space="0"/>
                    <w:left w:val="single" w:color="auto" w:sz="4" w:space="0"/>
                    <w:bottom w:val="single" w:color="auto" w:sz="4" w:space="0"/>
                    <w:right w:val="single" w:color="auto" w:sz="4" w:space="0"/>
                  </w:tcBorders>
                  <w:vAlign w:val="center"/>
                </w:tcPr>
                <w:p w14:paraId="61DAE72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lightGray"/>
                    </w:rPr>
                  </w:pPr>
                  <w:r>
                    <w:rPr>
                      <w:rFonts w:hint="default" w:ascii="Times New Roman" w:hAnsi="Times New Roman" w:eastAsia="宋体" w:cs="Times New Roman"/>
                      <w:color w:val="auto"/>
                      <w:kern w:val="2"/>
                      <w:sz w:val="18"/>
                      <w:szCs w:val="18"/>
                      <w:lang w:val="en-US" w:eastAsia="zh-CN" w:bidi="ar-SA"/>
                    </w:rPr>
                    <w:t>根据《江苏省</w:t>
                  </w:r>
                  <w:bookmarkStart w:id="34" w:name="_GoBack"/>
                  <w:r>
                    <w:rPr>
                      <w:rFonts w:hint="default" w:ascii="Times New Roman" w:hAnsi="Times New Roman" w:eastAsia="宋体" w:cs="Times New Roman"/>
                      <w:color w:val="auto"/>
                      <w:kern w:val="2"/>
                      <w:sz w:val="18"/>
                      <w:szCs w:val="18"/>
                      <w:lang w:val="en-US" w:eastAsia="zh-CN" w:bidi="ar-SA"/>
                    </w:rPr>
                    <w:t>“</w:t>
                  </w:r>
                  <w:bookmarkEnd w:id="34"/>
                  <w:r>
                    <w:rPr>
                      <w:rFonts w:hint="default" w:ascii="Times New Roman" w:hAnsi="Times New Roman" w:eastAsia="宋体" w:cs="Times New Roman"/>
                      <w:color w:val="auto"/>
                      <w:kern w:val="2"/>
                      <w:sz w:val="18"/>
                      <w:szCs w:val="18"/>
                      <w:lang w:val="en-US" w:eastAsia="zh-CN" w:bidi="ar-SA"/>
                    </w:rPr>
                    <w:t>十四五"节能减排综合实施方案》，到2025 年，氮氧化物、挥发性有机物、化学需氧量、氨氮、总氮、总磷等主要污染物重点工程减排量分别达到5425吨、4333 吨、10059吨、584吨、1225吨、134吨</w:t>
                  </w:r>
                  <w:r>
                    <w:rPr>
                      <w:rFonts w:hint="default" w:ascii="Times New Roman" w:hAnsi="Times New Roman" w:eastAsia="宋体" w:cs="Times New Roman"/>
                      <w:color w:val="auto"/>
                      <w:sz w:val="18"/>
                      <w:szCs w:val="18"/>
                      <w:lang w:val="en-US" w:eastAsia="zh-CN"/>
                    </w:rPr>
                    <w:t>。</w:t>
                  </w:r>
                </w:p>
              </w:tc>
              <w:tc>
                <w:tcPr>
                  <w:tcW w:w="1943" w:type="pct"/>
                  <w:tcBorders>
                    <w:top w:val="single" w:color="auto" w:sz="4" w:space="0"/>
                    <w:left w:val="single" w:color="auto" w:sz="4" w:space="0"/>
                    <w:bottom w:val="single" w:color="auto" w:sz="4" w:space="0"/>
                    <w:right w:val="single" w:color="auto" w:sz="4" w:space="0"/>
                  </w:tcBorders>
                  <w:vAlign w:val="center"/>
                </w:tcPr>
                <w:p w14:paraId="4D337CC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kern w:val="2"/>
                      <w:sz w:val="18"/>
                      <w:szCs w:val="18"/>
                      <w:lang w:val="en-US" w:eastAsia="zh-CN" w:bidi="ar-SA"/>
                    </w:rPr>
                    <w:t>（1）</w:t>
                  </w:r>
                  <w:r>
                    <w:rPr>
                      <w:rFonts w:hint="eastAsia" w:cs="Times New Roman"/>
                      <w:b w:val="0"/>
                      <w:bCs w:val="0"/>
                      <w:color w:val="auto"/>
                      <w:kern w:val="2"/>
                      <w:sz w:val="18"/>
                      <w:szCs w:val="18"/>
                      <w:lang w:val="en-US" w:eastAsia="zh-CN" w:bidi="ar-SA"/>
                    </w:rPr>
                    <w:t>建设项目</w:t>
                  </w:r>
                  <w:r>
                    <w:rPr>
                      <w:rFonts w:hint="default" w:ascii="Times New Roman" w:hAnsi="Times New Roman" w:eastAsia="宋体" w:cs="Times New Roman"/>
                      <w:b w:val="0"/>
                      <w:bCs w:val="0"/>
                      <w:color w:val="auto"/>
                      <w:sz w:val="18"/>
                      <w:szCs w:val="18"/>
                      <w:lang w:val="en-US" w:eastAsia="zh-CN"/>
                    </w:rPr>
                    <w:t>大气污染物非甲烷总烃</w:t>
                  </w:r>
                  <w:r>
                    <w:rPr>
                      <w:rFonts w:hint="eastAsia" w:cs="Times New Roman"/>
                      <w:b w:val="0"/>
                      <w:bCs w:val="0"/>
                      <w:color w:val="auto"/>
                      <w:sz w:val="18"/>
                      <w:szCs w:val="18"/>
                      <w:lang w:val="en-US" w:eastAsia="zh-CN"/>
                    </w:rPr>
                    <w:t>排放量</w:t>
                  </w:r>
                  <w:r>
                    <w:rPr>
                      <w:rFonts w:hint="default" w:ascii="Times New Roman" w:hAnsi="Times New Roman" w:eastAsia="宋体" w:cs="Times New Roman"/>
                      <w:b w:val="0"/>
                      <w:bCs w:val="0"/>
                      <w:color w:val="auto"/>
                      <w:sz w:val="18"/>
                      <w:szCs w:val="18"/>
                      <w:lang w:val="en-US" w:eastAsia="zh-CN"/>
                    </w:rPr>
                    <w:t>0.02</w:t>
                  </w:r>
                  <w:r>
                    <w:rPr>
                      <w:rFonts w:hint="eastAsia" w:cs="Times New Roman"/>
                      <w:b w:val="0"/>
                      <w:bCs w:val="0"/>
                      <w:color w:val="auto"/>
                      <w:sz w:val="18"/>
                      <w:szCs w:val="18"/>
                      <w:lang w:val="en-US" w:eastAsia="zh-CN"/>
                    </w:rPr>
                    <w:t>7</w:t>
                  </w:r>
                  <w:r>
                    <w:rPr>
                      <w:rFonts w:hint="default" w:ascii="Times New Roman" w:hAnsi="Times New Roman" w:eastAsia="宋体" w:cs="Times New Roman"/>
                      <w:b w:val="0"/>
                      <w:bCs w:val="0"/>
                      <w:color w:val="auto"/>
                      <w:sz w:val="18"/>
                      <w:szCs w:val="18"/>
                      <w:lang w:val="en-US" w:eastAsia="zh-CN"/>
                    </w:rPr>
                    <w:t>吨/年，未突破管控总量的要求，对区域大气污染物排放总量贡献值较低。</w:t>
                  </w:r>
                </w:p>
                <w:p w14:paraId="7AD7DC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lightGray"/>
                    </w:rPr>
                  </w:pPr>
                  <w:r>
                    <w:rPr>
                      <w:rFonts w:hint="default" w:ascii="Times New Roman" w:hAnsi="Times New Roman" w:eastAsia="宋体" w:cs="Times New Roman"/>
                      <w:b w:val="0"/>
                      <w:bCs w:val="0"/>
                      <w:color w:val="auto"/>
                      <w:sz w:val="18"/>
                      <w:szCs w:val="18"/>
                      <w:lang w:val="en-US" w:eastAsia="zh-CN"/>
                    </w:rPr>
                    <w:t>（2）</w:t>
                  </w:r>
                  <w:r>
                    <w:rPr>
                      <w:rFonts w:hint="eastAsia" w:cs="Times New Roman"/>
                      <w:b w:val="0"/>
                      <w:bCs w:val="0"/>
                      <w:color w:val="auto"/>
                      <w:sz w:val="18"/>
                      <w:szCs w:val="18"/>
                      <w:lang w:val="en-US" w:eastAsia="zh-CN"/>
                    </w:rPr>
                    <w:t>建设项目</w:t>
                  </w:r>
                  <w:r>
                    <w:rPr>
                      <w:rFonts w:hint="default" w:ascii="Times New Roman" w:hAnsi="Times New Roman" w:eastAsia="宋体" w:cs="Times New Roman"/>
                      <w:b w:val="0"/>
                      <w:bCs w:val="0"/>
                      <w:color w:val="auto"/>
                      <w:sz w:val="18"/>
                      <w:szCs w:val="18"/>
                      <w:lang w:val="en-US" w:eastAsia="zh-CN"/>
                    </w:rPr>
                    <w:t>水污染物排放总量：废水量1383.3吨/年，化学需氧量</w:t>
                  </w:r>
                  <w:r>
                    <w:rPr>
                      <w:rFonts w:hint="default" w:ascii="Times New Roman" w:hAnsi="Times New Roman" w:eastAsia="宋体" w:cs="Times New Roman"/>
                      <w:b w:val="0"/>
                      <w:bCs w:val="0"/>
                      <w:color w:val="auto"/>
                      <w:kern w:val="2"/>
                      <w:sz w:val="18"/>
                      <w:szCs w:val="18"/>
                      <w:lang w:val="en-US" w:eastAsia="zh-CN" w:bidi="ar-SA"/>
                    </w:rPr>
                    <w:t>0.23</w:t>
                  </w:r>
                  <w:r>
                    <w:rPr>
                      <w:rFonts w:hint="eastAsia" w:ascii="Times New Roman" w:hAnsi="Times New Roman" w:eastAsia="宋体" w:cs="Times New Roman"/>
                      <w:b w:val="0"/>
                      <w:bCs w:val="0"/>
                      <w:color w:val="auto"/>
                      <w:kern w:val="2"/>
                      <w:sz w:val="18"/>
                      <w:szCs w:val="18"/>
                      <w:lang w:val="en-US" w:eastAsia="zh-CN" w:bidi="ar-SA"/>
                    </w:rPr>
                    <w:t>7</w:t>
                  </w:r>
                  <w:r>
                    <w:rPr>
                      <w:rFonts w:hint="default" w:ascii="Times New Roman" w:hAnsi="Times New Roman" w:eastAsia="宋体" w:cs="Times New Roman"/>
                      <w:b w:val="0"/>
                      <w:bCs w:val="0"/>
                      <w:color w:val="auto"/>
                      <w:sz w:val="18"/>
                      <w:szCs w:val="18"/>
                      <w:lang w:val="en-US" w:eastAsia="zh-CN"/>
                    </w:rPr>
                    <w:t>吨/年，氨氮</w:t>
                  </w:r>
                  <w:r>
                    <w:rPr>
                      <w:rFonts w:hint="eastAsia" w:ascii="Times New Roman" w:hAnsi="Times New Roman" w:cs="Times New Roman" w:eastAsiaTheme="minorEastAsia"/>
                      <w:b w:val="0"/>
                      <w:bCs w:val="0"/>
                      <w:color w:val="auto"/>
                      <w:sz w:val="18"/>
                      <w:szCs w:val="18"/>
                      <w:lang w:val="en-US" w:eastAsia="zh-CN"/>
                    </w:rPr>
                    <w:t>0.027</w:t>
                  </w:r>
                  <w:r>
                    <w:rPr>
                      <w:rFonts w:hint="default" w:ascii="Times New Roman" w:hAnsi="Times New Roman" w:eastAsia="宋体" w:cs="Times New Roman"/>
                      <w:b w:val="0"/>
                      <w:bCs w:val="0"/>
                      <w:color w:val="auto"/>
                      <w:sz w:val="18"/>
                      <w:szCs w:val="18"/>
                      <w:lang w:val="en-US" w:eastAsia="zh-CN"/>
                    </w:rPr>
                    <w:t>吨/年，总氮</w:t>
                  </w:r>
                  <w:r>
                    <w:rPr>
                      <w:rFonts w:hint="eastAsia" w:ascii="Times New Roman" w:hAnsi="Times New Roman" w:cs="Times New Roman" w:eastAsiaTheme="minorEastAsia"/>
                      <w:b w:val="0"/>
                      <w:bCs w:val="0"/>
                      <w:color w:val="auto"/>
                      <w:sz w:val="18"/>
                      <w:szCs w:val="18"/>
                      <w:lang w:val="en-US" w:eastAsia="zh-CN"/>
                    </w:rPr>
                    <w:t>0.042</w:t>
                  </w:r>
                  <w:r>
                    <w:rPr>
                      <w:rFonts w:hint="default" w:ascii="Times New Roman" w:hAnsi="Times New Roman" w:eastAsia="宋体" w:cs="Times New Roman"/>
                      <w:b w:val="0"/>
                      <w:bCs w:val="0"/>
                      <w:color w:val="auto"/>
                      <w:sz w:val="18"/>
                      <w:szCs w:val="18"/>
                      <w:lang w:val="en-US" w:eastAsia="zh-CN"/>
                    </w:rPr>
                    <w:t>吨/年，总磷</w:t>
                  </w:r>
                  <w:r>
                    <w:rPr>
                      <w:rFonts w:hint="default" w:ascii="Times New Roman" w:hAnsi="Times New Roman" w:eastAsia="宋体" w:cs="Times New Roman"/>
                      <w:b w:val="0"/>
                      <w:bCs w:val="0"/>
                      <w:color w:val="auto"/>
                      <w:kern w:val="0"/>
                      <w:sz w:val="18"/>
                      <w:szCs w:val="18"/>
                    </w:rPr>
                    <w:t>0.0</w:t>
                  </w:r>
                  <w:r>
                    <w:rPr>
                      <w:rFonts w:hint="eastAsia" w:cs="Times New Roman"/>
                      <w:b w:val="0"/>
                      <w:bCs w:val="0"/>
                      <w:color w:val="auto"/>
                      <w:kern w:val="0"/>
                      <w:sz w:val="18"/>
                      <w:szCs w:val="18"/>
                      <w:lang w:val="en-US" w:eastAsia="zh-CN"/>
                    </w:rPr>
                    <w:t>05</w:t>
                  </w:r>
                  <w:r>
                    <w:rPr>
                      <w:rFonts w:hint="default" w:ascii="Times New Roman" w:hAnsi="Times New Roman" w:eastAsia="宋体" w:cs="Times New Roman"/>
                      <w:b w:val="0"/>
                      <w:bCs w:val="0"/>
                      <w:color w:val="auto"/>
                      <w:sz w:val="18"/>
                      <w:szCs w:val="18"/>
                      <w:lang w:val="en-US" w:eastAsia="zh-CN"/>
                    </w:rPr>
                    <w:t>吨/年、SS0.</w:t>
                  </w:r>
                  <w:r>
                    <w:rPr>
                      <w:rFonts w:hint="eastAsia" w:cs="Times New Roman"/>
                      <w:b w:val="0"/>
                      <w:bCs w:val="0"/>
                      <w:color w:val="auto"/>
                      <w:sz w:val="18"/>
                      <w:szCs w:val="18"/>
                      <w:lang w:val="en-US" w:eastAsia="zh-CN"/>
                    </w:rPr>
                    <w:t>156</w:t>
                  </w:r>
                  <w:r>
                    <w:rPr>
                      <w:rFonts w:hint="default" w:ascii="Times New Roman" w:hAnsi="Times New Roman" w:eastAsia="宋体" w:cs="Times New Roman"/>
                      <w:b w:val="0"/>
                      <w:bCs w:val="0"/>
                      <w:color w:val="auto"/>
                      <w:sz w:val="18"/>
                      <w:szCs w:val="18"/>
                      <w:lang w:val="en-US" w:eastAsia="zh-CN"/>
                    </w:rPr>
                    <w:t>吨/年，未突破管控总量的要求，对区域水污染物排放总量贡献值较低</w:t>
                  </w:r>
                  <w:r>
                    <w:rPr>
                      <w:rFonts w:hint="default" w:ascii="Times New Roman" w:hAnsi="Times New Roman" w:eastAsia="宋体" w:cs="Times New Roman"/>
                      <w:b w:val="0"/>
                      <w:bCs w:val="0"/>
                      <w:color w:val="auto"/>
                      <w:sz w:val="18"/>
                      <w:szCs w:val="18"/>
                    </w:rPr>
                    <w:t>。</w:t>
                  </w:r>
                </w:p>
              </w:tc>
              <w:tc>
                <w:tcPr>
                  <w:tcW w:w="593" w:type="pct"/>
                  <w:tcBorders>
                    <w:top w:val="single" w:color="auto" w:sz="4" w:space="0"/>
                    <w:left w:val="single" w:color="auto" w:sz="4" w:space="0"/>
                    <w:bottom w:val="single" w:color="auto" w:sz="4" w:space="0"/>
                    <w:right w:val="nil"/>
                  </w:tcBorders>
                  <w:vAlign w:val="center"/>
                </w:tcPr>
                <w:p w14:paraId="1AD43C8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相符</w:t>
                  </w:r>
                </w:p>
              </w:tc>
            </w:tr>
            <w:tr w14:paraId="1037D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40" w:hRule="atLeast"/>
                <w:jc w:val="center"/>
              </w:trPr>
              <w:tc>
                <w:tcPr>
                  <w:tcW w:w="368" w:type="pct"/>
                  <w:tcBorders>
                    <w:top w:val="single" w:color="auto" w:sz="4" w:space="0"/>
                    <w:left w:val="nil"/>
                    <w:bottom w:val="single" w:color="auto" w:sz="4" w:space="0"/>
                    <w:right w:val="single" w:color="auto" w:sz="4" w:space="0"/>
                  </w:tcBorders>
                  <w:vAlign w:val="center"/>
                </w:tcPr>
                <w:p w14:paraId="5FB98DB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环境风险防控</w:t>
                  </w:r>
                </w:p>
              </w:tc>
              <w:tc>
                <w:tcPr>
                  <w:tcW w:w="2094" w:type="pct"/>
                  <w:tcBorders>
                    <w:top w:val="single" w:color="auto" w:sz="4" w:space="0"/>
                    <w:left w:val="single" w:color="auto" w:sz="4" w:space="0"/>
                    <w:bottom w:val="single" w:color="auto" w:sz="4" w:space="0"/>
                    <w:right w:val="single" w:color="auto" w:sz="4" w:space="0"/>
                  </w:tcBorders>
                  <w:vAlign w:val="center"/>
                </w:tcPr>
                <w:p w14:paraId="3388643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1.严格执行《淮安市突发环境事件应急预案》（淮政办发</w:t>
                  </w:r>
                  <w:r>
                    <w:rPr>
                      <w:rFonts w:hint="eastAsia" w:cs="Times New Roman"/>
                      <w:color w:val="auto"/>
                      <w:sz w:val="18"/>
                      <w:szCs w:val="18"/>
                      <w:lang w:eastAsia="zh-CN"/>
                    </w:rPr>
                    <w:t>〔2020〕67号</w:t>
                  </w:r>
                  <w:r>
                    <w:rPr>
                      <w:rFonts w:hint="default" w:ascii="Times New Roman" w:hAnsi="Times New Roman" w:eastAsia="宋体" w:cs="Times New Roman"/>
                      <w:color w:val="auto"/>
                      <w:sz w:val="18"/>
                      <w:szCs w:val="18"/>
                    </w:rPr>
                    <w:t>）、《淮安市集中式饮用水源突发污染事件应急预案》（淮污</w:t>
                  </w:r>
                  <w:r>
                    <w:rPr>
                      <w:rFonts w:hint="eastAsia" w:cs="Times New Roman"/>
                      <w:color w:val="auto"/>
                      <w:sz w:val="18"/>
                      <w:szCs w:val="18"/>
                      <w:lang w:eastAsia="zh-CN"/>
                    </w:rPr>
                    <w:t>防</w:t>
                  </w:r>
                  <w:r>
                    <w:rPr>
                      <w:rFonts w:hint="default" w:ascii="Times New Roman" w:hAnsi="Times New Roman" w:eastAsia="宋体" w:cs="Times New Roman"/>
                      <w:color w:val="auto"/>
                      <w:sz w:val="18"/>
                      <w:szCs w:val="18"/>
                    </w:rPr>
                    <w:t>攻坚指办</w:t>
                  </w:r>
                  <w:r>
                    <w:rPr>
                      <w:rFonts w:hint="eastAsia" w:cs="Times New Roman"/>
                      <w:color w:val="auto"/>
                      <w:sz w:val="18"/>
                      <w:szCs w:val="18"/>
                      <w:lang w:eastAsia="zh-CN"/>
                    </w:rPr>
                    <w:t>〔2020〕58号</w:t>
                  </w:r>
                  <w:r>
                    <w:rPr>
                      <w:rFonts w:hint="default" w:ascii="Times New Roman" w:hAnsi="Times New Roman" w:eastAsia="宋体" w:cs="Times New Roman"/>
                      <w:color w:val="auto"/>
                      <w:sz w:val="18"/>
                      <w:szCs w:val="18"/>
                    </w:rPr>
                    <w:t>）、《淮安市核辐射事故应急预案》《淮安市重污染天气应急预案》（淮政复</w:t>
                  </w:r>
                  <w:r>
                    <w:rPr>
                      <w:rFonts w:hint="eastAsia" w:cs="Times New Roman"/>
                      <w:color w:val="auto"/>
                      <w:sz w:val="18"/>
                      <w:szCs w:val="18"/>
                      <w:lang w:eastAsia="zh-CN"/>
                    </w:rPr>
                    <w:t>〔2021〕24号</w:t>
                  </w:r>
                  <w:r>
                    <w:rPr>
                      <w:rFonts w:hint="default" w:ascii="Times New Roman" w:hAnsi="Times New Roman" w:eastAsia="宋体" w:cs="Times New Roman"/>
                      <w:color w:val="auto"/>
                      <w:sz w:val="18"/>
                      <w:szCs w:val="18"/>
                    </w:rPr>
                    <w:t>）等文件要求，建立区域监测预警系统，建立省市县上下联动、区域之间左右联动等联动应急响应体系，实行联防联控。2.根据《中共江苏省委江苏省人民政府关于深入打好污染防治攻坚战的实施意见》(2022年1月24日</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完善省、市、县三级环境应急管理体系，健全跨区域、跨部门突发生态环境事件联防联控机制，建成重点敏感保护目标突发水污染事件应急防范体系。开展涉危险废物涉重金属企业、园区等重点领域环境风险调查评估，完成重点河流突发水污染事件“一河一</w:t>
                  </w:r>
                  <w:r>
                    <w:rPr>
                      <w:rFonts w:hint="eastAsia" w:cs="Times New Roman"/>
                      <w:color w:val="auto"/>
                      <w:sz w:val="18"/>
                      <w:szCs w:val="18"/>
                      <w:lang w:eastAsia="zh-CN"/>
                    </w:rPr>
                    <w:t>-一</w:t>
                  </w:r>
                  <w:r>
                    <w:rPr>
                      <w:rFonts w:hint="default" w:ascii="Times New Roman" w:hAnsi="Times New Roman" w:eastAsia="宋体" w:cs="Times New Roman"/>
                      <w:color w:val="auto"/>
                      <w:sz w:val="18"/>
                      <w:szCs w:val="18"/>
                    </w:rPr>
                    <w:t>策一图”全覆盖，常态化推进环境风险企业隐患排查。完善环境应急指挥体系，建成区域环境应急基地和应急物资储备库。</w:t>
                  </w:r>
                </w:p>
              </w:tc>
              <w:tc>
                <w:tcPr>
                  <w:tcW w:w="1943" w:type="pct"/>
                  <w:tcBorders>
                    <w:top w:val="single" w:color="auto" w:sz="4" w:space="0"/>
                    <w:left w:val="single" w:color="auto" w:sz="4" w:space="0"/>
                    <w:bottom w:val="single" w:color="auto" w:sz="4" w:space="0"/>
                    <w:right w:val="single" w:color="auto" w:sz="4" w:space="0"/>
                  </w:tcBorders>
                  <w:vAlign w:val="center"/>
                </w:tcPr>
                <w:p w14:paraId="24C197E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项目</w:t>
                  </w:r>
                  <w:r>
                    <w:rPr>
                      <w:rFonts w:hint="default" w:ascii="Times New Roman" w:hAnsi="Times New Roman" w:eastAsia="宋体" w:cs="Times New Roman"/>
                      <w:color w:val="auto"/>
                      <w:sz w:val="18"/>
                      <w:szCs w:val="18"/>
                      <w:lang w:val="en-US" w:eastAsia="zh-CN"/>
                    </w:rPr>
                    <w:t>建成后</w:t>
                  </w:r>
                  <w:r>
                    <w:rPr>
                      <w:rFonts w:hint="default" w:ascii="Times New Roman" w:hAnsi="Times New Roman" w:eastAsia="宋体" w:cs="Times New Roman"/>
                      <w:color w:val="auto"/>
                      <w:sz w:val="18"/>
                      <w:szCs w:val="18"/>
                    </w:rPr>
                    <w:t>将落实健全环境风险防控体系，提升环境应急能力，加强环境应急基础设施建设，提高环境应急救援能力</w:t>
                  </w:r>
                  <w:r>
                    <w:rPr>
                      <w:rFonts w:hint="eastAsia" w:cs="Times New Roman"/>
                      <w:color w:val="auto"/>
                      <w:sz w:val="18"/>
                      <w:szCs w:val="18"/>
                      <w:lang w:eastAsia="zh-CN"/>
                    </w:rPr>
                    <w:t>，更新</w:t>
                  </w:r>
                  <w:r>
                    <w:rPr>
                      <w:rFonts w:hint="default" w:ascii="Times New Roman" w:hAnsi="Times New Roman" w:eastAsia="宋体" w:cs="Times New Roman"/>
                      <w:color w:val="auto"/>
                      <w:sz w:val="18"/>
                      <w:szCs w:val="18"/>
                      <w:lang w:val="en-US" w:eastAsia="zh-CN"/>
                    </w:rPr>
                    <w:t>环境应急预案，</w:t>
                  </w:r>
                  <w:r>
                    <w:rPr>
                      <w:rFonts w:hint="default" w:ascii="Times New Roman" w:hAnsi="Times New Roman" w:eastAsia="宋体" w:cs="Times New Roman"/>
                      <w:color w:val="auto"/>
                      <w:sz w:val="18"/>
                      <w:szCs w:val="18"/>
                    </w:rPr>
                    <w:t>储备事故应急设备物资，定期组织</w:t>
                  </w:r>
                  <w:r>
                    <w:rPr>
                      <w:rFonts w:hint="default" w:ascii="Times New Roman" w:hAnsi="Times New Roman" w:eastAsia="宋体" w:cs="Times New Roman"/>
                      <w:color w:val="auto"/>
                      <w:sz w:val="18"/>
                      <w:szCs w:val="18"/>
                      <w:lang w:val="en-US" w:eastAsia="zh-CN"/>
                    </w:rPr>
                    <w:t>应急</w:t>
                  </w:r>
                  <w:r>
                    <w:rPr>
                      <w:rFonts w:hint="default" w:ascii="Times New Roman" w:hAnsi="Times New Roman" w:eastAsia="宋体" w:cs="Times New Roman"/>
                      <w:color w:val="auto"/>
                      <w:sz w:val="18"/>
                      <w:szCs w:val="18"/>
                    </w:rPr>
                    <w:t>演练。</w:t>
                  </w:r>
                </w:p>
              </w:tc>
              <w:tc>
                <w:tcPr>
                  <w:tcW w:w="593" w:type="pct"/>
                  <w:tcBorders>
                    <w:top w:val="single" w:color="auto" w:sz="4" w:space="0"/>
                    <w:left w:val="single" w:color="auto" w:sz="4" w:space="0"/>
                    <w:bottom w:val="single" w:color="auto" w:sz="4" w:space="0"/>
                    <w:right w:val="nil"/>
                  </w:tcBorders>
                  <w:vAlign w:val="center"/>
                </w:tcPr>
                <w:p w14:paraId="2648403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相符</w:t>
                  </w:r>
                </w:p>
              </w:tc>
            </w:tr>
            <w:tr w14:paraId="7DF9B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368" w:type="pct"/>
                  <w:tcBorders>
                    <w:top w:val="single" w:color="auto" w:sz="4" w:space="0"/>
                    <w:left w:val="nil"/>
                    <w:bottom w:val="single" w:color="auto" w:sz="12" w:space="0"/>
                    <w:right w:val="single" w:color="auto" w:sz="4" w:space="0"/>
                  </w:tcBorders>
                  <w:vAlign w:val="center"/>
                </w:tcPr>
                <w:p w14:paraId="4DCAE37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资源</w:t>
                  </w:r>
                  <w:r>
                    <w:rPr>
                      <w:rFonts w:hint="default" w:ascii="Times New Roman" w:hAnsi="Times New Roman" w:eastAsia="宋体" w:cs="Times New Roman"/>
                      <w:color w:val="auto"/>
                      <w:sz w:val="18"/>
                      <w:szCs w:val="18"/>
                      <w:lang w:val="en-US" w:eastAsia="zh-CN"/>
                    </w:rPr>
                    <w:t>开发</w:t>
                  </w:r>
                  <w:r>
                    <w:rPr>
                      <w:rFonts w:hint="default" w:ascii="Times New Roman" w:hAnsi="Times New Roman" w:eastAsia="宋体" w:cs="Times New Roman"/>
                      <w:color w:val="auto"/>
                      <w:sz w:val="18"/>
                      <w:szCs w:val="18"/>
                    </w:rPr>
                    <w:t>效率要求</w:t>
                  </w:r>
                </w:p>
              </w:tc>
              <w:tc>
                <w:tcPr>
                  <w:tcW w:w="2094" w:type="pct"/>
                  <w:tcBorders>
                    <w:top w:val="single" w:color="auto" w:sz="4" w:space="0"/>
                    <w:left w:val="single" w:color="auto" w:sz="4" w:space="0"/>
                    <w:bottom w:val="single" w:color="auto" w:sz="12" w:space="0"/>
                    <w:right w:val="single" w:color="auto" w:sz="4" w:space="0"/>
                  </w:tcBorders>
                  <w:vAlign w:val="center"/>
                </w:tcPr>
                <w:p w14:paraId="7BEDD2D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1.水资源利用总量及效率要求</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根据《江苏省水利厅江苏省发改委关于印发“十四五”用水总量和强度控制目标的通知》</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苏水节[2022]6 号</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 xml:space="preserve"> 、《市水利局市发展和改革委员会关于下达“十四五”用水总量和强度控制目标的通知》</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淮水资</w:t>
                  </w:r>
                  <w:r>
                    <w:rPr>
                      <w:rFonts w:hint="eastAsia" w:cs="Times New Roman"/>
                      <w:color w:val="auto"/>
                      <w:sz w:val="18"/>
                      <w:szCs w:val="18"/>
                      <w:lang w:eastAsia="zh-CN"/>
                    </w:rPr>
                    <w:t>〔2022〕4号）</w:t>
                  </w:r>
                  <w:r>
                    <w:rPr>
                      <w:rFonts w:hint="default" w:ascii="Times New Roman" w:hAnsi="Times New Roman" w:eastAsia="宋体" w:cs="Times New Roman"/>
                      <w:color w:val="auto"/>
                      <w:sz w:val="18"/>
                      <w:szCs w:val="18"/>
                    </w:rPr>
                    <w:t>，到2025年，淮安市用水总量不得超过33亿立方米，万元地区生产总值用水量比2020年下降20%，万元工业增加值用水量比2020年下降19%，灌溉水有效利用系数达到0.617以上。2.土地资源利用总量及效率要求</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根据《淮安市国土空间总体规划</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2021</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2035年</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》，淮安市耕地保有量不少于697.3500万亩，永久基本农田保护面积不低于596.0050万亩，控制全市城镇开发边界扩展倍数不高于1.3599。3.能源利用总量及效率要求</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根据《中共江苏省委江苏省人民政府关于深入打好污染防治攻坚战的实施意见》(2022年1月24日</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，到2025年，煤炭消费总量下降5%左右，煤炭占能源消费总量的比重下降至50%左右，非化石能源消费比重达到18%左右。4.禁燃区要求</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根据《江苏省大气污染防治条例》，禁燃区禁止新建、扩建燃用高污染燃料的项目和设施，已建成的应逐步或依法限期改用</w:t>
                  </w:r>
                  <w:r>
                    <w:rPr>
                      <w:rFonts w:hint="eastAsia" w:cs="Times New Roman"/>
                      <w:color w:val="auto"/>
                      <w:sz w:val="18"/>
                      <w:szCs w:val="18"/>
                      <w:lang w:eastAsia="zh-CN"/>
                    </w:rPr>
                    <w:t>天然气</w:t>
                  </w:r>
                  <w:r>
                    <w:rPr>
                      <w:rFonts w:hint="default" w:ascii="Times New Roman" w:hAnsi="Times New Roman" w:eastAsia="宋体" w:cs="Times New Roman"/>
                      <w:color w:val="auto"/>
                      <w:sz w:val="18"/>
                      <w:szCs w:val="18"/>
                    </w:rPr>
                    <w:t>、电或者其他清洁能源。</w:t>
                  </w:r>
                </w:p>
              </w:tc>
              <w:tc>
                <w:tcPr>
                  <w:tcW w:w="1943" w:type="pct"/>
                  <w:tcBorders>
                    <w:top w:val="single" w:color="auto" w:sz="4" w:space="0"/>
                    <w:left w:val="single" w:color="auto" w:sz="4" w:space="0"/>
                    <w:bottom w:val="single" w:color="auto" w:sz="12" w:space="0"/>
                    <w:right w:val="single" w:color="auto" w:sz="4" w:space="0"/>
                  </w:tcBorders>
                  <w:vAlign w:val="center"/>
                </w:tcPr>
                <w:p w14:paraId="12007306">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1.本项目</w:t>
                  </w:r>
                  <w:r>
                    <w:rPr>
                      <w:rFonts w:hint="eastAsia" w:ascii="Times New Roman" w:hAnsi="Times New Roman" w:eastAsia="宋体" w:cs="Times New Roman"/>
                      <w:b w:val="0"/>
                      <w:bCs/>
                      <w:color w:val="auto"/>
                      <w:sz w:val="18"/>
                      <w:szCs w:val="18"/>
                      <w:lang w:eastAsia="zh-CN"/>
                    </w:rPr>
                    <w:t>属于</w:t>
                  </w:r>
                  <w:r>
                    <w:rPr>
                      <w:rFonts w:hint="default" w:ascii="Times New Roman" w:hAnsi="Times New Roman" w:eastAsia="宋体" w:cs="Times New Roman"/>
                      <w:b w:val="0"/>
                      <w:bCs/>
                      <w:color w:val="auto"/>
                      <w:sz w:val="18"/>
                      <w:szCs w:val="18"/>
                    </w:rPr>
                    <w:t>M7340 医学研究和试验发展，</w:t>
                  </w:r>
                  <w:r>
                    <w:rPr>
                      <w:rFonts w:hint="eastAsia" w:ascii="Times New Roman" w:hAnsi="Times New Roman" w:eastAsia="宋体" w:cs="Times New Roman"/>
                      <w:b w:val="0"/>
                      <w:bCs/>
                      <w:color w:val="auto"/>
                      <w:sz w:val="18"/>
                      <w:szCs w:val="18"/>
                      <w:lang w:eastAsia="zh-CN"/>
                    </w:rPr>
                    <w:t>项目</w:t>
                  </w:r>
                  <w:r>
                    <w:rPr>
                      <w:rFonts w:hint="default" w:ascii="Times New Roman" w:hAnsi="Times New Roman" w:eastAsia="宋体" w:cs="Times New Roman"/>
                      <w:b w:val="0"/>
                      <w:bCs/>
                      <w:color w:val="auto"/>
                      <w:sz w:val="18"/>
                      <w:szCs w:val="18"/>
                    </w:rPr>
                    <w:t>营运过程中消耗的电源、水资源相对区域资源利用总量较少，不突破区域水</w:t>
                  </w:r>
                  <w:r>
                    <w:rPr>
                      <w:rFonts w:hint="eastAsia" w:ascii="Times New Roman" w:hAnsi="Times New Roman" w:eastAsia="宋体" w:cs="Times New Roman"/>
                      <w:b w:val="0"/>
                      <w:bCs/>
                      <w:color w:val="auto"/>
                      <w:sz w:val="18"/>
                      <w:szCs w:val="18"/>
                      <w:lang w:eastAsia="zh-CN"/>
                    </w:rPr>
                    <w:t>、电</w:t>
                  </w:r>
                  <w:r>
                    <w:rPr>
                      <w:rFonts w:hint="default" w:ascii="Times New Roman" w:hAnsi="Times New Roman" w:eastAsia="宋体" w:cs="Times New Roman"/>
                      <w:b w:val="0"/>
                      <w:bCs/>
                      <w:color w:val="auto"/>
                      <w:sz w:val="18"/>
                      <w:szCs w:val="18"/>
                    </w:rPr>
                    <w:t>资源要求。</w:t>
                  </w:r>
                </w:p>
                <w:p w14:paraId="7877FE55">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2.本项目不涉及</w:t>
                  </w:r>
                  <w:r>
                    <w:rPr>
                      <w:rFonts w:hint="eastAsia" w:ascii="Times New Roman" w:hAnsi="Times New Roman" w:eastAsia="宋体" w:cs="Times New Roman"/>
                      <w:b w:val="0"/>
                      <w:bCs/>
                      <w:color w:val="auto"/>
                      <w:sz w:val="18"/>
                      <w:szCs w:val="18"/>
                      <w:lang w:val="en-US" w:eastAsia="zh-CN"/>
                    </w:rPr>
                    <w:t>占用耕地及永久基本农田</w:t>
                  </w:r>
                  <w:r>
                    <w:rPr>
                      <w:rFonts w:hint="default" w:ascii="Times New Roman" w:hAnsi="Times New Roman" w:eastAsia="宋体" w:cs="Times New Roman"/>
                      <w:b w:val="0"/>
                      <w:bCs/>
                      <w:color w:val="auto"/>
                      <w:sz w:val="18"/>
                      <w:szCs w:val="18"/>
                    </w:rPr>
                    <w:t>。</w:t>
                  </w:r>
                </w:p>
                <w:p w14:paraId="7887B79B">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val="0"/>
                      <w:bCs/>
                      <w:color w:val="auto"/>
                      <w:sz w:val="18"/>
                      <w:szCs w:val="18"/>
                    </w:rPr>
                  </w:pPr>
                  <w:r>
                    <w:rPr>
                      <w:rFonts w:hint="default" w:ascii="Times New Roman" w:hAnsi="Times New Roman" w:eastAsia="宋体" w:cs="Times New Roman"/>
                      <w:b w:val="0"/>
                      <w:bCs/>
                      <w:color w:val="auto"/>
                      <w:sz w:val="18"/>
                      <w:szCs w:val="18"/>
                    </w:rPr>
                    <w:t>3.本项目</w:t>
                  </w:r>
                  <w:r>
                    <w:rPr>
                      <w:rFonts w:hint="default" w:ascii="Times New Roman" w:hAnsi="Times New Roman" w:eastAsia="宋体" w:cs="Times New Roman"/>
                      <w:b w:val="0"/>
                      <w:bCs/>
                      <w:color w:val="auto"/>
                      <w:sz w:val="18"/>
                      <w:szCs w:val="18"/>
                      <w:lang w:val="en-US" w:eastAsia="zh-CN"/>
                    </w:rPr>
                    <w:t>用地</w:t>
                  </w:r>
                  <w:r>
                    <w:rPr>
                      <w:rFonts w:hint="default" w:ascii="Times New Roman" w:hAnsi="Times New Roman" w:eastAsia="宋体" w:cs="Times New Roman"/>
                      <w:b w:val="0"/>
                      <w:bCs/>
                      <w:color w:val="auto"/>
                      <w:sz w:val="18"/>
                      <w:szCs w:val="18"/>
                    </w:rPr>
                    <w:t>不涉及使用</w:t>
                  </w:r>
                  <w:r>
                    <w:rPr>
                      <w:rFonts w:hint="eastAsia" w:ascii="Times New Roman" w:hAnsi="Times New Roman" w:eastAsia="宋体" w:cs="Times New Roman"/>
                      <w:b w:val="0"/>
                      <w:bCs/>
                      <w:color w:val="auto"/>
                      <w:sz w:val="18"/>
                      <w:szCs w:val="18"/>
                      <w:lang w:val="en-US" w:eastAsia="zh-CN"/>
                    </w:rPr>
                    <w:t>煤炭</w:t>
                  </w:r>
                  <w:r>
                    <w:rPr>
                      <w:rFonts w:hint="default" w:ascii="Times New Roman" w:hAnsi="Times New Roman" w:eastAsia="宋体" w:cs="Times New Roman"/>
                      <w:b w:val="0"/>
                      <w:bCs/>
                      <w:color w:val="auto"/>
                      <w:sz w:val="18"/>
                      <w:szCs w:val="18"/>
                    </w:rPr>
                    <w:t>。</w:t>
                  </w:r>
                </w:p>
                <w:p w14:paraId="45C80BC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color w:val="auto"/>
                      <w:sz w:val="18"/>
                      <w:szCs w:val="18"/>
                    </w:rPr>
                    <w:t>4.本项目</w:t>
                  </w:r>
                  <w:r>
                    <w:rPr>
                      <w:rFonts w:hint="eastAsia" w:ascii="Times New Roman" w:hAnsi="Times New Roman" w:eastAsia="宋体" w:cs="Times New Roman"/>
                      <w:b w:val="0"/>
                      <w:bCs/>
                      <w:color w:val="auto"/>
                      <w:sz w:val="18"/>
                      <w:szCs w:val="18"/>
                      <w:lang w:val="en-US" w:eastAsia="zh-CN"/>
                    </w:rPr>
                    <w:t>不在禁燃区内，不涉及</w:t>
                  </w:r>
                  <w:r>
                    <w:rPr>
                      <w:rFonts w:hint="default" w:ascii="Times New Roman" w:hAnsi="Times New Roman" w:eastAsia="宋体" w:cs="Times New Roman"/>
                      <w:b w:val="0"/>
                      <w:bCs/>
                      <w:color w:val="auto"/>
                      <w:sz w:val="18"/>
                      <w:szCs w:val="18"/>
                    </w:rPr>
                    <w:t>使用</w:t>
                  </w:r>
                  <w:r>
                    <w:rPr>
                      <w:rFonts w:hint="eastAsia" w:ascii="Times New Roman" w:hAnsi="Times New Roman" w:eastAsia="宋体" w:cs="Times New Roman"/>
                      <w:b w:val="0"/>
                      <w:bCs/>
                      <w:color w:val="auto"/>
                      <w:sz w:val="18"/>
                      <w:szCs w:val="18"/>
                      <w:lang w:val="en-US" w:eastAsia="zh-CN"/>
                    </w:rPr>
                    <w:t>高污染燃料</w:t>
                  </w:r>
                  <w:r>
                    <w:rPr>
                      <w:rFonts w:hint="default" w:ascii="Times New Roman" w:hAnsi="Times New Roman" w:eastAsia="宋体" w:cs="Times New Roman"/>
                      <w:b w:val="0"/>
                      <w:bCs/>
                      <w:color w:val="auto"/>
                      <w:sz w:val="18"/>
                      <w:szCs w:val="18"/>
                    </w:rPr>
                    <w:t>。</w:t>
                  </w:r>
                </w:p>
              </w:tc>
              <w:tc>
                <w:tcPr>
                  <w:tcW w:w="593" w:type="pct"/>
                  <w:tcBorders>
                    <w:top w:val="single" w:color="auto" w:sz="4" w:space="0"/>
                    <w:left w:val="single" w:color="auto" w:sz="4" w:space="0"/>
                    <w:bottom w:val="single" w:color="auto" w:sz="12" w:space="0"/>
                    <w:right w:val="nil"/>
                  </w:tcBorders>
                  <w:vAlign w:val="center"/>
                </w:tcPr>
                <w:p w14:paraId="5A8CE41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相符</w:t>
                  </w:r>
                </w:p>
              </w:tc>
            </w:tr>
          </w:tbl>
          <w:p w14:paraId="07E1DAFB">
            <w:pPr>
              <w:pStyle w:val="23"/>
              <w:keepNext w:val="0"/>
              <w:keepLines w:val="0"/>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500" w:lineRule="exact"/>
              <w:ind w:left="0" w:leftChars="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对照《2023年生态环境分区管控成果动态更新工作方案》（环办环评函﹝2023﹞81号）</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江苏省生态环境厅发布的江苏省生态环境分区管控服务平台（http://ywxt.sthjt.jiangsu.gov.cn:8089/sxydOuter/#/Homepage）</w:t>
            </w:r>
            <w:r>
              <w:rPr>
                <w:rFonts w:hint="eastAsia" w:ascii="Times New Roman" w:hAnsi="Times New Roman" w:cs="Times New Roman"/>
                <w:color w:val="auto"/>
                <w:sz w:val="24"/>
                <w:szCs w:val="24"/>
                <w:lang w:val="en-US" w:eastAsia="zh-CN"/>
              </w:rPr>
              <w:t>以及《淮安市生态环境分区管控动态更新成果》（2023年版），本项目位于一般管控单元（单元名称；涟城街道；单元编码：ZH32082630308），与管控单元准入要求相符性见下表。</w:t>
            </w:r>
          </w:p>
          <w:p w14:paraId="400DC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表1</w:t>
            </w:r>
            <w:r>
              <w:rPr>
                <w:rFonts w:hint="eastAsia" w:cs="Times New Roman"/>
                <w:b/>
                <w:color w:val="auto"/>
                <w:kern w:val="2"/>
                <w:sz w:val="24"/>
                <w:szCs w:val="24"/>
                <w:lang w:val="en-US" w:eastAsia="zh-CN"/>
              </w:rPr>
              <w:t>.1</w:t>
            </w:r>
            <w:r>
              <w:rPr>
                <w:rFonts w:hint="default" w:ascii="Times New Roman" w:hAnsi="Times New Roman" w:eastAsia="宋体" w:cs="Times New Roman"/>
                <w:b/>
                <w:color w:val="auto"/>
                <w:kern w:val="2"/>
                <w:sz w:val="24"/>
                <w:szCs w:val="24"/>
              </w:rPr>
              <w:t>-</w:t>
            </w:r>
            <w:r>
              <w:rPr>
                <w:rFonts w:hint="eastAsia" w:ascii="Times New Roman" w:hAnsi="Times New Roman" w:eastAsia="宋体" w:cs="Times New Roman"/>
                <w:b/>
                <w:color w:val="auto"/>
                <w:kern w:val="2"/>
                <w:sz w:val="24"/>
                <w:szCs w:val="24"/>
                <w:lang w:val="en-US" w:eastAsia="zh-CN"/>
              </w:rPr>
              <w:t>6</w:t>
            </w:r>
            <w:r>
              <w:rPr>
                <w:rFonts w:hint="default" w:ascii="Times New Roman" w:hAnsi="Times New Roman" w:eastAsia="宋体" w:cs="Times New Roman"/>
                <w:b/>
                <w:color w:val="auto"/>
                <w:kern w:val="2"/>
                <w:sz w:val="24"/>
                <w:szCs w:val="24"/>
                <w:lang w:val="en-US" w:eastAsia="zh-CN"/>
              </w:rPr>
              <w:t xml:space="preserve"> </w:t>
            </w:r>
            <w:r>
              <w:rPr>
                <w:rFonts w:hint="default" w:ascii="Times New Roman" w:hAnsi="Times New Roman" w:eastAsia="宋体" w:cs="Times New Roman"/>
                <w:b/>
                <w:color w:val="auto"/>
                <w:kern w:val="2"/>
                <w:sz w:val="24"/>
                <w:szCs w:val="24"/>
              </w:rPr>
              <w:t>与</w:t>
            </w:r>
            <w:r>
              <w:rPr>
                <w:rFonts w:hint="eastAsia" w:ascii="Times New Roman" w:hAnsi="Times New Roman" w:eastAsia="宋体" w:cs="Times New Roman"/>
                <w:b/>
                <w:color w:val="auto"/>
                <w:kern w:val="2"/>
                <w:sz w:val="24"/>
                <w:szCs w:val="24"/>
                <w:lang w:val="en-US" w:eastAsia="zh-CN"/>
              </w:rPr>
              <w:t>对应</w:t>
            </w:r>
            <w:r>
              <w:rPr>
                <w:rFonts w:hint="default" w:ascii="Times New Roman" w:hAnsi="Times New Roman" w:eastAsia="宋体" w:cs="Times New Roman"/>
                <w:b/>
                <w:color w:val="auto"/>
                <w:kern w:val="2"/>
                <w:sz w:val="24"/>
                <w:szCs w:val="24"/>
              </w:rPr>
              <w:t>管控单元准入要求相符性分析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4337"/>
              <w:gridCol w:w="2980"/>
            </w:tblGrid>
            <w:tr w14:paraId="102A4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19" w:type="dxa"/>
                  <w:tcBorders>
                    <w:tl2br w:val="nil"/>
                    <w:tr2bl w:val="nil"/>
                  </w:tcBorders>
                  <w:noWrap w:val="0"/>
                  <w:vAlign w:val="center"/>
                </w:tcPr>
                <w:p w14:paraId="663A01C5">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管控类别</w:t>
                  </w:r>
                </w:p>
              </w:tc>
              <w:tc>
                <w:tcPr>
                  <w:tcW w:w="4337" w:type="dxa"/>
                  <w:tcBorders>
                    <w:tl2br w:val="nil"/>
                    <w:tr2bl w:val="nil"/>
                  </w:tcBorders>
                  <w:noWrap w:val="0"/>
                  <w:vAlign w:val="center"/>
                </w:tcPr>
                <w:p w14:paraId="727A8599">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管控要求</w:t>
                  </w:r>
                </w:p>
              </w:tc>
              <w:tc>
                <w:tcPr>
                  <w:tcW w:w="2980" w:type="dxa"/>
                  <w:tcBorders>
                    <w:tl2br w:val="nil"/>
                    <w:tr2bl w:val="nil"/>
                  </w:tcBorders>
                  <w:noWrap w:val="0"/>
                  <w:vAlign w:val="center"/>
                </w:tcPr>
                <w:p w14:paraId="747AE218">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相符性</w:t>
                  </w:r>
                </w:p>
              </w:tc>
            </w:tr>
            <w:tr w14:paraId="74B49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tcBorders>
                    <w:tl2br w:val="nil"/>
                    <w:tr2bl w:val="nil"/>
                  </w:tcBorders>
                  <w:noWrap w:val="0"/>
                  <w:vAlign w:val="center"/>
                </w:tcPr>
                <w:p w14:paraId="5F3B50EC">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空间布局约束</w:t>
                  </w:r>
                </w:p>
              </w:tc>
              <w:tc>
                <w:tcPr>
                  <w:tcW w:w="4337" w:type="dxa"/>
                  <w:tcBorders>
                    <w:tl2br w:val="nil"/>
                    <w:tr2bl w:val="nil"/>
                  </w:tcBorders>
                  <w:noWrap w:val="0"/>
                  <w:vAlign w:val="center"/>
                </w:tcPr>
                <w:p w14:paraId="4490B596">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sz w:val="18"/>
                      <w:szCs w:val="18"/>
                      <w:lang w:eastAsia="zh-CN"/>
                    </w:rPr>
                  </w:pPr>
                  <w:r>
                    <w:rPr>
                      <w:rFonts w:hint="eastAsia" w:ascii="Times New Roman" w:hAnsi="Times New Roman" w:eastAsia="宋体" w:cs="Times New Roman"/>
                      <w:b w:val="0"/>
                      <w:color w:val="auto"/>
                      <w:sz w:val="18"/>
                      <w:szCs w:val="18"/>
                      <w:lang w:eastAsia="zh-CN"/>
                    </w:rPr>
                    <w:t>（</w:t>
                  </w:r>
                  <w:r>
                    <w:rPr>
                      <w:rFonts w:hint="eastAsia" w:ascii="Times New Roman" w:hAnsi="Times New Roman" w:eastAsia="宋体" w:cs="Times New Roman"/>
                      <w:b w:val="0"/>
                      <w:color w:val="auto"/>
                      <w:sz w:val="18"/>
                      <w:szCs w:val="18"/>
                      <w:lang w:val="en-US" w:eastAsia="zh-CN"/>
                    </w:rPr>
                    <w:t>1</w:t>
                  </w:r>
                  <w:r>
                    <w:rPr>
                      <w:rFonts w:hint="eastAsia" w:ascii="Times New Roman" w:hAnsi="Times New Roman" w:eastAsia="宋体" w:cs="Times New Roman"/>
                      <w:b w:val="0"/>
                      <w:color w:val="auto"/>
                      <w:sz w:val="18"/>
                      <w:szCs w:val="18"/>
                      <w:lang w:eastAsia="zh-CN"/>
                    </w:rPr>
                    <w:t>）引入项目符合淮安市总体准入要求。</w:t>
                  </w:r>
                </w:p>
                <w:p w14:paraId="692E4BDD">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sz w:val="18"/>
                      <w:szCs w:val="18"/>
                      <w:lang w:eastAsia="zh-CN"/>
                    </w:rPr>
                  </w:pPr>
                  <w:r>
                    <w:rPr>
                      <w:rFonts w:hint="eastAsia" w:ascii="Times New Roman" w:hAnsi="Times New Roman" w:eastAsia="宋体" w:cs="Times New Roman"/>
                      <w:b w:val="0"/>
                      <w:color w:val="auto"/>
                      <w:sz w:val="18"/>
                      <w:szCs w:val="18"/>
                      <w:lang w:eastAsia="zh-CN"/>
                    </w:rPr>
                    <w:t>（</w:t>
                  </w:r>
                  <w:r>
                    <w:rPr>
                      <w:rFonts w:hint="eastAsia" w:ascii="Times New Roman" w:hAnsi="Times New Roman" w:eastAsia="宋体" w:cs="Times New Roman"/>
                      <w:b w:val="0"/>
                      <w:color w:val="auto"/>
                      <w:sz w:val="18"/>
                      <w:szCs w:val="18"/>
                      <w:lang w:val="en-US" w:eastAsia="zh-CN"/>
                    </w:rPr>
                    <w:t>2</w:t>
                  </w:r>
                  <w:r>
                    <w:rPr>
                      <w:rFonts w:hint="eastAsia" w:ascii="Times New Roman" w:hAnsi="Times New Roman" w:eastAsia="宋体" w:cs="Times New Roman"/>
                      <w:b w:val="0"/>
                      <w:color w:val="auto"/>
                      <w:sz w:val="18"/>
                      <w:szCs w:val="18"/>
                      <w:lang w:eastAsia="zh-CN"/>
                    </w:rPr>
                    <w:t>）持续推进工业企业向产业园区和规划工业区块集中。</w:t>
                  </w:r>
                </w:p>
              </w:tc>
              <w:tc>
                <w:tcPr>
                  <w:tcW w:w="2980" w:type="dxa"/>
                  <w:tcBorders>
                    <w:tl2br w:val="nil"/>
                    <w:tr2bl w:val="nil"/>
                  </w:tcBorders>
                  <w:noWrap w:val="0"/>
                  <w:vAlign w:val="center"/>
                </w:tcPr>
                <w:p w14:paraId="0C25B3D4">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本项目为医院配套的教学科研楼建设项目（属于M7340医学研究和试验发展），本项目用地属于医疗卫生用地，</w:t>
                  </w:r>
                  <w:r>
                    <w:rPr>
                      <w:rFonts w:hint="eastAsia" w:ascii="Times New Roman" w:hAnsi="Times New Roman" w:eastAsia="宋体" w:cs="Times New Roman"/>
                      <w:b w:val="0"/>
                      <w:color w:val="auto"/>
                      <w:sz w:val="18"/>
                      <w:szCs w:val="18"/>
                      <w:lang w:eastAsia="zh-CN"/>
                    </w:rPr>
                    <w:t>符合淮安市总体准入要求</w:t>
                  </w:r>
                  <w:r>
                    <w:rPr>
                      <w:rFonts w:hint="eastAsia" w:ascii="Times New Roman" w:hAnsi="Times New Roman" w:eastAsia="宋体" w:cs="Times New Roman"/>
                      <w:b w:val="0"/>
                      <w:bCs w:val="0"/>
                      <w:color w:val="auto"/>
                      <w:sz w:val="18"/>
                      <w:szCs w:val="18"/>
                      <w:lang w:val="en-US" w:eastAsia="zh-CN"/>
                    </w:rPr>
                    <w:t>。</w:t>
                  </w:r>
                </w:p>
              </w:tc>
            </w:tr>
            <w:tr w14:paraId="1A0CD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tcBorders>
                    <w:tl2br w:val="nil"/>
                    <w:tr2bl w:val="nil"/>
                  </w:tcBorders>
                  <w:noWrap w:val="0"/>
                  <w:vAlign w:val="center"/>
                </w:tcPr>
                <w:p w14:paraId="384B1ED8">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污染物排放管控</w:t>
                  </w:r>
                </w:p>
              </w:tc>
              <w:tc>
                <w:tcPr>
                  <w:tcW w:w="4337" w:type="dxa"/>
                  <w:tcBorders>
                    <w:tl2br w:val="nil"/>
                    <w:tr2bl w:val="nil"/>
                  </w:tcBorders>
                  <w:noWrap w:val="0"/>
                  <w:vAlign w:val="center"/>
                </w:tcPr>
                <w:p w14:paraId="2189802F">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sz w:val="18"/>
                      <w:szCs w:val="18"/>
                      <w:lang w:eastAsia="zh-CN"/>
                    </w:rPr>
                  </w:pPr>
                  <w:r>
                    <w:rPr>
                      <w:rFonts w:hint="eastAsia" w:ascii="Times New Roman" w:hAnsi="Times New Roman" w:eastAsia="宋体" w:cs="Times New Roman"/>
                      <w:b w:val="0"/>
                      <w:color w:val="auto"/>
                      <w:sz w:val="18"/>
                      <w:szCs w:val="18"/>
                      <w:lang w:eastAsia="zh-CN"/>
                    </w:rPr>
                    <w:t>（1）加强生活、交通领域污染治理。深化餐</w:t>
                  </w:r>
                </w:p>
                <w:p w14:paraId="3B07885C">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sz w:val="18"/>
                      <w:szCs w:val="18"/>
                      <w:lang w:eastAsia="zh-CN"/>
                    </w:rPr>
                  </w:pPr>
                  <w:r>
                    <w:rPr>
                      <w:rFonts w:hint="eastAsia" w:ascii="Times New Roman" w:hAnsi="Times New Roman" w:eastAsia="宋体" w:cs="Times New Roman"/>
                      <w:b w:val="0"/>
                      <w:color w:val="auto"/>
                      <w:sz w:val="18"/>
                      <w:szCs w:val="18"/>
                      <w:lang w:eastAsia="zh-CN"/>
                    </w:rPr>
                    <w:t>饮油烟污染防治，提高绿色出行比重。</w:t>
                  </w:r>
                </w:p>
                <w:p w14:paraId="2A3A9DB3">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sz w:val="18"/>
                      <w:szCs w:val="18"/>
                      <w:lang w:eastAsia="zh-CN"/>
                    </w:rPr>
                  </w:pPr>
                  <w:r>
                    <w:rPr>
                      <w:rFonts w:hint="eastAsia" w:ascii="Times New Roman" w:hAnsi="Times New Roman" w:eastAsia="宋体" w:cs="Times New Roman"/>
                      <w:b w:val="0"/>
                      <w:color w:val="auto"/>
                      <w:sz w:val="18"/>
                      <w:szCs w:val="18"/>
                      <w:lang w:eastAsia="zh-CN"/>
                    </w:rPr>
                    <w:t>（2）加快推进城镇雨污分流管网建设和污水</w:t>
                  </w:r>
                </w:p>
                <w:p w14:paraId="15D5809E">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eastAsia" w:ascii="Times New Roman" w:hAnsi="Times New Roman" w:eastAsia="宋体" w:cs="Times New Roman"/>
                      <w:b w:val="0"/>
                      <w:color w:val="auto"/>
                      <w:sz w:val="18"/>
                      <w:szCs w:val="18"/>
                      <w:lang w:eastAsia="zh-CN"/>
                    </w:rPr>
                    <w:t>处理设施建设。</w:t>
                  </w:r>
                </w:p>
              </w:tc>
              <w:tc>
                <w:tcPr>
                  <w:tcW w:w="2980" w:type="dxa"/>
                  <w:tcBorders>
                    <w:tl2br w:val="nil"/>
                    <w:tr2bl w:val="nil"/>
                  </w:tcBorders>
                  <w:noWrap w:val="0"/>
                  <w:vAlign w:val="center"/>
                </w:tcPr>
                <w:p w14:paraId="69C6AD3B">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lang w:val="en-US" w:eastAsia="zh-CN"/>
                    </w:rPr>
                  </w:pPr>
                  <w:r>
                    <w:rPr>
                      <w:rFonts w:hint="eastAsia" w:ascii="Times New Roman" w:hAnsi="Times New Roman" w:eastAsia="宋体" w:cs="Times New Roman"/>
                      <w:b w:val="0"/>
                      <w:color w:val="auto"/>
                      <w:sz w:val="18"/>
                      <w:szCs w:val="18"/>
                      <w:lang w:val="en-US" w:eastAsia="zh-CN"/>
                    </w:rPr>
                    <w:t>本</w:t>
                  </w:r>
                  <w:r>
                    <w:rPr>
                      <w:rFonts w:hint="eastAsia" w:ascii="Times New Roman" w:hAnsi="Times New Roman" w:eastAsia="宋体" w:cs="Times New Roman"/>
                      <w:b w:val="0"/>
                      <w:color w:val="auto"/>
                      <w:sz w:val="18"/>
                      <w:szCs w:val="18"/>
                    </w:rPr>
                    <w:t>项目</w:t>
                  </w:r>
                  <w:r>
                    <w:rPr>
                      <w:rFonts w:hint="eastAsia" w:ascii="Times New Roman" w:hAnsi="Times New Roman" w:eastAsia="宋体" w:cs="Times New Roman"/>
                      <w:b w:val="0"/>
                      <w:color w:val="auto"/>
                      <w:sz w:val="18"/>
                      <w:szCs w:val="18"/>
                      <w:lang w:val="en-US" w:eastAsia="zh-CN"/>
                    </w:rPr>
                    <w:t>不涉及</w:t>
                  </w:r>
                  <w:r>
                    <w:rPr>
                      <w:rFonts w:hint="eastAsia" w:ascii="Times New Roman" w:hAnsi="Times New Roman" w:eastAsia="宋体" w:cs="Times New Roman"/>
                      <w:b w:val="0"/>
                      <w:color w:val="auto"/>
                      <w:sz w:val="18"/>
                      <w:szCs w:val="18"/>
                      <w:lang w:eastAsia="zh-CN"/>
                    </w:rPr>
                    <w:t>。</w:t>
                  </w:r>
                </w:p>
              </w:tc>
            </w:tr>
            <w:tr w14:paraId="29A0E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tcBorders>
                    <w:tl2br w:val="nil"/>
                    <w:tr2bl w:val="nil"/>
                  </w:tcBorders>
                  <w:noWrap w:val="0"/>
                  <w:vAlign w:val="center"/>
                </w:tcPr>
                <w:p w14:paraId="49B4473E">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eastAsia" w:ascii="Times New Roman" w:hAnsi="Times New Roman" w:eastAsia="宋体" w:cs="Times New Roman"/>
                      <w:b w:val="0"/>
                      <w:color w:val="auto"/>
                      <w:sz w:val="18"/>
                      <w:szCs w:val="18"/>
                      <w:lang w:val="en-US" w:eastAsia="zh-CN"/>
                    </w:rPr>
                    <w:t>环境</w:t>
                  </w:r>
                  <w:r>
                    <w:rPr>
                      <w:rFonts w:hint="default" w:ascii="Times New Roman" w:hAnsi="Times New Roman" w:eastAsia="宋体" w:cs="Times New Roman"/>
                      <w:b w:val="0"/>
                      <w:color w:val="auto"/>
                      <w:sz w:val="18"/>
                      <w:szCs w:val="18"/>
                    </w:rPr>
                    <w:t>风险</w:t>
                  </w:r>
                  <w:r>
                    <w:rPr>
                      <w:rFonts w:hint="eastAsia" w:ascii="Times New Roman" w:hAnsi="Times New Roman" w:eastAsia="宋体" w:cs="Times New Roman"/>
                      <w:b w:val="0"/>
                      <w:color w:val="auto"/>
                      <w:sz w:val="18"/>
                      <w:szCs w:val="18"/>
                      <w:lang w:val="en-US" w:eastAsia="zh-CN"/>
                    </w:rPr>
                    <w:t>防</w:t>
                  </w:r>
                  <w:r>
                    <w:rPr>
                      <w:rFonts w:hint="default" w:ascii="Times New Roman" w:hAnsi="Times New Roman" w:eastAsia="宋体" w:cs="Times New Roman"/>
                      <w:b w:val="0"/>
                      <w:color w:val="auto"/>
                      <w:sz w:val="18"/>
                      <w:szCs w:val="18"/>
                    </w:rPr>
                    <w:t>控</w:t>
                  </w:r>
                </w:p>
              </w:tc>
              <w:tc>
                <w:tcPr>
                  <w:tcW w:w="4337" w:type="dxa"/>
                  <w:tcBorders>
                    <w:tl2br w:val="nil"/>
                    <w:tr2bl w:val="nil"/>
                  </w:tcBorders>
                  <w:noWrap w:val="0"/>
                  <w:vAlign w:val="center"/>
                </w:tcPr>
                <w:p w14:paraId="5764B0C6">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落实《污染地块土壤环境管理办法（试行）》要求，在环境调查、风险评估、治理与修复阶段实施土壤与地下水风险管控</w:t>
                  </w:r>
                  <w:r>
                    <w:rPr>
                      <w:rFonts w:hint="eastAsia" w:ascii="Times New Roman" w:hAnsi="Times New Roman" w:eastAsia="宋体" w:cs="Times New Roman"/>
                      <w:b w:val="0"/>
                      <w:color w:val="auto"/>
                      <w:sz w:val="18"/>
                      <w:szCs w:val="18"/>
                      <w:lang w:eastAsia="zh-CN"/>
                    </w:rPr>
                    <w:t>，对</w:t>
                  </w:r>
                  <w:r>
                    <w:rPr>
                      <w:rFonts w:hint="default" w:ascii="Times New Roman" w:hAnsi="Times New Roman" w:eastAsia="宋体" w:cs="Times New Roman"/>
                      <w:b w:val="0"/>
                      <w:color w:val="auto"/>
                      <w:sz w:val="18"/>
                      <w:szCs w:val="18"/>
                    </w:rPr>
                    <w:t>暂不开发利用的地块实施以防治污染扩散为目的的土壤和地下水污染防治，对再开发利用地块实施以安全利用为目的的土壤和地下水污染防治。</w:t>
                  </w:r>
                </w:p>
              </w:tc>
              <w:tc>
                <w:tcPr>
                  <w:tcW w:w="2980" w:type="dxa"/>
                  <w:tcBorders>
                    <w:tl2br w:val="nil"/>
                    <w:tr2bl w:val="nil"/>
                  </w:tcBorders>
                  <w:noWrap w:val="0"/>
                  <w:vAlign w:val="center"/>
                </w:tcPr>
                <w:p w14:paraId="6F943AB1">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lang w:eastAsia="zh-CN"/>
                    </w:rPr>
                  </w:pPr>
                  <w:r>
                    <w:rPr>
                      <w:rFonts w:hint="default" w:ascii="Times New Roman" w:hAnsi="Times New Roman" w:eastAsia="宋体" w:cs="Times New Roman"/>
                      <w:b w:val="0"/>
                      <w:bCs/>
                      <w:color w:val="auto"/>
                      <w:sz w:val="18"/>
                      <w:szCs w:val="18"/>
                    </w:rPr>
                    <w:t>本项目位于</w:t>
                  </w:r>
                  <w:r>
                    <w:rPr>
                      <w:rFonts w:hint="eastAsia" w:ascii="Times New Roman" w:hAnsi="Times New Roman" w:eastAsia="宋体" w:cs="Times New Roman"/>
                      <w:b w:val="0"/>
                      <w:bCs/>
                      <w:color w:val="auto"/>
                      <w:sz w:val="18"/>
                      <w:szCs w:val="18"/>
                      <w:lang w:eastAsia="zh-CN"/>
                    </w:rPr>
                    <w:t>涟水县人民医院</w:t>
                  </w:r>
                  <w:r>
                    <w:rPr>
                      <w:rFonts w:hint="default" w:ascii="Times New Roman" w:hAnsi="Times New Roman" w:eastAsia="宋体" w:cs="Times New Roman"/>
                      <w:b w:val="0"/>
                      <w:bCs/>
                      <w:color w:val="auto"/>
                      <w:sz w:val="18"/>
                      <w:szCs w:val="18"/>
                    </w:rPr>
                    <w:t>内，</w:t>
                  </w:r>
                  <w:r>
                    <w:rPr>
                      <w:rFonts w:hint="eastAsia" w:ascii="Times New Roman" w:hAnsi="Times New Roman" w:eastAsia="宋体" w:cs="Times New Roman"/>
                      <w:b w:val="0"/>
                      <w:bCs/>
                      <w:color w:val="auto"/>
                      <w:sz w:val="18"/>
                      <w:szCs w:val="18"/>
                      <w:lang w:eastAsia="zh-CN"/>
                    </w:rPr>
                    <w:t>不新增占地，</w:t>
                  </w:r>
                  <w:r>
                    <w:rPr>
                      <w:rFonts w:hint="default" w:ascii="Times New Roman" w:hAnsi="Times New Roman" w:eastAsia="宋体" w:cs="Times New Roman"/>
                      <w:b w:val="0"/>
                      <w:bCs/>
                      <w:color w:val="auto"/>
                      <w:sz w:val="18"/>
                      <w:szCs w:val="18"/>
                    </w:rPr>
                    <w:t>该地块用地性质为</w:t>
                  </w:r>
                  <w:r>
                    <w:rPr>
                      <w:rFonts w:hint="eastAsia" w:ascii="Times New Roman" w:hAnsi="Times New Roman" w:eastAsia="宋体" w:cs="Times New Roman"/>
                      <w:b w:val="0"/>
                      <w:bCs w:val="0"/>
                      <w:color w:val="auto"/>
                      <w:sz w:val="18"/>
                      <w:szCs w:val="18"/>
                      <w:lang w:val="en-US" w:eastAsia="zh-CN"/>
                    </w:rPr>
                    <w:t>医疗卫生用地</w:t>
                  </w:r>
                  <w:r>
                    <w:rPr>
                      <w:rFonts w:hint="default" w:ascii="Times New Roman" w:hAnsi="Times New Roman" w:eastAsia="宋体" w:cs="Times New Roman"/>
                      <w:b w:val="0"/>
                      <w:bCs/>
                      <w:color w:val="auto"/>
                      <w:sz w:val="18"/>
                      <w:szCs w:val="18"/>
                    </w:rPr>
                    <w:t>，</w:t>
                  </w:r>
                  <w:r>
                    <w:rPr>
                      <w:rFonts w:hint="eastAsia" w:ascii="Times New Roman" w:hAnsi="Times New Roman" w:eastAsia="宋体" w:cs="Times New Roman"/>
                      <w:b w:val="0"/>
                      <w:bCs/>
                      <w:color w:val="auto"/>
                      <w:sz w:val="18"/>
                      <w:szCs w:val="18"/>
                      <w:lang w:val="en-US" w:eastAsia="zh-CN"/>
                    </w:rPr>
                    <w:t>不涉及占用农用地，建设单位教学科研楼实验区相关地面拟进行防腐、防渗漏处理，严格落实分区防渗等地下水污染防治措施</w:t>
                  </w:r>
                  <w:r>
                    <w:rPr>
                      <w:rFonts w:hint="default" w:ascii="Times New Roman" w:hAnsi="Times New Roman" w:eastAsia="宋体" w:cs="Times New Roman"/>
                      <w:b w:val="0"/>
                      <w:bCs/>
                      <w:color w:val="auto"/>
                      <w:sz w:val="18"/>
                      <w:szCs w:val="18"/>
                    </w:rPr>
                    <w:t>。</w:t>
                  </w:r>
                </w:p>
              </w:tc>
            </w:tr>
            <w:tr w14:paraId="23386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9" w:type="dxa"/>
                  <w:tcBorders>
                    <w:tl2br w:val="nil"/>
                    <w:tr2bl w:val="nil"/>
                  </w:tcBorders>
                  <w:noWrap w:val="0"/>
                  <w:vAlign w:val="center"/>
                </w:tcPr>
                <w:p w14:paraId="2DA27C6A">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olor w:val="auto"/>
                      <w:sz w:val="18"/>
                      <w:szCs w:val="18"/>
                    </w:rPr>
                  </w:pPr>
                  <w:r>
                    <w:rPr>
                      <w:rFonts w:hint="default" w:ascii="Times New Roman" w:hAnsi="Times New Roman" w:eastAsia="宋体" w:cs="Times New Roman"/>
                      <w:b w:val="0"/>
                      <w:color w:val="auto"/>
                      <w:sz w:val="18"/>
                      <w:szCs w:val="18"/>
                    </w:rPr>
                    <w:t>资源利用效率要求</w:t>
                  </w:r>
                </w:p>
              </w:tc>
              <w:tc>
                <w:tcPr>
                  <w:tcW w:w="4337" w:type="dxa"/>
                  <w:tcBorders>
                    <w:tl2br w:val="nil"/>
                    <w:tr2bl w:val="nil"/>
                  </w:tcBorders>
                  <w:noWrap w:val="0"/>
                  <w:vAlign w:val="center"/>
                </w:tcPr>
                <w:p w14:paraId="7AA7B34B">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sz w:val="18"/>
                      <w:szCs w:val="18"/>
                      <w:lang w:val="en-US" w:eastAsia="zh-CN"/>
                    </w:rPr>
                  </w:pPr>
                  <w:r>
                    <w:rPr>
                      <w:rFonts w:hint="eastAsia" w:ascii="Times New Roman" w:hAnsi="Times New Roman" w:eastAsia="宋体" w:cs="Times New Roman"/>
                      <w:b w:val="0"/>
                      <w:color w:val="auto"/>
                      <w:sz w:val="18"/>
                      <w:szCs w:val="18"/>
                      <w:lang w:val="en-US" w:eastAsia="zh-CN"/>
                    </w:rPr>
                    <w:t>禁止销售使用燃料为“Ⅱ类”（较严），具</w:t>
                  </w:r>
                </w:p>
                <w:p w14:paraId="63C9D686">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sz w:val="18"/>
                      <w:szCs w:val="18"/>
                      <w:lang w:val="en-US" w:eastAsia="zh-CN"/>
                    </w:rPr>
                  </w:pPr>
                  <w:r>
                    <w:rPr>
                      <w:rFonts w:hint="eastAsia" w:ascii="Times New Roman" w:hAnsi="Times New Roman" w:eastAsia="宋体" w:cs="Times New Roman"/>
                      <w:b w:val="0"/>
                      <w:color w:val="auto"/>
                      <w:sz w:val="18"/>
                      <w:szCs w:val="18"/>
                      <w:lang w:val="en-US" w:eastAsia="zh-CN"/>
                    </w:rPr>
                    <w:t>体包括：①除单台出力大于等于20蒸吨/小时</w:t>
                  </w:r>
                </w:p>
                <w:p w14:paraId="635704FF">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sz w:val="18"/>
                      <w:szCs w:val="18"/>
                      <w:lang w:val="en-US" w:eastAsia="zh-CN"/>
                    </w:rPr>
                  </w:pPr>
                  <w:r>
                    <w:rPr>
                      <w:rFonts w:hint="eastAsia" w:ascii="Times New Roman" w:hAnsi="Times New Roman" w:eastAsia="宋体" w:cs="Times New Roman"/>
                      <w:b w:val="0"/>
                      <w:color w:val="auto"/>
                      <w:sz w:val="18"/>
                      <w:szCs w:val="18"/>
                      <w:lang w:val="en-US" w:eastAsia="zh-CN"/>
                    </w:rPr>
                    <w:t>锅炉以外燃用的煤炭及其制品。②石油焦、</w:t>
                  </w:r>
                </w:p>
                <w:p w14:paraId="3FD4CA37">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sz w:val="18"/>
                      <w:szCs w:val="18"/>
                      <w:lang w:eastAsia="zh-CN"/>
                    </w:rPr>
                  </w:pPr>
                  <w:r>
                    <w:rPr>
                      <w:rFonts w:hint="eastAsia" w:ascii="Times New Roman" w:hAnsi="Times New Roman" w:eastAsia="宋体" w:cs="Times New Roman"/>
                      <w:b w:val="0"/>
                      <w:color w:val="auto"/>
                      <w:sz w:val="18"/>
                      <w:szCs w:val="18"/>
                      <w:lang w:val="en-US" w:eastAsia="zh-CN"/>
                    </w:rPr>
                    <w:t>油页岩、原油、重油、渣油、煤焦油。</w:t>
                  </w:r>
                </w:p>
              </w:tc>
              <w:tc>
                <w:tcPr>
                  <w:tcW w:w="2980" w:type="dxa"/>
                  <w:tcBorders>
                    <w:tl2br w:val="nil"/>
                    <w:tr2bl w:val="nil"/>
                  </w:tcBorders>
                  <w:noWrap w:val="0"/>
                  <w:vAlign w:val="center"/>
                </w:tcPr>
                <w:p w14:paraId="1C230F4E">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color w:val="auto"/>
                      <w:sz w:val="18"/>
                      <w:szCs w:val="18"/>
                      <w:lang w:val="en-US" w:eastAsia="zh-CN"/>
                    </w:rPr>
                  </w:pPr>
                  <w:r>
                    <w:rPr>
                      <w:rFonts w:hint="eastAsia" w:ascii="Times New Roman" w:hAnsi="Times New Roman" w:eastAsia="宋体" w:cs="Times New Roman"/>
                      <w:b w:val="0"/>
                      <w:color w:val="auto"/>
                      <w:sz w:val="18"/>
                      <w:szCs w:val="18"/>
                      <w:lang w:val="en-US" w:eastAsia="zh-CN"/>
                    </w:rPr>
                    <w:t>本项目不涉及高污染燃料使用</w:t>
                  </w:r>
                </w:p>
              </w:tc>
            </w:tr>
          </w:tbl>
          <w:p w14:paraId="67A45C6B">
            <w:pPr>
              <w:keepNext w:val="0"/>
              <w:keepLines w:val="0"/>
              <w:suppressLineNumbers w:val="0"/>
              <w:adjustRightInd w:val="0"/>
              <w:snapToGrid w:val="0"/>
              <w:spacing w:before="0" w:beforeLines="5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根据上表</w:t>
            </w:r>
            <w:r>
              <w:rPr>
                <w:rFonts w:hint="eastAsia" w:cs="Times New Roman"/>
                <w:color w:val="auto"/>
                <w:sz w:val="24"/>
                <w:lang w:val="en-US" w:eastAsia="zh-CN"/>
              </w:rPr>
              <w:t>1.1-4、1.1-5、1.1～6</w:t>
            </w:r>
            <w:r>
              <w:rPr>
                <w:rFonts w:hint="eastAsia" w:ascii="Times New Roman" w:hAnsi="Times New Roman" w:eastAsia="宋体" w:cs="Times New Roman"/>
                <w:color w:val="auto"/>
                <w:sz w:val="24"/>
                <w:lang w:val="en-US" w:eastAsia="zh-CN"/>
              </w:rPr>
              <w:t>分析可知，建设项目与《淮安市“三线一单”生态环境分区管控方案》（淮政发〔2020〕16号）</w:t>
            </w:r>
            <w:r>
              <w:rPr>
                <w:rFonts w:hint="eastAsia" w:cs="Times New Roman"/>
                <w:color w:val="auto"/>
                <w:sz w:val="24"/>
                <w:lang w:val="en-US" w:eastAsia="zh-CN"/>
              </w:rPr>
              <w:t>及</w:t>
            </w:r>
            <w:r>
              <w:rPr>
                <w:rFonts w:hint="default"/>
                <w:bCs/>
                <w:color w:val="auto"/>
              </w:rPr>
              <w:t>《市政府办公室关于对淮安市“三线一单”生态环境分区管控方案内容修改的通知》（淮政办函〔2022〕5号）</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《淮安市生态环境分区管控动态更新成果》（2023版）</w:t>
            </w:r>
            <w:r>
              <w:rPr>
                <w:rFonts w:hint="eastAsia" w:ascii="Times New Roman" w:hAnsi="Times New Roman" w:eastAsia="宋体" w:cs="Times New Roman"/>
                <w:color w:val="auto"/>
                <w:sz w:val="24"/>
                <w:lang w:val="en-US" w:eastAsia="zh-CN"/>
              </w:rPr>
              <w:t>是相符的。</w:t>
            </w:r>
            <w:r>
              <w:rPr>
                <w:rFonts w:hint="eastAsia"/>
                <w:color w:val="auto"/>
                <w:sz w:val="24"/>
                <w:lang w:eastAsia="zh-CN"/>
              </w:rPr>
              <w:t>本项目</w:t>
            </w:r>
            <w:r>
              <w:rPr>
                <w:rFonts w:hint="eastAsia"/>
                <w:color w:val="auto"/>
                <w:sz w:val="24"/>
              </w:rPr>
              <w:t>与</w:t>
            </w:r>
            <w:r>
              <w:rPr>
                <w:rFonts w:hint="eastAsia"/>
                <w:color w:val="auto"/>
                <w:sz w:val="24"/>
                <w:lang w:val="en-US" w:eastAsia="zh-CN"/>
              </w:rPr>
              <w:t>淮安</w:t>
            </w:r>
            <w:r>
              <w:rPr>
                <w:rFonts w:hint="eastAsia"/>
                <w:color w:val="auto"/>
                <w:sz w:val="24"/>
                <w:lang w:eastAsia="zh-CN"/>
              </w:rPr>
              <w:t>市</w:t>
            </w:r>
            <w:r>
              <w:rPr>
                <w:rFonts w:hint="eastAsia"/>
                <w:color w:val="auto"/>
                <w:sz w:val="24"/>
              </w:rPr>
              <w:t>环境管控</w:t>
            </w:r>
            <w:r>
              <w:rPr>
                <w:rFonts w:hint="eastAsia"/>
                <w:color w:val="auto"/>
                <w:sz w:val="24"/>
                <w:lang w:eastAsia="zh-CN"/>
              </w:rPr>
              <w:t>单元</w:t>
            </w:r>
            <w:r>
              <w:rPr>
                <w:rFonts w:hint="eastAsia"/>
                <w:color w:val="auto"/>
                <w:sz w:val="24"/>
              </w:rPr>
              <w:t>位置关系详见</w:t>
            </w:r>
            <w:r>
              <w:rPr>
                <w:rFonts w:hint="eastAsia"/>
                <w:b/>
                <w:bCs w:val="0"/>
                <w:color w:val="auto"/>
                <w:sz w:val="24"/>
              </w:rPr>
              <w:t>附图</w:t>
            </w:r>
            <w:r>
              <w:rPr>
                <w:rFonts w:hint="eastAsia"/>
                <w:b/>
                <w:bCs w:val="0"/>
                <w:color w:val="auto"/>
                <w:sz w:val="24"/>
                <w:lang w:val="en-US" w:eastAsia="zh-CN"/>
              </w:rPr>
              <w:t>3</w:t>
            </w:r>
            <w:r>
              <w:rPr>
                <w:rFonts w:hint="eastAsia"/>
                <w:b w:val="0"/>
                <w:bCs/>
                <w:color w:val="auto"/>
                <w:sz w:val="24"/>
                <w:lang w:val="en-US" w:eastAsia="zh-CN"/>
              </w:rPr>
              <w:t>。</w:t>
            </w:r>
          </w:p>
          <w:p w14:paraId="53D52951">
            <w:pPr>
              <w:keepNext w:val="0"/>
              <w:keepLines w:val="0"/>
              <w:suppressLineNumbers w:val="0"/>
              <w:adjustRightInd w:val="0"/>
              <w:snapToGrid w:val="0"/>
              <w:spacing w:before="0" w:beforeLines="50" w:beforeAutospacing="0" w:after="0" w:afterAutospacing="0" w:line="360" w:lineRule="auto"/>
              <w:ind w:left="0" w:right="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（2）环境质量底线</w:t>
            </w:r>
          </w:p>
          <w:p w14:paraId="530038D3">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①大气环境</w:t>
            </w:r>
          </w:p>
          <w:p w14:paraId="7D7B5636">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根据《2023年淮安市生态环境状况公报》，2023年，全市细颗粒物（PM</w:t>
            </w:r>
            <w:r>
              <w:rPr>
                <w:rFonts w:hint="default" w:ascii="Times New Roman" w:hAnsi="Times New Roman" w:eastAsia="宋体" w:cs="Times New Roman"/>
                <w:color w:val="auto"/>
                <w:sz w:val="24"/>
                <w:vertAlign w:val="subscript"/>
              </w:rPr>
              <w:t>2.</w:t>
            </w:r>
            <w:r>
              <w:rPr>
                <w:rFonts w:hint="eastAsia" w:cs="Times New Roman"/>
                <w:color w:val="auto"/>
                <w:sz w:val="24"/>
                <w:vertAlign w:val="subscript"/>
                <w:lang w:eastAsia="zh-CN"/>
              </w:rPr>
              <w:t>5）</w:t>
            </w:r>
            <w:r>
              <w:rPr>
                <w:rFonts w:hint="default" w:ascii="Times New Roman" w:hAnsi="Times New Roman" w:eastAsia="宋体" w:cs="Times New Roman"/>
                <w:color w:val="auto"/>
                <w:sz w:val="24"/>
              </w:rPr>
              <w:t>可吸入颗粒物（PM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）、二氧化硫（SO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）、二氧化氮（NO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）、一氧化碳（CO）和臭氧（O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）浓度年均浓度分别为36微克/立方米、58微克/立方米、8微克/立方米、25微克/立方米、1.0毫克/立方米、158微克/立方米。</w:t>
            </w:r>
            <w:r>
              <w:rPr>
                <w:rFonts w:hint="default" w:ascii="Times New Roman" w:hAnsi="Times New Roman" w:eastAsia="宋体" w:cs="Times New Roman"/>
                <w:color w:val="auto"/>
                <w:kern w:val="0"/>
                <w:sz w:val="24"/>
              </w:rPr>
              <w:t>与2022年相比，O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污染有所改善，O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为首要污染物的超标天减少3天，PM</w:t>
            </w:r>
            <w:r>
              <w:rPr>
                <w:rFonts w:hint="default" w:ascii="Times New Roman" w:hAnsi="Times New Roman" w:eastAsia="宋体" w:cs="Times New Roman"/>
                <w:color w:val="auto"/>
                <w:kern w:val="0"/>
                <w:sz w:val="24"/>
                <w:vertAlign w:val="subscript"/>
              </w:rPr>
              <w:t>2.5</w:t>
            </w:r>
            <w:r>
              <w:rPr>
                <w:rFonts w:hint="default" w:ascii="Times New Roman" w:hAnsi="Times New Roman" w:eastAsia="宋体" w:cs="Times New Roman"/>
                <w:color w:val="auto"/>
                <w:kern w:val="0"/>
                <w:sz w:val="24"/>
              </w:rPr>
              <w:t>浓度有所反弹，PM</w:t>
            </w:r>
            <w:r>
              <w:rPr>
                <w:rFonts w:hint="default" w:ascii="Times New Roman" w:hAnsi="Times New Roman" w:eastAsia="宋体" w:cs="Times New Roman"/>
                <w:color w:val="auto"/>
                <w:kern w:val="0"/>
                <w:sz w:val="24"/>
                <w:vertAlign w:val="subscript"/>
              </w:rPr>
              <w:t>2.5</w:t>
            </w:r>
            <w:r>
              <w:rPr>
                <w:rFonts w:hint="default" w:ascii="Times New Roman" w:hAnsi="Times New Roman" w:eastAsia="宋体" w:cs="Times New Roman"/>
                <w:color w:val="auto"/>
                <w:kern w:val="0"/>
                <w:sz w:val="24"/>
              </w:rPr>
              <w:t>为首要污染物的超标天增加7天。PM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降幅分别为3.3%、11.1%、0.6%。可吸入颗粒物（PM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）、二氧化硫（SO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）、二氧化氮（NO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）、一氧化碳（CO）和臭氧（O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）污染物浓度达到国家二级标准。根据《环境影响评价技术导则 大气环境》（HJ2.2-2018），判定项目所在区域为不达标区</w:t>
            </w:r>
            <w:r>
              <w:rPr>
                <w:rFonts w:hint="eastAsia"/>
                <w:color w:val="auto"/>
                <w:kern w:val="0"/>
                <w:sz w:val="24"/>
              </w:rPr>
              <w:t>。</w:t>
            </w:r>
          </w:p>
          <w:p w14:paraId="0841931D">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随着《淮安市2024年大气污染防治工作计划</w:t>
            </w:r>
            <w:r>
              <w:rPr>
                <w:rFonts w:hint="eastAsia" w:cs="Times New Roman"/>
                <w:color w:val="auto"/>
                <w:kern w:val="0"/>
                <w:sz w:val="24"/>
                <w:lang w:eastAsia="zh-CN"/>
              </w:rPr>
              <w:t>》《</w:t>
            </w:r>
            <w:r>
              <w:rPr>
                <w:rFonts w:hint="default" w:ascii="Times New Roman" w:hAnsi="Times New Roman" w:eastAsia="宋体" w:cs="Times New Roman"/>
                <w:color w:val="auto"/>
                <w:kern w:val="0"/>
                <w:sz w:val="24"/>
              </w:rPr>
              <w:t>市生态环境局“十四五”主要污染物减排实施方案》（淮环发</w:t>
            </w:r>
            <w:r>
              <w:rPr>
                <w:rFonts w:hint="eastAsia" w:cs="Times New Roman"/>
                <w:color w:val="auto"/>
                <w:kern w:val="0"/>
                <w:sz w:val="24"/>
                <w:lang w:eastAsia="zh-CN"/>
              </w:rPr>
              <w:t>〔2023〕150号</w:t>
            </w:r>
            <w:r>
              <w:rPr>
                <w:rFonts w:hint="default" w:ascii="Times New Roman" w:hAnsi="Times New Roman" w:eastAsia="宋体" w:cs="Times New Roman"/>
                <w:color w:val="auto"/>
                <w:kern w:val="0"/>
                <w:sz w:val="24"/>
              </w:rPr>
              <w:t>）等防治计划的落实，淮安市持续开展空气质量改善行动以及“开展三源整治、留住蓝天白云”扬尘管控集中整治行动，深入推进“48小时+12天”大气环境质量改善专项攻坚，预期淮安市环境空气质量状况会进一步改善。</w:t>
            </w:r>
          </w:p>
          <w:p w14:paraId="75585A5E">
            <w:pPr>
              <w:pStyle w:val="3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lang w:val="en-US" w:eastAsia="zh-CN"/>
              </w:rPr>
            </w:pPr>
            <w:r>
              <w:rPr>
                <w:rFonts w:hint="default" w:ascii="Times New Roman" w:hAnsi="Times New Roman" w:eastAsia="宋体" w:cs="Times New Roman"/>
                <w:color w:val="auto"/>
                <w:kern w:val="2"/>
                <w:sz w:val="24"/>
                <w:lang w:val="en-US" w:eastAsia="zh-CN"/>
              </w:rPr>
              <w:t>②地表水环境</w:t>
            </w:r>
          </w:p>
          <w:p w14:paraId="4370E12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根据《2023年淮安市生态环境状况公报》：</w:t>
            </w:r>
            <w:r>
              <w:rPr>
                <w:rFonts w:hint="default" w:ascii="Times New Roman" w:hAnsi="Times New Roman" w:eastAsia="宋体" w:cs="Times New Roman"/>
                <w:color w:val="auto"/>
                <w:sz w:val="24"/>
                <w:szCs w:val="24"/>
              </w:rPr>
              <w:t>2023年淮安市水环境质量总体较好，优I比例超过省定考核指标，27条主要河流水质状况达优良，湖泊水质保持稳定，饮用水源地水质稳定达标，地下水水质稳中趋好。纳入“十四五”国家地表水环境质量考核的11个国考断面中，年均水质达到或好于Ⅲ类标准的断面9个</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Ⅱ类断面4个</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，优Ⅲ比例81.8%，达标率100%，无V类和劣V类断面。纳入江苏省“十四五”水环境质量目标考核的57个断面中水质达到或好于</w:t>
            </w:r>
            <w:r>
              <w:rPr>
                <w:rFonts w:hint="eastAsia" w:cs="Times New Roman"/>
                <w:color w:val="auto"/>
                <w:sz w:val="24"/>
                <w:szCs w:val="24"/>
                <w:lang w:eastAsia="zh-CN"/>
              </w:rPr>
              <w:t>Ⅲ</w:t>
            </w:r>
            <w:r>
              <w:rPr>
                <w:rFonts w:hint="default" w:ascii="Times New Roman" w:hAnsi="Times New Roman" w:eastAsia="宋体" w:cs="Times New Roman"/>
                <w:color w:val="auto"/>
                <w:sz w:val="24"/>
                <w:szCs w:val="24"/>
              </w:rPr>
              <w:t>类标准的断面有53个，优Ⅲ比例93%，达标率100%，无V类和劣V类断面。2023年，淮河、京杭大运河、苏北灌溉总渠、盐河、淮河入江水道、分淮入沂水道水质状况为优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公报内容</w:t>
            </w:r>
            <w:r>
              <w:rPr>
                <w:rFonts w:hint="default" w:ascii="Times New Roman" w:hAnsi="Times New Roman" w:eastAsia="宋体" w:cs="Times New Roman"/>
                <w:color w:val="auto"/>
                <w:sz w:val="24"/>
                <w:szCs w:val="24"/>
              </w:rPr>
              <w:t>表明</w:t>
            </w: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纳污水体</w:t>
            </w:r>
            <w:r>
              <w:rPr>
                <w:rFonts w:hint="default" w:ascii="Times New Roman" w:hAnsi="Times New Roman" w:eastAsia="宋体" w:cs="Times New Roman"/>
                <w:bCs/>
                <w:color w:val="auto"/>
                <w:sz w:val="24"/>
                <w:lang w:val="en-US" w:eastAsia="zh-CN"/>
              </w:rPr>
              <w:t>涟中总干渠</w:t>
            </w:r>
            <w:r>
              <w:rPr>
                <w:rFonts w:hint="default" w:ascii="Times New Roman" w:hAnsi="Times New Roman" w:eastAsia="宋体" w:cs="Times New Roman"/>
                <w:color w:val="auto"/>
                <w:sz w:val="24"/>
                <w:szCs w:val="24"/>
              </w:rPr>
              <w:t>水质</w:t>
            </w:r>
            <w:r>
              <w:rPr>
                <w:rFonts w:hint="default" w:ascii="Times New Roman" w:hAnsi="Times New Roman" w:eastAsia="宋体" w:cs="Times New Roman"/>
                <w:color w:val="auto"/>
                <w:sz w:val="24"/>
                <w:szCs w:val="24"/>
                <w:lang w:val="en-US" w:eastAsia="zh-CN"/>
              </w:rPr>
              <w:t>状况较好</w:t>
            </w:r>
            <w:r>
              <w:rPr>
                <w:rFonts w:hint="eastAsia" w:cs="Times New Roman"/>
                <w:color w:val="auto"/>
                <w:sz w:val="24"/>
                <w:szCs w:val="24"/>
                <w:lang w:val="en-US" w:eastAsia="zh-CN"/>
              </w:rPr>
              <w:t>，</w:t>
            </w:r>
            <w:r>
              <w:rPr>
                <w:rFonts w:hint="default" w:ascii="Times New Roman" w:hAnsi="Times New Roman" w:eastAsia="宋体" w:cs="Times New Roman"/>
                <w:bCs/>
                <w:color w:val="auto"/>
                <w:sz w:val="24"/>
              </w:rPr>
              <w:t>达到功能区划Ⅲ类要求</w:t>
            </w:r>
            <w:r>
              <w:rPr>
                <w:rFonts w:hint="default" w:ascii="Times New Roman" w:hAnsi="Times New Roman" w:eastAsia="宋体" w:cs="Times New Roman"/>
                <w:color w:val="auto"/>
                <w:sz w:val="24"/>
                <w:szCs w:val="24"/>
              </w:rPr>
              <w:t>。</w:t>
            </w:r>
          </w:p>
          <w:p w14:paraId="3016C44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③声环境</w:t>
            </w:r>
          </w:p>
          <w:p w14:paraId="50399EB7">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根据《2023年淮安市生态环境状况公报》，2023年，淮安市声环境总体较好，全市各功能区昼夜噪声均达标。全市区域环境昼间噪声均值为55.1dB（A），夜间均值为45.3dB（A），同比均有所改善；全市昼间交通噪声均值为65.4dB（A），夜间交通噪声均值为55.4dB（A），均保持稳定，处于“好”水平</w:t>
            </w:r>
            <w:r>
              <w:rPr>
                <w:rFonts w:hint="default" w:ascii="Times New Roman" w:hAnsi="Times New Roman" w:eastAsia="宋体" w:cs="Times New Roman"/>
                <w:color w:val="auto"/>
                <w:kern w:val="0"/>
                <w:sz w:val="24"/>
              </w:rPr>
              <w:t>。</w:t>
            </w:r>
          </w:p>
          <w:p w14:paraId="249DFA39">
            <w:pPr>
              <w:pStyle w:val="50"/>
              <w:keepNext w:val="0"/>
              <w:keepLines w:val="0"/>
              <w:suppressLineNumbers w:val="0"/>
              <w:spacing w:before="0" w:beforeAutospacing="0" w:after="0" w:afterAutospacing="0"/>
              <w:ind w:left="0" w:right="0" w:firstLine="420"/>
              <w:rPr>
                <w:rFonts w:hint="default" w:ascii="Times New Roman" w:hAnsi="Times New Roman" w:eastAsia="宋体" w:cs="Times New Roman"/>
                <w:color w:val="auto"/>
                <w:sz w:val="24"/>
              </w:rPr>
            </w:pPr>
            <w:r>
              <w:rPr>
                <w:rFonts w:hint="eastAsia" w:ascii="Times New Roman" w:hAnsi="Times New Roman" w:eastAsia="宋体" w:cstheme="minorBidi"/>
                <w:color w:val="auto"/>
                <w:kern w:val="2"/>
                <w:sz w:val="24"/>
                <w:szCs w:val="24"/>
                <w:lang w:val="en-US" w:eastAsia="zh-CN" w:bidi="ar-SA"/>
              </w:rPr>
              <w:t>根据本项目对</w:t>
            </w:r>
            <w:r>
              <w:rPr>
                <w:rFonts w:hint="eastAsia" w:ascii="Times New Roman" w:hAnsi="Times New Roman" w:cstheme="minorBidi"/>
                <w:color w:val="auto"/>
                <w:kern w:val="2"/>
                <w:sz w:val="24"/>
                <w:szCs w:val="24"/>
                <w:lang w:val="en-US" w:eastAsia="zh-CN" w:bidi="ar-SA"/>
              </w:rPr>
              <w:t>周边声</w:t>
            </w:r>
            <w:r>
              <w:rPr>
                <w:rFonts w:hint="eastAsia" w:ascii="Times New Roman" w:hAnsi="Times New Roman" w:eastAsia="宋体" w:cstheme="minorBidi"/>
                <w:color w:val="auto"/>
                <w:kern w:val="2"/>
                <w:sz w:val="24"/>
                <w:szCs w:val="24"/>
                <w:lang w:val="en-US" w:eastAsia="zh-CN" w:bidi="ar-SA"/>
              </w:rPr>
              <w:t>环境敏感点</w:t>
            </w:r>
            <w:r>
              <w:rPr>
                <w:rFonts w:hint="eastAsia" w:ascii="Times New Roman" w:hAnsi="Times New Roman" w:cstheme="minorBidi"/>
                <w:color w:val="auto"/>
                <w:kern w:val="2"/>
                <w:sz w:val="24"/>
                <w:szCs w:val="24"/>
                <w:lang w:val="en-US" w:eastAsia="zh-CN" w:bidi="ar-SA"/>
              </w:rPr>
              <w:t>幸福家园</w:t>
            </w:r>
            <w:r>
              <w:rPr>
                <w:rFonts w:hint="eastAsia" w:ascii="Times New Roman" w:hAnsi="Times New Roman" w:eastAsia="宋体" w:cstheme="minorBidi"/>
                <w:color w:val="auto"/>
                <w:kern w:val="2"/>
                <w:sz w:val="24"/>
                <w:szCs w:val="24"/>
                <w:lang w:val="en-US" w:eastAsia="zh-CN" w:bidi="ar-SA"/>
              </w:rPr>
              <w:t>、金安玫瑰园昼、夜间环境噪声值监测结果可知其符合《声环境质量标准》（GB3096-2008）</w:t>
            </w:r>
            <w:r>
              <w:rPr>
                <w:rFonts w:hint="eastAsia" w:cstheme="minorBidi"/>
                <w:color w:val="auto"/>
                <w:kern w:val="2"/>
                <w:sz w:val="24"/>
                <w:szCs w:val="24"/>
                <w:lang w:val="en-US" w:eastAsia="zh-CN" w:bidi="ar-SA"/>
              </w:rPr>
              <w:t>2</w:t>
            </w:r>
            <w:r>
              <w:rPr>
                <w:rFonts w:hint="eastAsia" w:ascii="Times New Roman" w:hAnsi="Times New Roman" w:eastAsia="宋体" w:cstheme="minorBidi"/>
                <w:color w:val="auto"/>
                <w:kern w:val="2"/>
                <w:sz w:val="24"/>
                <w:szCs w:val="24"/>
                <w:lang w:val="en-US" w:eastAsia="zh-CN" w:bidi="ar-SA"/>
              </w:rPr>
              <w:t>类标准的要求，表明区域环境质量现状良好。</w:t>
            </w:r>
          </w:p>
          <w:p w14:paraId="526CCC92">
            <w:pPr>
              <w:keepNext w:val="0"/>
              <w:keepLines w:val="0"/>
              <w:suppressLineNumbers w:val="0"/>
              <w:spacing w:before="0" w:beforeAutospacing="0" w:after="0" w:afterAutospacing="0"/>
              <w:ind w:left="0" w:right="0" w:firstLine="480"/>
              <w:rPr>
                <w:rFonts w:hint="eastAsia"/>
                <w:color w:val="auto"/>
              </w:rPr>
            </w:pPr>
            <w:r>
              <w:rPr>
                <w:rFonts w:hint="eastAsia" w:cs="Times New Roman"/>
                <w:color w:val="auto"/>
                <w:sz w:val="24"/>
                <w:lang w:eastAsia="zh-CN"/>
              </w:rPr>
              <w:t>综上所述，</w:t>
            </w:r>
            <w:r>
              <w:rPr>
                <w:rFonts w:hint="default" w:ascii="Times New Roman" w:hAnsi="Times New Roman" w:eastAsia="宋体" w:cs="Times New Roman"/>
                <w:color w:val="auto"/>
                <w:sz w:val="24"/>
              </w:rPr>
              <w:t>项目的建设符合环境质量底线要求</w:t>
            </w:r>
            <w:r>
              <w:rPr>
                <w:rFonts w:hint="eastAsia"/>
                <w:color w:val="auto"/>
              </w:rPr>
              <w:t>。</w:t>
            </w:r>
          </w:p>
          <w:p w14:paraId="1287A26A">
            <w:pPr>
              <w:keepNext w:val="0"/>
              <w:keepLines w:val="0"/>
              <w:suppressLineNumbers w:val="0"/>
              <w:spacing w:before="0" w:beforeAutospacing="0" w:after="0" w:afterAutospacing="0"/>
              <w:ind w:left="0" w:right="0" w:firstLine="480"/>
              <w:rPr>
                <w:rFonts w:hint="eastAsia"/>
                <w:color w:val="auto"/>
              </w:rPr>
            </w:pPr>
            <w:r>
              <w:rPr>
                <w:rFonts w:hint="eastAsia"/>
                <w:color w:val="auto"/>
              </w:rPr>
              <w:t>（3）资源利用</w:t>
            </w:r>
            <w:r>
              <w:rPr>
                <w:rFonts w:hint="eastAsia"/>
                <w:color w:val="auto"/>
                <w:lang w:eastAsia="zh-CN"/>
              </w:rPr>
              <w:t>上限</w:t>
            </w:r>
          </w:p>
          <w:p w14:paraId="7331BCFF">
            <w:pPr>
              <w:keepNext w:val="0"/>
              <w:keepLines w:val="0"/>
              <w:suppressLineNumbers w:val="0"/>
              <w:spacing w:before="0" w:beforeAutospacing="0" w:after="0" w:afterAutospacing="0"/>
              <w:ind w:left="0" w:right="0" w:firstLine="480"/>
              <w:rPr>
                <w:rFonts w:hint="eastAsia"/>
                <w:color w:val="auto"/>
              </w:rPr>
            </w:pPr>
            <w:r>
              <w:rPr>
                <w:rFonts w:hint="eastAsia" w:eastAsiaTheme="minorEastAsia"/>
                <w:color w:val="auto"/>
                <w:kern w:val="0"/>
                <w:szCs w:val="21"/>
              </w:rPr>
              <w:t>目前项目所在地尚未制定资源利用上线相关文件，本次评价从项目原辅料及能源利用方面分析其相符性。建设项目为医院</w:t>
            </w:r>
            <w:r>
              <w:rPr>
                <w:rFonts w:hint="eastAsia" w:eastAsiaTheme="minorEastAsia"/>
                <w:color w:val="auto"/>
                <w:kern w:val="0"/>
                <w:szCs w:val="21"/>
                <w:lang w:eastAsia="zh-CN"/>
              </w:rPr>
              <w:t>配套的科研实验室</w:t>
            </w:r>
            <w:r>
              <w:rPr>
                <w:rFonts w:hint="eastAsia" w:eastAsiaTheme="minorEastAsia"/>
                <w:color w:val="auto"/>
                <w:kern w:val="0"/>
                <w:szCs w:val="21"/>
              </w:rPr>
              <w:t>项目，所用原辅料均</w:t>
            </w:r>
            <w:r>
              <w:rPr>
                <w:rFonts w:hint="eastAsia" w:eastAsiaTheme="minorEastAsia"/>
                <w:color w:val="auto"/>
                <w:kern w:val="0"/>
                <w:szCs w:val="21"/>
                <w:lang w:eastAsia="zh-CN"/>
              </w:rPr>
              <w:t>外购</w:t>
            </w:r>
            <w:r>
              <w:rPr>
                <w:rFonts w:hint="eastAsia" w:eastAsiaTheme="minorEastAsia"/>
                <w:color w:val="auto"/>
                <w:kern w:val="0"/>
                <w:szCs w:val="21"/>
              </w:rPr>
              <w:t>，未从环境资源中直接获取，市场供应量充足；项目水、电等能源来自市政管网供应，余量充足。不会突破当地资源利用上线</w:t>
            </w:r>
            <w:r>
              <w:rPr>
                <w:rFonts w:hint="eastAsia"/>
                <w:color w:val="auto"/>
              </w:rPr>
              <w:t>。</w:t>
            </w:r>
          </w:p>
          <w:p w14:paraId="25769541">
            <w:pPr>
              <w:keepNext w:val="0"/>
              <w:keepLines w:val="0"/>
              <w:suppressLineNumbers w:val="0"/>
              <w:spacing w:before="0" w:beforeAutospacing="0" w:after="0" w:afterAutospacing="0"/>
              <w:ind w:left="0" w:right="0" w:firstLine="480"/>
              <w:rPr>
                <w:rFonts w:hint="eastAsia"/>
                <w:color w:val="auto"/>
              </w:rPr>
            </w:pPr>
            <w:r>
              <w:rPr>
                <w:rFonts w:hint="eastAsia"/>
                <w:color w:val="auto"/>
              </w:rPr>
              <w:t>（4）</w:t>
            </w:r>
            <w:r>
              <w:rPr>
                <w:rFonts w:hint="eastAsia"/>
                <w:color w:val="auto"/>
                <w:lang w:val="en-US" w:eastAsia="zh-CN"/>
              </w:rPr>
              <w:t>生态</w:t>
            </w:r>
            <w:r>
              <w:rPr>
                <w:rFonts w:hint="eastAsia"/>
                <w:color w:val="auto"/>
              </w:rPr>
              <w:t>环境准入清单</w:t>
            </w:r>
          </w:p>
          <w:p w14:paraId="4BBBC3B0">
            <w:pPr>
              <w:keepNext w:val="0"/>
              <w:keepLines w:val="0"/>
              <w:suppressLineNumbers w:val="0"/>
              <w:spacing w:before="0" w:beforeAutospacing="0" w:after="0" w:afterAutospacing="0"/>
              <w:ind w:left="0" w:right="0" w:firstLine="480"/>
              <w:rPr>
                <w:rFonts w:hint="eastAsia"/>
                <w:color w:val="auto"/>
              </w:rPr>
            </w:pPr>
            <w:r>
              <w:rPr>
                <w:rFonts w:hint="eastAsia" w:eastAsiaTheme="minorEastAsia"/>
                <w:color w:val="auto"/>
                <w:kern w:val="0"/>
                <w:szCs w:val="21"/>
              </w:rPr>
              <w:t>本项目所在地没有环境准入负面清单，本次环评对照国家及地方产业政策和</w:t>
            </w:r>
            <w:r>
              <w:rPr>
                <w:rFonts w:hint="default" w:ascii="Times New Roman" w:hAnsi="Times New Roman" w:eastAsia="宋体" w:cs="Times New Roman"/>
                <w:color w:val="auto"/>
                <w:sz w:val="24"/>
              </w:rPr>
              <w:t>《市场准入负面清单（2022年版）》（发改体改规〔2022〕397号）</w:t>
            </w:r>
            <w:r>
              <w:rPr>
                <w:rFonts w:hint="default" w:ascii="Times New Roman" w:hAnsi="Times New Roman" w:cs="Times New Roman"/>
                <w:color w:val="auto"/>
                <w:sz w:val="24"/>
                <w:lang w:val="en-US" w:eastAsia="zh-CN"/>
              </w:rPr>
              <w:t>等文件</w:t>
            </w:r>
            <w:r>
              <w:rPr>
                <w:rFonts w:hint="default" w:ascii="Times New Roman" w:hAnsi="Times New Roman" w:eastAsia="宋体" w:cs="Times New Roman"/>
                <w:color w:val="auto"/>
                <w:sz w:val="24"/>
              </w:rPr>
              <w:t>中禁止事项分析项目的</w:t>
            </w:r>
            <w:r>
              <w:rPr>
                <w:rFonts w:hint="default" w:ascii="Times New Roman" w:hAnsi="Times New Roman" w:cs="Times New Roman"/>
                <w:color w:val="auto"/>
                <w:sz w:val="24"/>
                <w:lang w:val="en-US" w:eastAsia="zh-CN"/>
              </w:rPr>
              <w:t>负面清单</w:t>
            </w:r>
            <w:r>
              <w:rPr>
                <w:rFonts w:hint="default" w:ascii="Times New Roman" w:hAnsi="Times New Roman" w:eastAsia="宋体" w:cs="Times New Roman"/>
                <w:color w:val="auto"/>
                <w:sz w:val="24"/>
              </w:rPr>
              <w:t>相符性</w:t>
            </w:r>
            <w:r>
              <w:rPr>
                <w:rFonts w:hint="default" w:ascii="Times New Roman" w:hAnsi="Times New Roman" w:cs="Times New Roman"/>
                <w:color w:val="auto"/>
              </w:rPr>
              <w:t>，见表1</w:t>
            </w:r>
            <w:r>
              <w:rPr>
                <w:rFonts w:hint="eastAsia" w:cs="Times New Roman"/>
                <w:color w:val="auto"/>
                <w:lang w:val="en-US" w:eastAsia="zh-CN"/>
              </w:rPr>
              <w:t>.1-7</w:t>
            </w:r>
            <w:r>
              <w:rPr>
                <w:rFonts w:hint="default" w:ascii="Times New Roman" w:hAnsi="Times New Roman" w:cs="Times New Roman"/>
                <w:color w:val="auto"/>
              </w:rPr>
              <w:t>。</w:t>
            </w:r>
          </w:p>
          <w:p w14:paraId="779EC2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表1</w:t>
            </w:r>
            <w:r>
              <w:rPr>
                <w:rFonts w:hint="eastAsia" w:cs="Times New Roman"/>
                <w:b/>
                <w:color w:val="auto"/>
                <w:sz w:val="24"/>
                <w:lang w:val="en-US" w:eastAsia="zh-CN"/>
              </w:rPr>
              <w:t>.1</w:t>
            </w:r>
            <w:r>
              <w:rPr>
                <w:rFonts w:hint="default" w:ascii="Times New Roman" w:hAnsi="Times New Roman" w:eastAsia="宋体" w:cs="Times New Roman"/>
                <w:b/>
                <w:color w:val="auto"/>
                <w:sz w:val="24"/>
              </w:rPr>
              <w:t>-</w:t>
            </w:r>
            <w:r>
              <w:rPr>
                <w:rFonts w:hint="eastAsia" w:cs="Times New Roman"/>
                <w:b/>
                <w:color w:val="auto"/>
                <w:sz w:val="24"/>
                <w:lang w:val="en-US" w:eastAsia="zh-CN"/>
              </w:rPr>
              <w:t>7</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 xml:space="preserve"> </w:t>
            </w:r>
            <w:r>
              <w:rPr>
                <w:rFonts w:hint="default" w:ascii="Times New Roman" w:hAnsi="Times New Roman" w:eastAsia="宋体" w:cs="Times New Roman"/>
                <w:b/>
                <w:color w:val="auto"/>
                <w:sz w:val="24"/>
                <w:lang w:val="en-US" w:eastAsia="zh-CN"/>
              </w:rPr>
              <w:t>建设项目与园区规划及市场准入负面清单相符性分析一览表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9"/>
              <w:gridCol w:w="4867"/>
              <w:gridCol w:w="2155"/>
              <w:gridCol w:w="845"/>
            </w:tblGrid>
            <w:tr w14:paraId="654DC3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37" w:type="pct"/>
                  <w:tcBorders>
                    <w:tl2br w:val="nil"/>
                    <w:tr2bl w:val="nil"/>
                  </w:tcBorders>
                  <w:vAlign w:val="center"/>
                </w:tcPr>
                <w:p w14:paraId="46F09B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序号</w:t>
                  </w:r>
                </w:p>
              </w:tc>
              <w:tc>
                <w:tcPr>
                  <w:tcW w:w="2884" w:type="pct"/>
                  <w:tcBorders>
                    <w:tl2br w:val="nil"/>
                    <w:tr2bl w:val="nil"/>
                  </w:tcBorders>
                  <w:vAlign w:val="center"/>
                </w:tcPr>
                <w:p w14:paraId="199B4E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文件</w:t>
                  </w:r>
                </w:p>
              </w:tc>
              <w:tc>
                <w:tcPr>
                  <w:tcW w:w="1277" w:type="pct"/>
                  <w:tcBorders>
                    <w:tl2br w:val="nil"/>
                    <w:tr2bl w:val="nil"/>
                  </w:tcBorders>
                  <w:vAlign w:val="center"/>
                </w:tcPr>
                <w:p w14:paraId="6BDF21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相符性分析</w:t>
                  </w:r>
                </w:p>
              </w:tc>
              <w:tc>
                <w:tcPr>
                  <w:tcW w:w="501" w:type="pct"/>
                  <w:tcBorders>
                    <w:tl2br w:val="nil"/>
                    <w:tr2bl w:val="nil"/>
                  </w:tcBorders>
                  <w:vAlign w:val="center"/>
                </w:tcPr>
                <w:p w14:paraId="5340E0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判定结果</w:t>
                  </w:r>
                </w:p>
              </w:tc>
            </w:tr>
            <w:tr w14:paraId="2D6E5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37" w:type="pct"/>
                  <w:tcBorders>
                    <w:tl2br w:val="nil"/>
                    <w:tr2bl w:val="nil"/>
                  </w:tcBorders>
                  <w:vAlign w:val="center"/>
                </w:tcPr>
                <w:p w14:paraId="01905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highlight w:val="lightGray"/>
                      <w:lang w:eastAsia="zh-CN"/>
                    </w:rPr>
                  </w:pPr>
                  <w:r>
                    <w:rPr>
                      <w:rFonts w:hint="default" w:ascii="Times New Roman" w:hAnsi="Times New Roman" w:cs="Times New Roman" w:eastAsiaTheme="minorEastAsia"/>
                      <w:color w:val="auto"/>
                      <w:sz w:val="18"/>
                      <w:szCs w:val="18"/>
                      <w:lang w:val="en-US" w:eastAsia="zh-CN"/>
                    </w:rPr>
                    <w:t>1</w:t>
                  </w:r>
                </w:p>
              </w:tc>
              <w:tc>
                <w:tcPr>
                  <w:tcW w:w="2884" w:type="pct"/>
                  <w:tcBorders>
                    <w:tl2br w:val="nil"/>
                    <w:tr2bl w:val="nil"/>
                  </w:tcBorders>
                  <w:vAlign w:val="center"/>
                </w:tcPr>
                <w:p w14:paraId="64DC49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《产业结构调整指导目录（2024年本）》（国家发展改革委令第7号）</w:t>
                  </w:r>
                </w:p>
              </w:tc>
              <w:tc>
                <w:tcPr>
                  <w:tcW w:w="1277" w:type="pct"/>
                  <w:tcBorders>
                    <w:tl2br w:val="nil"/>
                    <w:tr2bl w:val="nil"/>
                  </w:tcBorders>
                  <w:vAlign w:val="center"/>
                </w:tcPr>
                <w:p w14:paraId="1DF5F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不属于鼓励类、限制类、淘汰类项目</w:t>
                  </w:r>
                </w:p>
              </w:tc>
              <w:tc>
                <w:tcPr>
                  <w:tcW w:w="501" w:type="pct"/>
                  <w:tcBorders>
                    <w:tl2br w:val="nil"/>
                    <w:tr2bl w:val="nil"/>
                  </w:tcBorders>
                  <w:vAlign w:val="center"/>
                </w:tcPr>
                <w:p w14:paraId="456836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highlight w:val="lightGray"/>
                    </w:rPr>
                  </w:pPr>
                  <w:r>
                    <w:rPr>
                      <w:rFonts w:hint="default" w:ascii="Times New Roman" w:hAnsi="Times New Roman" w:cs="Times New Roman" w:eastAsiaTheme="minorEastAsia"/>
                      <w:color w:val="auto"/>
                      <w:sz w:val="18"/>
                      <w:szCs w:val="18"/>
                    </w:rPr>
                    <w:t>相符</w:t>
                  </w:r>
                </w:p>
              </w:tc>
            </w:tr>
            <w:tr w14:paraId="0B6A2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37" w:type="pct"/>
                  <w:tcBorders>
                    <w:tl2br w:val="nil"/>
                    <w:tr2bl w:val="nil"/>
                  </w:tcBorders>
                  <w:vAlign w:val="center"/>
                </w:tcPr>
                <w:p w14:paraId="61AD6A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2884" w:type="pct"/>
                  <w:tcBorders>
                    <w:tl2br w:val="nil"/>
                    <w:tr2bl w:val="nil"/>
                  </w:tcBorders>
                  <w:vAlign w:val="center"/>
                </w:tcPr>
                <w:p w14:paraId="7BD7C9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highlight w:val="yellow"/>
                    </w:rPr>
                  </w:pPr>
                  <w:r>
                    <w:rPr>
                      <w:rFonts w:hint="eastAsia" w:eastAsiaTheme="minorEastAsia"/>
                      <w:color w:val="auto"/>
                      <w:sz w:val="18"/>
                      <w:szCs w:val="18"/>
                    </w:rPr>
                    <w:t>《环境保护综合名录（2021年版）》</w:t>
                  </w:r>
                  <w:r>
                    <w:rPr>
                      <w:rFonts w:hint="eastAsia" w:eastAsiaTheme="minorEastAsia"/>
                      <w:color w:val="auto"/>
                      <w:sz w:val="18"/>
                      <w:szCs w:val="18"/>
                      <w:lang w:eastAsia="zh-CN"/>
                    </w:rPr>
                    <w:t>（</w:t>
                  </w:r>
                  <w:r>
                    <w:rPr>
                      <w:rFonts w:hint="eastAsia" w:eastAsiaTheme="minorEastAsia"/>
                      <w:color w:val="auto"/>
                      <w:sz w:val="18"/>
                      <w:szCs w:val="18"/>
                    </w:rPr>
                    <w:t>环办综合函</w:t>
                  </w:r>
                  <w:r>
                    <w:rPr>
                      <w:rFonts w:hint="eastAsia" w:eastAsiaTheme="minorEastAsia"/>
                      <w:color w:val="auto"/>
                      <w:sz w:val="18"/>
                      <w:szCs w:val="18"/>
                      <w:lang w:eastAsia="zh-CN"/>
                    </w:rPr>
                    <w:t>〔2021〕495号）</w:t>
                  </w:r>
                </w:p>
              </w:tc>
              <w:tc>
                <w:tcPr>
                  <w:tcW w:w="1277" w:type="pct"/>
                  <w:tcBorders>
                    <w:tl2br w:val="nil"/>
                    <w:tr2bl w:val="nil"/>
                  </w:tcBorders>
                  <w:vAlign w:val="center"/>
                </w:tcPr>
                <w:p w14:paraId="6E267A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eastAsiaTheme="minorEastAsia"/>
                      <w:color w:val="auto"/>
                      <w:sz w:val="18"/>
                      <w:szCs w:val="18"/>
                    </w:rPr>
                    <w:t>经查，本项目不属于“高污染、高环境风险”项目</w:t>
                  </w:r>
                </w:p>
              </w:tc>
              <w:tc>
                <w:tcPr>
                  <w:tcW w:w="501" w:type="pct"/>
                  <w:tcBorders>
                    <w:tl2br w:val="nil"/>
                    <w:tr2bl w:val="nil"/>
                  </w:tcBorders>
                  <w:vAlign w:val="center"/>
                </w:tcPr>
                <w:p w14:paraId="623C58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相符</w:t>
                  </w:r>
                </w:p>
              </w:tc>
            </w:tr>
            <w:tr w14:paraId="65A96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37" w:type="pct"/>
                  <w:tcBorders>
                    <w:tl2br w:val="nil"/>
                    <w:tr2bl w:val="nil"/>
                  </w:tcBorders>
                  <w:vAlign w:val="center"/>
                </w:tcPr>
                <w:p w14:paraId="6B93FD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2884" w:type="pct"/>
                  <w:tcBorders>
                    <w:tl2br w:val="nil"/>
                    <w:tr2bl w:val="nil"/>
                  </w:tcBorders>
                  <w:vAlign w:val="center"/>
                </w:tcPr>
                <w:p w14:paraId="783CD5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《市场准入负面清单（2022年版）》</w:t>
                  </w:r>
                  <w:r>
                    <w:rPr>
                      <w:rFonts w:hint="default" w:ascii="Times New Roman" w:hAnsi="Times New Roman" w:cs="Times New Roman" w:eastAsiaTheme="minorEastAsia"/>
                      <w:color w:val="auto"/>
                      <w:sz w:val="18"/>
                      <w:szCs w:val="18"/>
                      <w:highlight w:val="none"/>
                    </w:rPr>
                    <w:t>（发改体改规〔2022〕397号）</w:t>
                  </w:r>
                </w:p>
              </w:tc>
              <w:tc>
                <w:tcPr>
                  <w:tcW w:w="1277" w:type="pct"/>
                  <w:tcBorders>
                    <w:tl2br w:val="nil"/>
                    <w:tr2bl w:val="nil"/>
                  </w:tcBorders>
                  <w:vAlign w:val="center"/>
                </w:tcPr>
                <w:p w14:paraId="2C05F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不属于市场禁止准入事项</w:t>
                  </w:r>
                </w:p>
              </w:tc>
              <w:tc>
                <w:tcPr>
                  <w:tcW w:w="501" w:type="pct"/>
                  <w:tcBorders>
                    <w:tl2br w:val="nil"/>
                    <w:tr2bl w:val="nil"/>
                  </w:tcBorders>
                  <w:vAlign w:val="center"/>
                </w:tcPr>
                <w:p w14:paraId="7086A1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highlight w:val="lightGray"/>
                    </w:rPr>
                  </w:pPr>
                  <w:r>
                    <w:rPr>
                      <w:rFonts w:hint="default" w:ascii="Times New Roman" w:hAnsi="Times New Roman" w:cs="Times New Roman" w:eastAsiaTheme="minorEastAsia"/>
                      <w:color w:val="auto"/>
                      <w:sz w:val="18"/>
                      <w:szCs w:val="18"/>
                    </w:rPr>
                    <w:t>相符</w:t>
                  </w:r>
                </w:p>
              </w:tc>
            </w:tr>
            <w:tr w14:paraId="5386F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337" w:type="pct"/>
                  <w:tcBorders>
                    <w:tl2br w:val="nil"/>
                    <w:tr2bl w:val="nil"/>
                  </w:tcBorders>
                  <w:vAlign w:val="center"/>
                </w:tcPr>
                <w:p w14:paraId="7FED72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w:t>
                  </w:r>
                </w:p>
              </w:tc>
              <w:tc>
                <w:tcPr>
                  <w:tcW w:w="2884" w:type="pct"/>
                  <w:tcBorders>
                    <w:tl2br w:val="nil"/>
                    <w:tr2bl w:val="nil"/>
                  </w:tcBorders>
                  <w:vAlign w:val="center"/>
                </w:tcPr>
                <w:p w14:paraId="2BE7E0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《长江经济带发展负面清单指南（试行，2022年版）》（长江办</w:t>
                  </w:r>
                  <w:r>
                    <w:rPr>
                      <w:rFonts w:hint="eastAsia" w:cs="Times New Roman" w:eastAsiaTheme="minorEastAsia"/>
                      <w:color w:val="auto"/>
                      <w:sz w:val="18"/>
                      <w:szCs w:val="18"/>
                      <w:lang w:eastAsia="zh-CN"/>
                    </w:rPr>
                    <w:t>〔2022〕7号</w:t>
                  </w:r>
                  <w:r>
                    <w:rPr>
                      <w:rFonts w:hint="default" w:ascii="Times New Roman" w:hAnsi="Times New Roman" w:cs="Times New Roman" w:eastAsiaTheme="minorEastAsia"/>
                      <w:color w:val="auto"/>
                      <w:sz w:val="18"/>
                      <w:szCs w:val="18"/>
                    </w:rPr>
                    <w:t>）</w:t>
                  </w:r>
                </w:p>
              </w:tc>
              <w:tc>
                <w:tcPr>
                  <w:tcW w:w="1277" w:type="pct"/>
                  <w:tcBorders>
                    <w:tl2br w:val="nil"/>
                    <w:tr2bl w:val="nil"/>
                  </w:tcBorders>
                  <w:vAlign w:val="center"/>
                </w:tcPr>
                <w:p w14:paraId="798C1B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不属于负面清单中禁止类项目</w:t>
                  </w:r>
                </w:p>
              </w:tc>
              <w:tc>
                <w:tcPr>
                  <w:tcW w:w="501" w:type="pct"/>
                  <w:tcBorders>
                    <w:tl2br w:val="nil"/>
                    <w:tr2bl w:val="nil"/>
                  </w:tcBorders>
                  <w:vAlign w:val="center"/>
                </w:tcPr>
                <w:p w14:paraId="5A11C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highlight w:val="lightGray"/>
                    </w:rPr>
                  </w:pPr>
                  <w:r>
                    <w:rPr>
                      <w:rFonts w:hint="default" w:ascii="Times New Roman" w:hAnsi="Times New Roman" w:cs="Times New Roman" w:eastAsiaTheme="minorEastAsia"/>
                      <w:color w:val="auto"/>
                      <w:sz w:val="18"/>
                      <w:szCs w:val="18"/>
                    </w:rPr>
                    <w:t>相符</w:t>
                  </w:r>
                </w:p>
              </w:tc>
            </w:tr>
            <w:tr w14:paraId="5A9DE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37" w:type="pct"/>
                  <w:tcBorders>
                    <w:tl2br w:val="nil"/>
                    <w:tr2bl w:val="nil"/>
                  </w:tcBorders>
                  <w:vAlign w:val="center"/>
                </w:tcPr>
                <w:p w14:paraId="259F70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w:t>
                  </w:r>
                </w:p>
              </w:tc>
              <w:tc>
                <w:tcPr>
                  <w:tcW w:w="2884" w:type="pct"/>
                  <w:tcBorders>
                    <w:tl2br w:val="nil"/>
                    <w:tr2bl w:val="nil"/>
                  </w:tcBorders>
                  <w:vAlign w:val="center"/>
                </w:tcPr>
                <w:p w14:paraId="7F6324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长江经济带发展负面清单指南（试行，2022年版）</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江苏省实施细则》（苏长江办发</w:t>
                  </w:r>
                  <w:r>
                    <w:rPr>
                      <w:rFonts w:hint="eastAsia" w:cs="Times New Roman" w:eastAsiaTheme="minorEastAsia"/>
                      <w:color w:val="auto"/>
                      <w:sz w:val="18"/>
                      <w:szCs w:val="18"/>
                      <w:lang w:eastAsia="zh-CN"/>
                    </w:rPr>
                    <w:t>〔2022〕55号</w:t>
                  </w:r>
                  <w:r>
                    <w:rPr>
                      <w:rFonts w:hint="default" w:ascii="Times New Roman" w:hAnsi="Times New Roman" w:cs="Times New Roman" w:eastAsiaTheme="minorEastAsia"/>
                      <w:color w:val="auto"/>
                      <w:sz w:val="18"/>
                      <w:szCs w:val="18"/>
                    </w:rPr>
                    <w:t>）</w:t>
                  </w:r>
                </w:p>
              </w:tc>
              <w:tc>
                <w:tcPr>
                  <w:tcW w:w="1277" w:type="pct"/>
                  <w:tcBorders>
                    <w:tl2br w:val="nil"/>
                    <w:tr2bl w:val="nil"/>
                  </w:tcBorders>
                  <w:vAlign w:val="center"/>
                </w:tcPr>
                <w:p w14:paraId="0822D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不属于负面清单中禁止类项目</w:t>
                  </w:r>
                </w:p>
              </w:tc>
              <w:tc>
                <w:tcPr>
                  <w:tcW w:w="501" w:type="pct"/>
                  <w:tcBorders>
                    <w:tl2br w:val="nil"/>
                    <w:tr2bl w:val="nil"/>
                  </w:tcBorders>
                  <w:vAlign w:val="center"/>
                </w:tcPr>
                <w:p w14:paraId="2D2B62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相符</w:t>
                  </w:r>
                </w:p>
              </w:tc>
            </w:tr>
          </w:tbl>
          <w:p w14:paraId="3307316C">
            <w:pPr>
              <w:keepNext w:val="0"/>
              <w:keepLines w:val="0"/>
              <w:suppressLineNumbers w:val="0"/>
              <w:adjustRightInd w:val="0"/>
              <w:snapToGrid w:val="0"/>
              <w:spacing w:before="0" w:beforeLines="50" w:beforeAutospacing="0" w:after="0" w:afterAutospacing="0" w:line="360" w:lineRule="auto"/>
              <w:ind w:left="0" w:right="0"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综上所述，</w:t>
            </w:r>
            <w:r>
              <w:rPr>
                <w:rFonts w:hint="eastAsia" w:ascii="Times New Roman" w:hAnsi="Times New Roman" w:eastAsia="宋体" w:cs="Times New Roman"/>
                <w:color w:val="auto"/>
                <w:sz w:val="24"/>
                <w:lang w:val="en-US" w:eastAsia="zh-CN"/>
              </w:rPr>
              <w:t>建设项目</w:t>
            </w:r>
            <w:r>
              <w:rPr>
                <w:rFonts w:hint="eastAsia" w:ascii="Times New Roman" w:hAnsi="Times New Roman" w:eastAsia="宋体" w:cs="Times New Roman"/>
                <w:color w:val="auto"/>
                <w:sz w:val="24"/>
              </w:rPr>
              <w:t>符合“三线一单”的要求。</w:t>
            </w:r>
          </w:p>
          <w:p w14:paraId="583B49DE">
            <w:pPr>
              <w:keepNext w:val="0"/>
              <w:keepLines w:val="0"/>
              <w:numPr>
                <w:ilvl w:val="0"/>
                <w:numId w:val="3"/>
              </w:numPr>
              <w:suppressLineNumbers w:val="0"/>
              <w:spacing w:before="0" w:beforeAutospacing="0" w:after="0" w:afterAutospacing="0"/>
              <w:ind w:left="0" w:right="0" w:firstLine="482"/>
              <w:rPr>
                <w:rFonts w:hint="eastAsia"/>
                <w:b/>
                <w:bCs/>
                <w:color w:val="auto"/>
              </w:rPr>
            </w:pPr>
            <w:r>
              <w:rPr>
                <w:rFonts w:hint="eastAsia"/>
                <w:b/>
                <w:bCs/>
                <w:color w:val="auto"/>
              </w:rPr>
              <w:t>产业政策相符性分析</w:t>
            </w:r>
          </w:p>
          <w:p w14:paraId="38D9146B">
            <w:pPr>
              <w:keepNext w:val="0"/>
              <w:keepLines w:val="0"/>
              <w:suppressLineNumbers w:val="0"/>
              <w:spacing w:before="0" w:beforeAutospacing="0" w:after="0" w:afterAutospacing="0"/>
              <w:ind w:left="0" w:right="0" w:firstLine="480"/>
              <w:rPr>
                <w:rFonts w:hint="eastAsia" w:ascii="Times New Roman" w:hAnsi="Times New Roman" w:eastAsia="宋体"/>
                <w:color w:val="auto"/>
                <w:lang w:val="en-US" w:eastAsia="zh-CN"/>
              </w:rPr>
            </w:pPr>
            <w:r>
              <w:rPr>
                <w:rFonts w:hint="eastAsia"/>
                <w:color w:val="auto"/>
                <w:sz w:val="24"/>
                <w:highlight w:val="none"/>
              </w:rPr>
              <w:t>该项目已经取得了</w:t>
            </w:r>
            <w:r>
              <w:rPr>
                <w:rFonts w:hint="eastAsia"/>
                <w:color w:val="auto"/>
                <w:sz w:val="24"/>
                <w:highlight w:val="none"/>
                <w:lang w:eastAsia="zh-CN"/>
              </w:rPr>
              <w:t>涟水县发展和改革委员会对</w:t>
            </w:r>
            <w:r>
              <w:rPr>
                <w:rFonts w:hint="eastAsia"/>
                <w:color w:val="auto"/>
                <w:sz w:val="24"/>
                <w:highlight w:val="none"/>
              </w:rPr>
              <w:t>“</w:t>
            </w:r>
            <w:r>
              <w:rPr>
                <w:rFonts w:hint="eastAsia"/>
                <w:color w:val="auto"/>
                <w:sz w:val="24"/>
                <w:highlight w:val="none"/>
                <w:lang w:val="en-US" w:eastAsia="zh-CN"/>
              </w:rPr>
              <w:t>涟水县人民医院教学科研楼建设项目</w:t>
            </w:r>
            <w:r>
              <w:rPr>
                <w:rFonts w:hint="eastAsia"/>
                <w:color w:val="auto"/>
                <w:sz w:val="24"/>
                <w:highlight w:val="none"/>
                <w:lang w:eastAsia="zh-CN"/>
              </w:rPr>
              <w:t>可行性研究报告的批复</w:t>
            </w:r>
            <w:r>
              <w:rPr>
                <w:rFonts w:hint="eastAsia"/>
                <w:color w:val="auto"/>
                <w:sz w:val="24"/>
                <w:highlight w:val="none"/>
              </w:rPr>
              <w:t>”（</w:t>
            </w:r>
            <w:r>
              <w:rPr>
                <w:rFonts w:hint="eastAsia"/>
                <w:color w:val="auto"/>
                <w:sz w:val="24"/>
                <w:highlight w:val="none"/>
                <w:lang w:val="en-US" w:eastAsia="zh-CN"/>
              </w:rPr>
              <w:t>涟发改投〔2024〕42号</w:t>
            </w:r>
            <w:r>
              <w:rPr>
                <w:rFonts w:hint="eastAsia"/>
                <w:color w:val="auto"/>
                <w:sz w:val="24"/>
                <w:highlight w:val="none"/>
              </w:rPr>
              <w:t>）。</w:t>
            </w:r>
            <w:r>
              <w:rPr>
                <w:rFonts w:hint="eastAsia"/>
                <w:color w:val="auto"/>
                <w:sz w:val="24"/>
                <w:highlight w:val="none"/>
                <w:lang w:eastAsia="zh-CN"/>
              </w:rPr>
              <w:t>项目建设</w:t>
            </w:r>
            <w:r>
              <w:rPr>
                <w:rFonts w:hint="eastAsia"/>
                <w:color w:val="auto"/>
                <w:sz w:val="24"/>
                <w:highlight w:val="none"/>
              </w:rPr>
              <w:t>符合地区发展要求及相关产业政策要求。对照</w:t>
            </w:r>
            <w:r>
              <w:rPr>
                <w:rFonts w:hint="eastAsia"/>
                <w:color w:val="auto"/>
                <w:sz w:val="24"/>
                <w:szCs w:val="24"/>
                <w:highlight w:val="none"/>
                <w:lang w:eastAsia="zh-CN"/>
              </w:rPr>
              <w:t>《产业结构调整指导目录（2024年本）》</w:t>
            </w:r>
            <w:r>
              <w:rPr>
                <w:rFonts w:hint="eastAsia"/>
                <w:color w:val="auto"/>
                <w:sz w:val="24"/>
                <w:highlight w:val="none"/>
              </w:rPr>
              <w:t>，本项目</w:t>
            </w:r>
            <w:r>
              <w:rPr>
                <w:rFonts w:hint="eastAsia"/>
                <w:color w:val="auto"/>
                <w:sz w:val="24"/>
                <w:highlight w:val="none"/>
                <w:lang w:val="en-US" w:eastAsia="zh-CN"/>
              </w:rPr>
              <w:t>属于“第一类鼓励类三十一、科技服务业5、检验检测认证服务：分析、试验、测试以及相关技术咨询与研发服务，智能产品整体方案、人机工程设计、系统仿真等设计服务”</w:t>
            </w:r>
            <w:r>
              <w:rPr>
                <w:rFonts w:hint="eastAsia" w:ascii="Times New Roman" w:hAnsi="Times New Roman" w:eastAsia="宋体"/>
                <w:color w:val="auto"/>
                <w:lang w:val="en-US" w:eastAsia="zh-CN"/>
              </w:rPr>
              <w:t>。</w:t>
            </w:r>
          </w:p>
          <w:p w14:paraId="349909BF">
            <w:pPr>
              <w:keepNext w:val="0"/>
              <w:keepLines w:val="0"/>
              <w:suppressLineNumbers w:val="0"/>
              <w:spacing w:before="0" w:beforeAutospacing="0" w:after="0" w:afterAutospacing="0"/>
              <w:ind w:left="0" w:right="0" w:firstLine="480"/>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综上，</w:t>
            </w:r>
            <w:r>
              <w:rPr>
                <w:rFonts w:hint="eastAsia"/>
                <w:color w:val="auto"/>
                <w:lang w:val="en-US" w:eastAsia="zh-CN"/>
              </w:rPr>
              <w:t>建设项目</w:t>
            </w:r>
            <w:r>
              <w:rPr>
                <w:rFonts w:hint="eastAsia" w:ascii="Times New Roman" w:hAnsi="Times New Roman" w:eastAsia="宋体"/>
                <w:color w:val="auto"/>
                <w:lang w:val="en-US" w:eastAsia="zh-CN"/>
              </w:rPr>
              <w:t>与国家产业政策相符。</w:t>
            </w:r>
          </w:p>
          <w:p w14:paraId="33E19D49">
            <w:pPr>
              <w:keepNext w:val="0"/>
              <w:keepLines w:val="0"/>
              <w:numPr>
                <w:ilvl w:val="0"/>
                <w:numId w:val="3"/>
              </w:numPr>
              <w:suppressLineNumbers w:val="0"/>
              <w:spacing w:before="0" w:beforeAutospacing="0" w:after="0" w:afterAutospacing="0"/>
              <w:ind w:left="0" w:right="0" w:firstLine="482"/>
              <w:rPr>
                <w:rFonts w:hint="eastAsia"/>
                <w:b/>
                <w:bCs/>
                <w:color w:val="auto"/>
              </w:rPr>
            </w:pPr>
            <w:r>
              <w:rPr>
                <w:rFonts w:hint="eastAsia"/>
                <w:b/>
                <w:bCs/>
                <w:color w:val="auto"/>
              </w:rPr>
              <w:t>与相关环保法规、指南等相符性分析</w:t>
            </w:r>
          </w:p>
          <w:p w14:paraId="183B2BC4">
            <w:pPr>
              <w:keepNext w:val="0"/>
              <w:keepLines w:val="0"/>
              <w:suppressLineNumbers w:val="0"/>
              <w:spacing w:before="0" w:beforeAutospacing="0" w:after="0" w:afterAutospacing="0"/>
              <w:ind w:left="0" w:right="0" w:firstLine="480"/>
              <w:rPr>
                <w:rFonts w:hint="eastAsia"/>
                <w:b/>
                <w:bCs/>
                <w:color w:val="auto"/>
              </w:rPr>
            </w:pPr>
            <w:r>
              <w:rPr>
                <w:rFonts w:hint="eastAsia"/>
                <w:color w:val="auto"/>
                <w:lang w:val="en-US" w:eastAsia="zh-CN"/>
              </w:rPr>
              <w:t>建设项目</w:t>
            </w:r>
            <w:r>
              <w:rPr>
                <w:rFonts w:hint="eastAsia"/>
                <w:color w:val="auto"/>
              </w:rPr>
              <w:t>与国家、江苏省、淮安市相关环保法规、指南等相符性分析见表1</w:t>
            </w:r>
            <w:r>
              <w:rPr>
                <w:rFonts w:hint="eastAsia"/>
                <w:color w:val="auto"/>
                <w:lang w:val="en-US" w:eastAsia="zh-CN"/>
              </w:rPr>
              <w:t>.1</w:t>
            </w:r>
            <w:r>
              <w:rPr>
                <w:rFonts w:hint="eastAsia"/>
                <w:color w:val="auto"/>
              </w:rPr>
              <w:t>-</w:t>
            </w:r>
            <w:r>
              <w:rPr>
                <w:rFonts w:hint="eastAsia"/>
                <w:color w:val="auto"/>
                <w:lang w:val="en-US" w:eastAsia="zh-CN"/>
              </w:rPr>
              <w:t>8</w:t>
            </w:r>
            <w:r>
              <w:rPr>
                <w:rFonts w:hint="eastAsia"/>
                <w:color w:val="auto"/>
              </w:rPr>
              <w:t>。</w:t>
            </w:r>
          </w:p>
          <w:p w14:paraId="24F4840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bCs/>
                <w:color w:val="auto"/>
              </w:rPr>
            </w:pPr>
            <w:r>
              <w:rPr>
                <w:rFonts w:hint="eastAsia"/>
                <w:b/>
                <w:bCs/>
                <w:color w:val="auto"/>
              </w:rPr>
              <w:t>表1</w:t>
            </w:r>
            <w:r>
              <w:rPr>
                <w:rFonts w:hint="eastAsia"/>
                <w:b/>
                <w:bCs/>
                <w:color w:val="auto"/>
                <w:lang w:val="en-US" w:eastAsia="zh-CN"/>
              </w:rPr>
              <w:t>.1</w:t>
            </w:r>
            <w:r>
              <w:rPr>
                <w:rFonts w:hint="eastAsia"/>
                <w:b/>
                <w:bCs/>
                <w:color w:val="auto"/>
              </w:rPr>
              <w:t>-</w:t>
            </w:r>
            <w:r>
              <w:rPr>
                <w:rFonts w:hint="eastAsia"/>
                <w:b/>
                <w:bCs/>
                <w:color w:val="auto"/>
                <w:lang w:val="en-US" w:eastAsia="zh-CN"/>
              </w:rPr>
              <w:t>8</w:t>
            </w:r>
            <w:r>
              <w:rPr>
                <w:rFonts w:hint="eastAsia"/>
                <w:b/>
                <w:bCs/>
                <w:color w:val="auto"/>
              </w:rPr>
              <w:t xml:space="preserve">  </w:t>
            </w:r>
            <w:r>
              <w:rPr>
                <w:rFonts w:hint="eastAsia"/>
                <w:b/>
                <w:bCs/>
                <w:color w:val="auto"/>
                <w:lang w:val="en-US" w:eastAsia="zh-CN"/>
              </w:rPr>
              <w:t>建设项目</w:t>
            </w:r>
            <w:r>
              <w:rPr>
                <w:rFonts w:hint="eastAsia"/>
                <w:b/>
                <w:bCs/>
                <w:color w:val="auto"/>
              </w:rPr>
              <w:t>与相关环保法规、指南等相符性分析表</w:t>
            </w:r>
          </w:p>
          <w:tbl>
            <w:tblPr>
              <w:tblStyle w:val="24"/>
              <w:tblW w:w="8338"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28" w:type="dxa"/>
                <w:bottom w:w="0" w:type="dxa"/>
                <w:right w:w="28" w:type="dxa"/>
              </w:tblCellMar>
            </w:tblPr>
            <w:tblGrid>
              <w:gridCol w:w="1546"/>
              <w:gridCol w:w="3882"/>
              <w:gridCol w:w="2192"/>
              <w:gridCol w:w="718"/>
            </w:tblGrid>
            <w:tr w14:paraId="79F0D4A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tcBorders>
                    <w:tl2br w:val="nil"/>
                    <w:tr2bl w:val="nil"/>
                  </w:tcBorders>
                  <w:noWrap w:val="0"/>
                  <w:vAlign w:val="center"/>
                </w:tcPr>
                <w:p w14:paraId="151198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文件名称</w:t>
                  </w:r>
                </w:p>
              </w:tc>
              <w:tc>
                <w:tcPr>
                  <w:tcW w:w="3882" w:type="dxa"/>
                  <w:tcBorders>
                    <w:tl2br w:val="nil"/>
                    <w:tr2bl w:val="nil"/>
                  </w:tcBorders>
                  <w:noWrap w:val="0"/>
                  <w:vAlign w:val="center"/>
                </w:tcPr>
                <w:p w14:paraId="1F11E3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要求</w:t>
                  </w:r>
                </w:p>
              </w:tc>
              <w:tc>
                <w:tcPr>
                  <w:tcW w:w="2192" w:type="dxa"/>
                  <w:tcBorders>
                    <w:tl2br w:val="nil"/>
                    <w:tr2bl w:val="nil"/>
                  </w:tcBorders>
                  <w:noWrap w:val="0"/>
                  <w:vAlign w:val="center"/>
                </w:tcPr>
                <w:p w14:paraId="2BCDB1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lang w:eastAsia="zh-CN"/>
                    </w:rPr>
                    <w:t>建设项目</w:t>
                  </w:r>
                  <w:r>
                    <w:rPr>
                      <w:rFonts w:hint="default" w:ascii="Times New Roman" w:hAnsi="Times New Roman" w:cs="Times New Roman" w:eastAsiaTheme="minorEastAsia"/>
                      <w:b/>
                      <w:color w:val="auto"/>
                      <w:sz w:val="18"/>
                      <w:szCs w:val="18"/>
                    </w:rPr>
                    <w:t>情况</w:t>
                  </w:r>
                </w:p>
              </w:tc>
              <w:tc>
                <w:tcPr>
                  <w:tcW w:w="718" w:type="dxa"/>
                  <w:tcBorders>
                    <w:tl2br w:val="nil"/>
                    <w:tr2bl w:val="nil"/>
                  </w:tcBorders>
                  <w:noWrap w:val="0"/>
                  <w:vAlign w:val="center"/>
                </w:tcPr>
                <w:p w14:paraId="1B5E33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相符性判定</w:t>
                  </w:r>
                </w:p>
              </w:tc>
            </w:tr>
            <w:tr w14:paraId="1309139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restart"/>
                  <w:tcBorders>
                    <w:tl2br w:val="nil"/>
                    <w:tr2bl w:val="nil"/>
                  </w:tcBorders>
                  <w:noWrap w:val="0"/>
                  <w:vAlign w:val="center"/>
                </w:tcPr>
                <w:p w14:paraId="4408B7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推动长江经济带发展领导小组办公室关于印发《长江经济带发展负面清单指南</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试行，2022年版</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》的通知（长江办</w:t>
                  </w:r>
                  <w:r>
                    <w:rPr>
                      <w:rFonts w:hint="eastAsia" w:cs="Times New Roman" w:eastAsiaTheme="minorEastAsia"/>
                      <w:color w:val="auto"/>
                      <w:sz w:val="18"/>
                      <w:szCs w:val="18"/>
                      <w:lang w:eastAsia="zh-CN"/>
                    </w:rPr>
                    <w:t>〔2022〕7号</w:t>
                  </w:r>
                  <w:r>
                    <w:rPr>
                      <w:rFonts w:hint="default" w:ascii="Times New Roman" w:hAnsi="Times New Roman" w:cs="Times New Roman" w:eastAsiaTheme="minorEastAsia"/>
                      <w:color w:val="auto"/>
                      <w:sz w:val="18"/>
                      <w:szCs w:val="18"/>
                    </w:rPr>
                    <w:t>）</w:t>
                  </w:r>
                </w:p>
              </w:tc>
              <w:tc>
                <w:tcPr>
                  <w:tcW w:w="3882" w:type="dxa"/>
                  <w:tcBorders>
                    <w:tl2br w:val="nil"/>
                    <w:tr2bl w:val="nil"/>
                  </w:tcBorders>
                  <w:noWrap w:val="0"/>
                  <w:vAlign w:val="center"/>
                </w:tcPr>
                <w:p w14:paraId="4412E0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1.禁止建设不符合全国和省级港口布局规划以及港口总体规划的码头项目，禁止建设不符合《长江干线过江通道布局规划》的过</w:t>
                  </w:r>
                  <w:r>
                    <w:rPr>
                      <w:rFonts w:hint="eastAsia" w:cs="Times New Roman" w:eastAsiaTheme="minorEastAsia"/>
                      <w:color w:val="auto"/>
                      <w:sz w:val="18"/>
                      <w:szCs w:val="18"/>
                      <w:lang w:eastAsia="zh-CN"/>
                    </w:rPr>
                    <w:t>江</w:t>
                  </w:r>
                  <w:r>
                    <w:rPr>
                      <w:rFonts w:hint="default" w:ascii="Times New Roman" w:hAnsi="Times New Roman" w:cs="Times New Roman" w:eastAsiaTheme="minorEastAsia"/>
                      <w:color w:val="auto"/>
                      <w:sz w:val="18"/>
                      <w:szCs w:val="18"/>
                    </w:rPr>
                    <w:t>通道项目。</w:t>
                  </w:r>
                </w:p>
              </w:tc>
              <w:tc>
                <w:tcPr>
                  <w:tcW w:w="2192" w:type="dxa"/>
                  <w:tcBorders>
                    <w:tl2br w:val="nil"/>
                    <w:tr2bl w:val="nil"/>
                  </w:tcBorders>
                  <w:noWrap w:val="0"/>
                  <w:vAlign w:val="center"/>
                </w:tcPr>
                <w:p w14:paraId="470CC4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w:t>
                  </w:r>
                  <w:r>
                    <w:rPr>
                      <w:rFonts w:hint="default" w:ascii="Times New Roman" w:hAnsi="Times New Roman" w:cs="Times New Roman" w:eastAsiaTheme="minorEastAsia"/>
                      <w:color w:val="auto"/>
                      <w:sz w:val="18"/>
                      <w:szCs w:val="18"/>
                      <w:lang w:val="en-US" w:eastAsia="zh-CN"/>
                    </w:rPr>
                    <w:t>不在长江流域</w:t>
                  </w:r>
                  <w:r>
                    <w:rPr>
                      <w:rFonts w:hint="default" w:ascii="Times New Roman" w:hAnsi="Times New Roman" w:cs="Times New Roman" w:eastAsiaTheme="minorEastAsia"/>
                      <w:color w:val="auto"/>
                      <w:sz w:val="18"/>
                      <w:szCs w:val="18"/>
                    </w:rPr>
                    <w:t>，不涉及码头建设。</w:t>
                  </w:r>
                </w:p>
              </w:tc>
              <w:tc>
                <w:tcPr>
                  <w:tcW w:w="718" w:type="dxa"/>
                  <w:vMerge w:val="restart"/>
                  <w:tcBorders>
                    <w:tl2br w:val="nil"/>
                    <w:tr2bl w:val="nil"/>
                  </w:tcBorders>
                  <w:noWrap w:val="0"/>
                  <w:vAlign w:val="center"/>
                </w:tcPr>
                <w:p w14:paraId="2A0484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75EF82E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737F62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565CF4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2.禁止在自然保护区核心区、缓冲区的岸线和河段范围内投资建设旅游和生产经营项目。禁止在风景名胜区核心景区的岸线和河段范围内投资建设与风景名胜资源保护无关的项目。</w:t>
                  </w:r>
                </w:p>
              </w:tc>
              <w:tc>
                <w:tcPr>
                  <w:tcW w:w="2192" w:type="dxa"/>
                  <w:vMerge w:val="restart"/>
                  <w:tcBorders>
                    <w:tl2br w:val="nil"/>
                    <w:tr2bl w:val="nil"/>
                  </w:tcBorders>
                  <w:noWrap w:val="0"/>
                  <w:vAlign w:val="center"/>
                </w:tcPr>
                <w:p w14:paraId="049FAF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w:t>
                  </w:r>
                  <w:r>
                    <w:rPr>
                      <w:rFonts w:hint="default" w:ascii="Times New Roman" w:hAnsi="Times New Roman" w:cs="Times New Roman" w:eastAsiaTheme="minorEastAsia"/>
                      <w:color w:val="auto"/>
                      <w:sz w:val="18"/>
                      <w:szCs w:val="18"/>
                    </w:rPr>
                    <w:t>位于</w:t>
                  </w:r>
                  <w:r>
                    <w:rPr>
                      <w:rFonts w:hint="default" w:ascii="Times New Roman" w:hAnsi="Times New Roman" w:cs="Times New Roman" w:eastAsiaTheme="minorEastAsia"/>
                      <w:color w:val="auto"/>
                      <w:sz w:val="18"/>
                      <w:szCs w:val="18"/>
                      <w:lang w:val="en-US" w:eastAsia="zh-CN"/>
                    </w:rPr>
                    <w:t>涟水县人民医院院内；项目</w:t>
                  </w:r>
                  <w:r>
                    <w:rPr>
                      <w:rFonts w:hint="default" w:ascii="Times New Roman" w:hAnsi="Times New Roman" w:cs="Times New Roman" w:eastAsiaTheme="minorEastAsia"/>
                      <w:color w:val="auto"/>
                      <w:sz w:val="18"/>
                      <w:szCs w:val="18"/>
                    </w:rPr>
                    <w:t>用地性质为</w:t>
                  </w:r>
                  <w:r>
                    <w:rPr>
                      <w:rFonts w:hint="eastAsia" w:cs="Times New Roman" w:eastAsiaTheme="minorEastAsia"/>
                      <w:color w:val="auto"/>
                      <w:sz w:val="18"/>
                      <w:szCs w:val="18"/>
                      <w:lang w:eastAsia="zh-CN"/>
                    </w:rPr>
                    <w:t>医疗卫生设施用地</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项目不占用生态红线</w:t>
                  </w:r>
                  <w:r>
                    <w:rPr>
                      <w:rFonts w:hint="eastAsia" w:cs="Times New Roman" w:eastAsiaTheme="minorEastAsia"/>
                      <w:color w:val="auto"/>
                      <w:sz w:val="18"/>
                      <w:szCs w:val="18"/>
                      <w:lang w:val="en-US" w:eastAsia="zh-CN"/>
                    </w:rPr>
                    <w:t>，不存</w:t>
                  </w:r>
                  <w:r>
                    <w:rPr>
                      <w:rFonts w:hint="default" w:ascii="Times New Roman" w:hAnsi="Times New Roman" w:cs="Times New Roman" w:eastAsiaTheme="minorEastAsia"/>
                      <w:color w:val="auto"/>
                      <w:sz w:val="18"/>
                      <w:szCs w:val="18"/>
                    </w:rPr>
                    <w:t>在自然保护区核心区、缓冲区、风景名胜区、饮用水源保护区、水产种质资源保护区、国家湿地公园、水产种质资源保护区内。</w:t>
                  </w:r>
                </w:p>
              </w:tc>
              <w:tc>
                <w:tcPr>
                  <w:tcW w:w="718" w:type="dxa"/>
                  <w:vMerge w:val="continue"/>
                  <w:tcBorders>
                    <w:tl2br w:val="nil"/>
                    <w:tr2bl w:val="nil"/>
                  </w:tcBorders>
                  <w:noWrap w:val="0"/>
                  <w:vAlign w:val="center"/>
                </w:tcPr>
                <w:p w14:paraId="5E5429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6524EB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1E8926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6A7E66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192" w:type="dxa"/>
                  <w:vMerge w:val="continue"/>
                  <w:tcBorders>
                    <w:tl2br w:val="nil"/>
                    <w:tr2bl w:val="nil"/>
                  </w:tcBorders>
                  <w:noWrap w:val="0"/>
                  <w:vAlign w:val="center"/>
                </w:tcPr>
                <w:p w14:paraId="111B55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718" w:type="dxa"/>
                  <w:vMerge w:val="continue"/>
                  <w:tcBorders>
                    <w:tl2br w:val="nil"/>
                    <w:tr2bl w:val="nil"/>
                  </w:tcBorders>
                  <w:noWrap w:val="0"/>
                  <w:vAlign w:val="center"/>
                </w:tcPr>
                <w:p w14:paraId="254F4F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4D45DB4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010290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2ECD1B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192" w:type="dxa"/>
                  <w:vMerge w:val="continue"/>
                  <w:tcBorders>
                    <w:tl2br w:val="nil"/>
                    <w:tr2bl w:val="nil"/>
                  </w:tcBorders>
                  <w:noWrap w:val="0"/>
                  <w:vAlign w:val="center"/>
                </w:tcPr>
                <w:p w14:paraId="7271D9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718" w:type="dxa"/>
                  <w:vMerge w:val="continue"/>
                  <w:tcBorders>
                    <w:tl2br w:val="nil"/>
                    <w:tr2bl w:val="nil"/>
                  </w:tcBorders>
                  <w:noWrap w:val="0"/>
                  <w:vAlign w:val="center"/>
                </w:tcPr>
                <w:p w14:paraId="2C614C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0B46DB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546" w:type="dxa"/>
                  <w:vMerge w:val="continue"/>
                  <w:tcBorders>
                    <w:tl2br w:val="nil"/>
                    <w:tr2bl w:val="nil"/>
                  </w:tcBorders>
                  <w:noWrap w:val="0"/>
                  <w:vAlign w:val="center"/>
                </w:tcPr>
                <w:p w14:paraId="5DA6CD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1E536D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192" w:type="dxa"/>
                  <w:tcBorders>
                    <w:tl2br w:val="nil"/>
                    <w:tr2bl w:val="nil"/>
                  </w:tcBorders>
                  <w:noWrap w:val="0"/>
                  <w:vAlign w:val="center"/>
                </w:tcPr>
                <w:p w14:paraId="7279D0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w:t>
                  </w:r>
                  <w:r>
                    <w:rPr>
                      <w:rFonts w:hint="default" w:ascii="Times New Roman" w:hAnsi="Times New Roman" w:cs="Times New Roman" w:eastAsiaTheme="minorEastAsia"/>
                      <w:color w:val="auto"/>
                      <w:sz w:val="18"/>
                      <w:szCs w:val="18"/>
                      <w:lang w:val="en-US" w:eastAsia="zh-CN"/>
                    </w:rPr>
                    <w:t>不在长江流域</w:t>
                  </w:r>
                  <w:r>
                    <w:rPr>
                      <w:rFonts w:hint="default" w:ascii="Times New Roman" w:hAnsi="Times New Roman" w:cs="Times New Roman" w:eastAsiaTheme="minorEastAsia"/>
                      <w:color w:val="auto"/>
                      <w:sz w:val="18"/>
                      <w:szCs w:val="18"/>
                    </w:rPr>
                    <w:t>，未利用、占用长江流域河湖岸线。</w:t>
                  </w:r>
                </w:p>
              </w:tc>
              <w:tc>
                <w:tcPr>
                  <w:tcW w:w="718" w:type="dxa"/>
                  <w:vMerge w:val="continue"/>
                  <w:tcBorders>
                    <w:tl2br w:val="nil"/>
                    <w:tr2bl w:val="nil"/>
                  </w:tcBorders>
                  <w:noWrap w:val="0"/>
                  <w:vAlign w:val="center"/>
                </w:tcPr>
                <w:p w14:paraId="647CE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4116DA5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546" w:type="dxa"/>
                  <w:vMerge w:val="continue"/>
                  <w:tcBorders>
                    <w:tl2br w:val="nil"/>
                    <w:tr2bl w:val="nil"/>
                  </w:tcBorders>
                  <w:noWrap w:val="0"/>
                  <w:vAlign w:val="center"/>
                </w:tcPr>
                <w:p w14:paraId="40A93F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6724E6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6.禁止未经许可在长江干支流及湖泊新设、改设或扩大排污口。</w:t>
                  </w:r>
                </w:p>
              </w:tc>
              <w:tc>
                <w:tcPr>
                  <w:tcW w:w="2192" w:type="dxa"/>
                  <w:vMerge w:val="restart"/>
                  <w:tcBorders>
                    <w:tl2br w:val="nil"/>
                    <w:tr2bl w:val="nil"/>
                  </w:tcBorders>
                  <w:noWrap w:val="0"/>
                  <w:vAlign w:val="center"/>
                </w:tcPr>
                <w:p w14:paraId="2C4BEF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w:t>
                  </w:r>
                  <w:r>
                    <w:rPr>
                      <w:rFonts w:hint="default" w:ascii="Times New Roman" w:hAnsi="Times New Roman" w:cs="Times New Roman" w:eastAsiaTheme="minorEastAsia"/>
                      <w:color w:val="auto"/>
                      <w:sz w:val="18"/>
                      <w:szCs w:val="18"/>
                      <w:lang w:val="en-US" w:eastAsia="zh-CN"/>
                    </w:rPr>
                    <w:t>不在长江流域</w:t>
                  </w:r>
                  <w:r>
                    <w:rPr>
                      <w:rFonts w:hint="default" w:ascii="Times New Roman" w:hAnsi="Times New Roman" w:cs="Times New Roman" w:eastAsiaTheme="minorEastAsia"/>
                      <w:color w:val="auto"/>
                      <w:sz w:val="18"/>
                      <w:szCs w:val="18"/>
                    </w:rPr>
                    <w:t>。</w:t>
                  </w:r>
                </w:p>
              </w:tc>
              <w:tc>
                <w:tcPr>
                  <w:tcW w:w="718" w:type="dxa"/>
                  <w:vMerge w:val="continue"/>
                  <w:tcBorders>
                    <w:tl2br w:val="nil"/>
                    <w:tr2bl w:val="nil"/>
                  </w:tcBorders>
                  <w:noWrap w:val="0"/>
                  <w:vAlign w:val="center"/>
                </w:tcPr>
                <w:p w14:paraId="3CB863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2089112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259ECF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67F8C4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7.禁止在“一江一口两湖七河”和332个水生生物保护区开展生产性捕捞。</w:t>
                  </w:r>
                </w:p>
              </w:tc>
              <w:tc>
                <w:tcPr>
                  <w:tcW w:w="2192" w:type="dxa"/>
                  <w:vMerge w:val="continue"/>
                  <w:tcBorders>
                    <w:tl2br w:val="nil"/>
                    <w:tr2bl w:val="nil"/>
                  </w:tcBorders>
                  <w:noWrap w:val="0"/>
                  <w:vAlign w:val="center"/>
                </w:tcPr>
                <w:p w14:paraId="40173E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718" w:type="dxa"/>
                  <w:vMerge w:val="continue"/>
                  <w:tcBorders>
                    <w:tl2br w:val="nil"/>
                    <w:tr2bl w:val="nil"/>
                  </w:tcBorders>
                  <w:noWrap w:val="0"/>
                  <w:vAlign w:val="center"/>
                </w:tcPr>
                <w:p w14:paraId="0E7BD9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0FC649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5A5B89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093C88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192" w:type="dxa"/>
                  <w:vMerge w:val="continue"/>
                  <w:tcBorders>
                    <w:tl2br w:val="nil"/>
                    <w:tr2bl w:val="nil"/>
                  </w:tcBorders>
                  <w:noWrap w:val="0"/>
                  <w:vAlign w:val="center"/>
                </w:tcPr>
                <w:p w14:paraId="47BBCB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718" w:type="dxa"/>
                  <w:vMerge w:val="continue"/>
                  <w:tcBorders>
                    <w:tl2br w:val="nil"/>
                    <w:tr2bl w:val="nil"/>
                  </w:tcBorders>
                  <w:noWrap w:val="0"/>
                  <w:vAlign w:val="center"/>
                </w:tcPr>
                <w:p w14:paraId="30A49F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751414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546" w:type="dxa"/>
                  <w:vMerge w:val="continue"/>
                  <w:tcBorders>
                    <w:tl2br w:val="nil"/>
                    <w:tr2bl w:val="nil"/>
                  </w:tcBorders>
                  <w:noWrap w:val="0"/>
                  <w:vAlign w:val="center"/>
                </w:tcPr>
                <w:p w14:paraId="406B5F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3626F1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9.禁止在合规园区外新建、扩建钢铁、石化、化工、焦化、建材、有色、制浆造纸等高污染项目。</w:t>
                  </w:r>
                </w:p>
              </w:tc>
              <w:tc>
                <w:tcPr>
                  <w:tcW w:w="2192" w:type="dxa"/>
                  <w:tcBorders>
                    <w:tl2br w:val="nil"/>
                    <w:tr2bl w:val="nil"/>
                  </w:tcBorders>
                  <w:noWrap w:val="0"/>
                  <w:vAlign w:val="center"/>
                </w:tcPr>
                <w:p w14:paraId="722881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w:t>
                  </w:r>
                  <w:r>
                    <w:rPr>
                      <w:rFonts w:hint="default" w:ascii="Times New Roman" w:hAnsi="Times New Roman" w:cs="Times New Roman" w:eastAsiaTheme="minorEastAsia"/>
                      <w:color w:val="auto"/>
                      <w:sz w:val="18"/>
                      <w:szCs w:val="18"/>
                    </w:rPr>
                    <w:t>位于</w:t>
                  </w:r>
                  <w:r>
                    <w:rPr>
                      <w:rFonts w:hint="default" w:ascii="Times New Roman" w:hAnsi="Times New Roman" w:cs="Times New Roman" w:eastAsiaTheme="minorEastAsia"/>
                      <w:color w:val="auto"/>
                      <w:sz w:val="18"/>
                      <w:szCs w:val="18"/>
                      <w:lang w:val="en-US" w:eastAsia="zh-CN"/>
                    </w:rPr>
                    <w:t>涟水县人民医院院内</w:t>
                  </w:r>
                  <w:r>
                    <w:rPr>
                      <w:rFonts w:hint="default" w:ascii="Times New Roman" w:hAnsi="Times New Roman" w:cs="Times New Roman" w:eastAsiaTheme="minorEastAsia"/>
                      <w:color w:val="auto"/>
                      <w:sz w:val="18"/>
                      <w:szCs w:val="18"/>
                    </w:rPr>
                    <w:t>，且</w:t>
                  </w:r>
                  <w:r>
                    <w:rPr>
                      <w:rFonts w:hint="eastAsia" w:cs="Times New Roman" w:eastAsiaTheme="minorEastAsia"/>
                      <w:color w:val="auto"/>
                      <w:sz w:val="18"/>
                      <w:szCs w:val="18"/>
                      <w:lang w:val="en-US" w:eastAsia="zh-CN"/>
                    </w:rPr>
                    <w:t>建设项目</w:t>
                  </w:r>
                  <w:r>
                    <w:rPr>
                      <w:rFonts w:hint="default" w:ascii="Times New Roman" w:hAnsi="Times New Roman" w:cs="Times New Roman" w:eastAsiaTheme="minorEastAsia"/>
                      <w:color w:val="auto"/>
                      <w:sz w:val="18"/>
                      <w:szCs w:val="18"/>
                    </w:rPr>
                    <w:t>不属于</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两高</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项目</w:t>
                  </w:r>
                  <w:r>
                    <w:rPr>
                      <w:rFonts w:hint="default" w:ascii="Times New Roman" w:hAnsi="Times New Roman" w:cs="Times New Roman" w:eastAsiaTheme="minorEastAsia"/>
                      <w:color w:val="auto"/>
                      <w:sz w:val="18"/>
                      <w:szCs w:val="18"/>
                    </w:rPr>
                    <w:t>。</w:t>
                  </w:r>
                </w:p>
              </w:tc>
              <w:tc>
                <w:tcPr>
                  <w:tcW w:w="718" w:type="dxa"/>
                  <w:vMerge w:val="continue"/>
                  <w:tcBorders>
                    <w:tl2br w:val="nil"/>
                    <w:tr2bl w:val="nil"/>
                  </w:tcBorders>
                  <w:noWrap w:val="0"/>
                  <w:vAlign w:val="center"/>
                </w:tcPr>
                <w:p w14:paraId="3C6B17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09910E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31B32D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590E79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10.禁止新建、扩建不符合国家石化、现代煤化工等产业布局规划的项目。</w:t>
                  </w:r>
                </w:p>
              </w:tc>
              <w:tc>
                <w:tcPr>
                  <w:tcW w:w="2192" w:type="dxa"/>
                  <w:tcBorders>
                    <w:tl2br w:val="nil"/>
                    <w:tr2bl w:val="nil"/>
                  </w:tcBorders>
                  <w:noWrap w:val="0"/>
                  <w:vAlign w:val="center"/>
                </w:tcPr>
                <w:p w14:paraId="3CF367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w:t>
                  </w:r>
                  <w:r>
                    <w:rPr>
                      <w:rFonts w:hint="default" w:ascii="Times New Roman" w:hAnsi="Times New Roman" w:cs="Times New Roman" w:eastAsiaTheme="minorEastAsia"/>
                      <w:color w:val="auto"/>
                      <w:sz w:val="18"/>
                      <w:szCs w:val="18"/>
                    </w:rPr>
                    <w:t>不属于石化、现代煤化工等产业。</w:t>
                  </w:r>
                </w:p>
              </w:tc>
              <w:tc>
                <w:tcPr>
                  <w:tcW w:w="718" w:type="dxa"/>
                  <w:vMerge w:val="continue"/>
                  <w:tcBorders>
                    <w:tl2br w:val="nil"/>
                    <w:tr2bl w:val="nil"/>
                  </w:tcBorders>
                  <w:noWrap w:val="0"/>
                  <w:vAlign w:val="center"/>
                </w:tcPr>
                <w:p w14:paraId="6B749B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6255B0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6776EF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391317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11.禁止新建、扩建法律法规和相关政策明令禁止的落后产能</w:t>
                  </w:r>
                </w:p>
                <w:p w14:paraId="0D760F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项目。禁止新建、扩建不符合国家产能置换要求的严重过剩产能行业的项目。禁止新建、扩建不符合要求的高耗能高排放项目。</w:t>
                  </w:r>
                </w:p>
              </w:tc>
              <w:tc>
                <w:tcPr>
                  <w:tcW w:w="2192" w:type="dxa"/>
                  <w:tcBorders>
                    <w:tl2br w:val="nil"/>
                    <w:tr2bl w:val="nil"/>
                  </w:tcBorders>
                  <w:noWrap w:val="0"/>
                  <w:vAlign w:val="center"/>
                </w:tcPr>
                <w:p w14:paraId="78DF41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w:t>
                  </w:r>
                  <w:r>
                    <w:rPr>
                      <w:rFonts w:hint="default" w:ascii="Times New Roman" w:hAnsi="Times New Roman" w:cs="Times New Roman" w:eastAsiaTheme="minorEastAsia"/>
                      <w:color w:val="auto"/>
                      <w:sz w:val="18"/>
                      <w:szCs w:val="18"/>
                    </w:rPr>
                    <w:t>不属于落后产能项目，不涉及产能置换行业，不属于高耗能高排放项目</w:t>
                  </w:r>
                </w:p>
              </w:tc>
              <w:tc>
                <w:tcPr>
                  <w:tcW w:w="718" w:type="dxa"/>
                  <w:vMerge w:val="continue"/>
                  <w:tcBorders>
                    <w:tl2br w:val="nil"/>
                    <w:tr2bl w:val="nil"/>
                  </w:tcBorders>
                  <w:noWrap w:val="0"/>
                  <w:vAlign w:val="center"/>
                </w:tcPr>
                <w:p w14:paraId="64A776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60C52D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20927E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49CEF3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12.法律法规及相关政策文件有更加严格规定的从其规定。</w:t>
                  </w:r>
                </w:p>
              </w:tc>
              <w:tc>
                <w:tcPr>
                  <w:tcW w:w="2192" w:type="dxa"/>
                  <w:tcBorders>
                    <w:tl2br w:val="nil"/>
                    <w:tr2bl w:val="nil"/>
                  </w:tcBorders>
                  <w:noWrap w:val="0"/>
                  <w:vAlign w:val="center"/>
                </w:tcPr>
                <w:p w14:paraId="0E90B3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建设项目</w:t>
                  </w:r>
                  <w:r>
                    <w:rPr>
                      <w:rFonts w:hint="default" w:ascii="Times New Roman" w:hAnsi="Times New Roman" w:cs="Times New Roman" w:eastAsiaTheme="minorEastAsia"/>
                      <w:color w:val="auto"/>
                      <w:sz w:val="18"/>
                      <w:szCs w:val="18"/>
                    </w:rPr>
                    <w:t>严格执行各类法律法规及相关政策文件。</w:t>
                  </w:r>
                </w:p>
              </w:tc>
              <w:tc>
                <w:tcPr>
                  <w:tcW w:w="718" w:type="dxa"/>
                  <w:vMerge w:val="continue"/>
                  <w:tcBorders>
                    <w:tl2br w:val="nil"/>
                    <w:tr2bl w:val="nil"/>
                  </w:tcBorders>
                  <w:noWrap w:val="0"/>
                  <w:vAlign w:val="center"/>
                </w:tcPr>
                <w:p w14:paraId="492834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632A3C7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restart"/>
                  <w:tcBorders>
                    <w:tl2br w:val="nil"/>
                    <w:tr2bl w:val="nil"/>
                  </w:tcBorders>
                  <w:noWrap w:val="0"/>
                  <w:vAlign w:val="center"/>
                </w:tcPr>
                <w:p w14:paraId="2AE59A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关于印发《</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长江经济带发展负面清单指南（试行，2022年版）</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江苏省实施细则》的通知（苏长江办发</w:t>
                  </w:r>
                  <w:r>
                    <w:rPr>
                      <w:rFonts w:hint="eastAsia" w:cs="Times New Roman" w:eastAsiaTheme="minorEastAsia"/>
                      <w:color w:val="auto"/>
                      <w:sz w:val="18"/>
                      <w:szCs w:val="18"/>
                      <w:lang w:eastAsia="zh-CN"/>
                    </w:rPr>
                    <w:t>〔2022〕55号</w:t>
                  </w:r>
                  <w:r>
                    <w:rPr>
                      <w:rFonts w:hint="default" w:ascii="Times New Roman" w:hAnsi="Times New Roman" w:cs="Times New Roman" w:eastAsiaTheme="minorEastAsia"/>
                      <w:color w:val="auto"/>
                      <w:sz w:val="18"/>
                      <w:szCs w:val="18"/>
                    </w:rPr>
                    <w:t>）</w:t>
                  </w:r>
                </w:p>
              </w:tc>
              <w:tc>
                <w:tcPr>
                  <w:tcW w:w="3882" w:type="dxa"/>
                  <w:tcBorders>
                    <w:tl2br w:val="nil"/>
                    <w:tr2bl w:val="nil"/>
                  </w:tcBorders>
                  <w:noWrap w:val="0"/>
                  <w:vAlign w:val="center"/>
                </w:tcPr>
                <w:p w14:paraId="7AFC8A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禁止在国家确定的生态保护红线和永久基本农田范围内，投资建设除国家重大战略资源勘查项目、生态保护修复和环境及地质灾害治理项目、重大基础设施项目、军事国防项目以及农民基本生产生活等必要的民生以外的项目。</w:t>
                  </w:r>
                </w:p>
              </w:tc>
              <w:tc>
                <w:tcPr>
                  <w:tcW w:w="2192" w:type="dxa"/>
                  <w:tcBorders>
                    <w:tl2br w:val="nil"/>
                    <w:tr2bl w:val="nil"/>
                  </w:tcBorders>
                  <w:noWrap w:val="0"/>
                  <w:vAlign w:val="center"/>
                </w:tcPr>
                <w:p w14:paraId="1E905D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w:t>
                  </w:r>
                  <w:r>
                    <w:rPr>
                      <w:rFonts w:hint="default" w:ascii="Times New Roman" w:hAnsi="Times New Roman" w:cs="Times New Roman" w:eastAsiaTheme="minorEastAsia"/>
                      <w:color w:val="auto"/>
                      <w:sz w:val="18"/>
                      <w:szCs w:val="18"/>
                    </w:rPr>
                    <w:t>位于</w:t>
                  </w:r>
                  <w:r>
                    <w:rPr>
                      <w:rFonts w:hint="default" w:ascii="Times New Roman" w:hAnsi="Times New Roman" w:cs="Times New Roman" w:eastAsiaTheme="minorEastAsia"/>
                      <w:color w:val="auto"/>
                      <w:sz w:val="18"/>
                      <w:szCs w:val="18"/>
                      <w:lang w:val="en-US" w:eastAsia="zh-CN"/>
                    </w:rPr>
                    <w:t>涟水县人民医院院内</w:t>
                  </w:r>
                  <w:r>
                    <w:rPr>
                      <w:rFonts w:hint="default" w:ascii="Times New Roman" w:hAnsi="Times New Roman" w:cs="Times New Roman" w:eastAsiaTheme="minorEastAsia"/>
                      <w:color w:val="auto"/>
                      <w:sz w:val="18"/>
                      <w:szCs w:val="18"/>
                    </w:rPr>
                    <w:t>，用地性质为</w:t>
                  </w:r>
                  <w:r>
                    <w:rPr>
                      <w:rFonts w:hint="eastAsia" w:cs="Times New Roman" w:eastAsiaTheme="minorEastAsia"/>
                      <w:color w:val="auto"/>
                      <w:sz w:val="18"/>
                      <w:szCs w:val="18"/>
                      <w:lang w:eastAsia="zh-CN"/>
                    </w:rPr>
                    <w:t>医疗卫生设施用地</w:t>
                  </w:r>
                  <w:r>
                    <w:rPr>
                      <w:rFonts w:hint="default" w:ascii="Times New Roman" w:hAnsi="Times New Roman" w:cs="Times New Roman" w:eastAsiaTheme="minorEastAsia"/>
                      <w:color w:val="auto"/>
                      <w:sz w:val="18"/>
                      <w:szCs w:val="18"/>
                    </w:rPr>
                    <w:t>，不在国家</w:t>
                  </w:r>
                  <w:r>
                    <w:rPr>
                      <w:rFonts w:hint="default" w:ascii="Times New Roman" w:hAnsi="Times New Roman" w:cs="Times New Roman" w:eastAsiaTheme="minorEastAsia"/>
                      <w:color w:val="auto"/>
                      <w:sz w:val="18"/>
                      <w:szCs w:val="18"/>
                      <w:lang w:val="en-US" w:eastAsia="zh-CN"/>
                    </w:rPr>
                    <w:t>及地方</w:t>
                  </w:r>
                  <w:r>
                    <w:rPr>
                      <w:rFonts w:hint="default" w:ascii="Times New Roman" w:hAnsi="Times New Roman" w:cs="Times New Roman" w:eastAsiaTheme="minorEastAsia"/>
                      <w:color w:val="auto"/>
                      <w:sz w:val="18"/>
                      <w:szCs w:val="18"/>
                    </w:rPr>
                    <w:t>确定的生态保护红线和基本农田范围内。</w:t>
                  </w:r>
                </w:p>
              </w:tc>
              <w:tc>
                <w:tcPr>
                  <w:tcW w:w="718" w:type="dxa"/>
                  <w:vMerge w:val="restart"/>
                  <w:tcBorders>
                    <w:tl2br w:val="nil"/>
                    <w:tr2bl w:val="nil"/>
                  </w:tcBorders>
                  <w:noWrap w:val="0"/>
                  <w:vAlign w:val="center"/>
                </w:tcPr>
                <w:p w14:paraId="241562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36D081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4A648C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7E39AF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禁止新建</w:t>
                  </w:r>
                  <w:r>
                    <w:rPr>
                      <w:rFonts w:hint="eastAsia" w:cs="Times New Roman" w:eastAsiaTheme="minorEastAsia"/>
                      <w:color w:val="auto"/>
                      <w:sz w:val="18"/>
                      <w:szCs w:val="18"/>
                      <w:lang w:eastAsia="zh-CN"/>
                    </w:rPr>
                    <w:t>、新</w:t>
                  </w:r>
                  <w:r>
                    <w:rPr>
                      <w:rFonts w:hint="default" w:ascii="Times New Roman" w:hAnsi="Times New Roman" w:cs="Times New Roman" w:eastAsiaTheme="minorEastAsia"/>
                      <w:color w:val="auto"/>
                      <w:sz w:val="18"/>
                      <w:szCs w:val="18"/>
                    </w:rPr>
                    <w:t>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2192" w:type="dxa"/>
                  <w:tcBorders>
                    <w:tl2br w:val="nil"/>
                    <w:tr2bl w:val="nil"/>
                  </w:tcBorders>
                  <w:noWrap w:val="0"/>
                  <w:vAlign w:val="center"/>
                </w:tcPr>
                <w:p w14:paraId="35A4CB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w:t>
                  </w:r>
                  <w:r>
                    <w:rPr>
                      <w:rFonts w:hint="default" w:ascii="Times New Roman" w:hAnsi="Times New Roman" w:cs="Times New Roman" w:eastAsiaTheme="minorEastAsia"/>
                      <w:color w:val="auto"/>
                      <w:sz w:val="18"/>
                      <w:szCs w:val="18"/>
                    </w:rPr>
                    <w:t>不属于国家《产业结构调整指导目录》明确的限制类、淘汰类、禁止类项目，不属于法律法规和相关政策明令禁止的落后产能以及明令淘汰的安全生产落后工艺及装备项目。</w:t>
                  </w:r>
                </w:p>
              </w:tc>
              <w:tc>
                <w:tcPr>
                  <w:tcW w:w="718" w:type="dxa"/>
                  <w:vMerge w:val="continue"/>
                  <w:tcBorders>
                    <w:tl2br w:val="nil"/>
                    <w:tr2bl w:val="nil"/>
                  </w:tcBorders>
                  <w:noWrap w:val="0"/>
                  <w:vAlign w:val="center"/>
                </w:tcPr>
                <w:p w14:paraId="050686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2BA67B5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2E0B4B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574C4D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禁止在合规园区外新建、扩建钢铁、石化、化工、焦化、建材、有色等高污染项目。名录按照《江苏省长江经济带发展负面清单实施细则</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试行</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合规园区名录》执行。高污染项目应严格按照《环境保护综合名录》等有关要求执行。</w:t>
                  </w:r>
                </w:p>
              </w:tc>
              <w:tc>
                <w:tcPr>
                  <w:tcW w:w="2192" w:type="dxa"/>
                  <w:tcBorders>
                    <w:tl2br w:val="nil"/>
                    <w:tr2bl w:val="nil"/>
                  </w:tcBorders>
                  <w:noWrap w:val="0"/>
                  <w:vAlign w:val="center"/>
                </w:tcPr>
                <w:p w14:paraId="77DBFF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建设项目不涉及</w:t>
                  </w:r>
                  <w:r>
                    <w:rPr>
                      <w:rFonts w:hint="default" w:ascii="Times New Roman" w:hAnsi="Times New Roman" w:cs="Times New Roman" w:eastAsiaTheme="minorEastAsia"/>
                      <w:color w:val="auto"/>
                      <w:sz w:val="18"/>
                      <w:szCs w:val="18"/>
                    </w:rPr>
                    <w:t>。</w:t>
                  </w:r>
                </w:p>
              </w:tc>
              <w:tc>
                <w:tcPr>
                  <w:tcW w:w="718" w:type="dxa"/>
                  <w:vMerge w:val="continue"/>
                  <w:tcBorders>
                    <w:tl2br w:val="nil"/>
                    <w:tr2bl w:val="nil"/>
                  </w:tcBorders>
                  <w:noWrap w:val="0"/>
                  <w:vAlign w:val="center"/>
                </w:tcPr>
                <w:p w14:paraId="4689F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013ED7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1503" w:hRule="atLeast"/>
                <w:jc w:val="center"/>
              </w:trPr>
              <w:tc>
                <w:tcPr>
                  <w:tcW w:w="1546" w:type="dxa"/>
                  <w:tcBorders>
                    <w:tl2br w:val="nil"/>
                    <w:tr2bl w:val="nil"/>
                  </w:tcBorders>
                  <w:noWrap w:val="0"/>
                  <w:vAlign w:val="center"/>
                </w:tcPr>
                <w:p w14:paraId="2315B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《省政府办公厅关于印发江苏省“十四五”生态环境保护规划的通知》（苏政办发</w:t>
                  </w:r>
                  <w:r>
                    <w:rPr>
                      <w:rFonts w:hint="eastAsia" w:cs="Times New Roman" w:eastAsiaTheme="minorEastAsia"/>
                      <w:color w:val="auto"/>
                      <w:sz w:val="18"/>
                      <w:szCs w:val="18"/>
                      <w:lang w:eastAsia="zh-CN"/>
                    </w:rPr>
                    <w:t>〔2021〕84号</w:t>
                  </w:r>
                  <w:r>
                    <w:rPr>
                      <w:rFonts w:hint="default" w:ascii="Times New Roman" w:hAnsi="Times New Roman" w:cs="Times New Roman" w:eastAsiaTheme="minorEastAsia"/>
                      <w:color w:val="auto"/>
                      <w:sz w:val="18"/>
                      <w:szCs w:val="18"/>
                    </w:rPr>
                    <w:t>）</w:t>
                  </w:r>
                </w:p>
              </w:tc>
              <w:tc>
                <w:tcPr>
                  <w:tcW w:w="3882" w:type="dxa"/>
                  <w:tcBorders>
                    <w:tl2br w:val="nil"/>
                    <w:tr2bl w:val="nil"/>
                  </w:tcBorders>
                  <w:noWrap w:val="0"/>
                  <w:vAlign w:val="center"/>
                </w:tcPr>
                <w:p w14:paraId="718BF8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强化危险废物全过程环境监管。制定危险废物利用处置技术规范，探索分级分类管理，完善危险废物全生命周期监控系统，进一步提升监管能力。加强危险废物流向监控，实现全省运输电子运单和转移电子联单对接，严厉打击危险废物非法转移处置倾倒等违法犯罪行为。建立危险废物跨省转移“白名单”制度。</w:t>
                  </w:r>
                </w:p>
              </w:tc>
              <w:tc>
                <w:tcPr>
                  <w:tcW w:w="2192" w:type="dxa"/>
                  <w:tcBorders>
                    <w:tl2br w:val="nil"/>
                    <w:tr2bl w:val="nil"/>
                  </w:tcBorders>
                  <w:noWrap w:val="0"/>
                  <w:vAlign w:val="center"/>
                </w:tcPr>
                <w:p w14:paraId="46A16E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项目</w:t>
                  </w:r>
                  <w:r>
                    <w:rPr>
                      <w:rFonts w:hint="default" w:ascii="Times New Roman" w:hAnsi="Times New Roman" w:cs="Times New Roman" w:eastAsiaTheme="minorEastAsia"/>
                      <w:color w:val="auto"/>
                      <w:sz w:val="18"/>
                      <w:szCs w:val="18"/>
                    </w:rPr>
                    <w:t>建成后</w:t>
                  </w:r>
                  <w:r>
                    <w:rPr>
                      <w:rFonts w:hint="eastAsia" w:ascii="Times New Roman" w:hAnsi="Times New Roman" w:cs="Times New Roman" w:eastAsiaTheme="minorEastAsia"/>
                      <w:color w:val="auto"/>
                      <w:sz w:val="18"/>
                      <w:szCs w:val="18"/>
                      <w:lang w:eastAsia="zh-CN"/>
                    </w:rPr>
                    <w:t>建设单位</w:t>
                  </w:r>
                  <w:r>
                    <w:rPr>
                      <w:rFonts w:hint="default" w:ascii="Times New Roman" w:hAnsi="Times New Roman" w:cs="Times New Roman" w:eastAsiaTheme="minorEastAsia"/>
                      <w:color w:val="auto"/>
                      <w:sz w:val="18"/>
                      <w:szCs w:val="18"/>
                    </w:rPr>
                    <w:t>将在“江苏省固体废物管理系统”</w:t>
                  </w:r>
                  <w:r>
                    <w:rPr>
                      <w:rFonts w:hint="default" w:ascii="Times New Roman" w:hAnsi="Times New Roman" w:cs="Times New Roman" w:eastAsiaTheme="minorEastAsia"/>
                      <w:color w:val="auto"/>
                      <w:sz w:val="18"/>
                      <w:szCs w:val="18"/>
                      <w:lang w:val="en-US" w:eastAsia="zh-CN"/>
                    </w:rPr>
                    <w:t>完善</w:t>
                  </w:r>
                  <w:r>
                    <w:rPr>
                      <w:rFonts w:hint="default" w:ascii="Times New Roman" w:hAnsi="Times New Roman" w:cs="Times New Roman" w:eastAsiaTheme="minorEastAsia"/>
                      <w:color w:val="auto"/>
                      <w:sz w:val="18"/>
                      <w:szCs w:val="18"/>
                    </w:rPr>
                    <w:t>危险废物全过程环境监管。</w:t>
                  </w:r>
                </w:p>
              </w:tc>
              <w:tc>
                <w:tcPr>
                  <w:tcW w:w="718" w:type="dxa"/>
                  <w:tcBorders>
                    <w:tl2br w:val="nil"/>
                    <w:tr2bl w:val="nil"/>
                  </w:tcBorders>
                  <w:noWrap w:val="0"/>
                  <w:vAlign w:val="center"/>
                </w:tcPr>
                <w:p w14:paraId="3ECDFF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3D37F90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restart"/>
                  <w:tcBorders>
                    <w:tl2br w:val="nil"/>
                    <w:tr2bl w:val="nil"/>
                  </w:tcBorders>
                  <w:noWrap w:val="0"/>
                  <w:vAlign w:val="center"/>
                </w:tcPr>
                <w:p w14:paraId="388CF1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《省生态环境厅关于实施厂区内挥发性有机物无组织排放监控要求的通告》（苏环办</w:t>
                  </w:r>
                  <w:r>
                    <w:rPr>
                      <w:rFonts w:hint="eastAsia" w:cs="Times New Roman" w:eastAsiaTheme="minorEastAsia"/>
                      <w:color w:val="auto"/>
                      <w:sz w:val="18"/>
                      <w:szCs w:val="18"/>
                      <w:lang w:eastAsia="zh-CN"/>
                    </w:rPr>
                    <w:t>〔2020〕218号</w:t>
                  </w:r>
                  <w:r>
                    <w:rPr>
                      <w:rFonts w:hint="default" w:ascii="Times New Roman" w:hAnsi="Times New Roman" w:cs="Times New Roman" w:eastAsiaTheme="minorEastAsia"/>
                      <w:color w:val="auto"/>
                      <w:sz w:val="18"/>
                      <w:szCs w:val="18"/>
                    </w:rPr>
                    <w:t>）</w:t>
                  </w:r>
                </w:p>
              </w:tc>
              <w:tc>
                <w:tcPr>
                  <w:tcW w:w="3882" w:type="dxa"/>
                  <w:tcBorders>
                    <w:tl2br w:val="nil"/>
                    <w:tr2bl w:val="nil"/>
                  </w:tcBorders>
                  <w:noWrap w:val="0"/>
                  <w:vAlign w:val="center"/>
                </w:tcPr>
                <w:p w14:paraId="0B1BC4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自2020年7月1日起，我省全面实施《挥发性有机物无组织排放控制标准》附录A“厂区内VOCs无组织排放监控要求”，实施范围为省内涉及VOCs无组织排放的现有企业及新建企业。</w:t>
                  </w:r>
                </w:p>
              </w:tc>
              <w:tc>
                <w:tcPr>
                  <w:tcW w:w="2192" w:type="dxa"/>
                  <w:vMerge w:val="restart"/>
                  <w:tcBorders>
                    <w:tl2br w:val="nil"/>
                    <w:tr2bl w:val="nil"/>
                  </w:tcBorders>
                  <w:noWrap w:val="0"/>
                  <w:vAlign w:val="center"/>
                </w:tcPr>
                <w:p w14:paraId="7A9D4C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项目</w:t>
                  </w:r>
                  <w:r>
                    <w:rPr>
                      <w:rFonts w:hint="default" w:ascii="Times New Roman" w:hAnsi="Times New Roman" w:cs="Times New Roman" w:eastAsiaTheme="minorEastAsia"/>
                      <w:color w:val="auto"/>
                      <w:sz w:val="18"/>
                      <w:szCs w:val="18"/>
                      <w:lang w:val="en-US" w:eastAsia="zh-CN"/>
                    </w:rPr>
                    <w:t>厂界无组织非甲烷总烃执行</w:t>
                  </w:r>
                  <w:r>
                    <w:rPr>
                      <w:rFonts w:hint="default" w:ascii="Times New Roman" w:hAnsi="Times New Roman" w:cs="Times New Roman" w:eastAsiaTheme="minorEastAsia"/>
                      <w:color w:val="auto"/>
                      <w:sz w:val="18"/>
                      <w:szCs w:val="18"/>
                      <w:lang w:eastAsia="zh-CN"/>
                    </w:rPr>
                    <w:t>江苏省地方标准《大气污染物综合排放标准》（DB32/4041-2021）表</w:t>
                  </w:r>
                  <w:r>
                    <w:rPr>
                      <w:rFonts w:hint="default" w:ascii="Times New Roman" w:hAnsi="Times New Roman" w:cs="Times New Roman" w:eastAsiaTheme="minorEastAsia"/>
                      <w:color w:val="auto"/>
                      <w:sz w:val="18"/>
                      <w:szCs w:val="18"/>
                      <w:lang w:val="en-US" w:eastAsia="zh-CN"/>
                    </w:rPr>
                    <w:t>3</w:t>
                  </w:r>
                  <w:r>
                    <w:rPr>
                      <w:rFonts w:hint="default" w:ascii="Times New Roman" w:hAnsi="Times New Roman" w:cs="Times New Roman" w:eastAsiaTheme="minorEastAsia"/>
                      <w:color w:val="auto"/>
                      <w:sz w:val="18"/>
                      <w:szCs w:val="18"/>
                      <w:lang w:eastAsia="zh-CN"/>
                    </w:rPr>
                    <w:t>限值</w:t>
                  </w:r>
                  <w:r>
                    <w:rPr>
                      <w:rFonts w:hint="default" w:ascii="Times New Roman" w:hAnsi="Times New Roman" w:cs="Times New Roman" w:eastAsiaTheme="minorEastAsia"/>
                      <w:color w:val="auto"/>
                      <w:sz w:val="18"/>
                      <w:szCs w:val="18"/>
                      <w:lang w:val="en-US" w:eastAsia="zh-CN"/>
                    </w:rPr>
                    <w:t>；厂区内非甲烷总烃执行</w:t>
                  </w:r>
                  <w:r>
                    <w:rPr>
                      <w:rFonts w:hint="eastAsia" w:cs="Times New Roman" w:eastAsiaTheme="minorEastAsia"/>
                      <w:color w:val="auto"/>
                      <w:sz w:val="18"/>
                      <w:szCs w:val="18"/>
                      <w:lang w:val="en-US" w:eastAsia="zh-CN"/>
                    </w:rPr>
                    <w:t>江苏省地标</w:t>
                  </w:r>
                  <w:r>
                    <w:rPr>
                      <w:rFonts w:hint="default" w:ascii="Times New Roman" w:hAnsi="Times New Roman" w:cs="Times New Roman" w:eastAsiaTheme="minorEastAsia"/>
                      <w:color w:val="auto"/>
                      <w:sz w:val="18"/>
                      <w:szCs w:val="18"/>
                      <w:lang w:eastAsia="zh-CN"/>
                    </w:rPr>
                    <w:t>《大气污染物综合排放标准》（DB32/4041-2021）表</w:t>
                  </w:r>
                  <w:r>
                    <w:rPr>
                      <w:rFonts w:hint="eastAsia" w:ascii="Times New Roman" w:hAnsi="Times New Roman" w:cs="Times New Roman" w:eastAsiaTheme="minorEastAsia"/>
                      <w:color w:val="auto"/>
                      <w:sz w:val="18"/>
                      <w:szCs w:val="18"/>
                      <w:lang w:val="en-US" w:eastAsia="zh-CN"/>
                    </w:rPr>
                    <w:t>2</w:t>
                  </w:r>
                  <w:r>
                    <w:rPr>
                      <w:rFonts w:hint="default" w:ascii="Times New Roman" w:hAnsi="Times New Roman" w:cs="Times New Roman" w:eastAsiaTheme="minorEastAsia"/>
                      <w:color w:val="auto"/>
                      <w:sz w:val="18"/>
                      <w:szCs w:val="18"/>
                      <w:lang w:eastAsia="zh-CN"/>
                    </w:rPr>
                    <w:t>限值</w:t>
                  </w:r>
                </w:p>
              </w:tc>
              <w:tc>
                <w:tcPr>
                  <w:tcW w:w="718" w:type="dxa"/>
                  <w:vMerge w:val="restart"/>
                  <w:tcBorders>
                    <w:tl2br w:val="nil"/>
                    <w:tr2bl w:val="nil"/>
                  </w:tcBorders>
                  <w:noWrap w:val="0"/>
                  <w:vAlign w:val="center"/>
                </w:tcPr>
                <w:p w14:paraId="4FF874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6C610F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506" w:hRule="atLeast"/>
                <w:jc w:val="center"/>
              </w:trPr>
              <w:tc>
                <w:tcPr>
                  <w:tcW w:w="1546" w:type="dxa"/>
                  <w:vMerge w:val="continue"/>
                  <w:tcBorders>
                    <w:tl2br w:val="nil"/>
                    <w:tr2bl w:val="nil"/>
                  </w:tcBorders>
                  <w:noWrap w:val="0"/>
                  <w:vAlign w:val="center"/>
                </w:tcPr>
                <w:p w14:paraId="490C18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0575E3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企业厂区内VOCs无组织排放监控点浓度执行特别排放限值。</w:t>
                  </w:r>
                </w:p>
              </w:tc>
              <w:tc>
                <w:tcPr>
                  <w:tcW w:w="2192" w:type="dxa"/>
                  <w:vMerge w:val="continue"/>
                  <w:tcBorders>
                    <w:tl2br w:val="nil"/>
                    <w:tr2bl w:val="nil"/>
                  </w:tcBorders>
                  <w:noWrap w:val="0"/>
                  <w:vAlign w:val="center"/>
                </w:tcPr>
                <w:p w14:paraId="4D1FB6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718" w:type="dxa"/>
                  <w:vMerge w:val="continue"/>
                  <w:tcBorders>
                    <w:tl2br w:val="nil"/>
                    <w:tr2bl w:val="nil"/>
                  </w:tcBorders>
                  <w:noWrap w:val="0"/>
                  <w:vAlign w:val="center"/>
                </w:tcPr>
                <w:p w14:paraId="2FA287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304088E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145F02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882" w:type="dxa"/>
                  <w:tcBorders>
                    <w:tl2br w:val="nil"/>
                    <w:tr2bl w:val="nil"/>
                  </w:tcBorders>
                  <w:noWrap w:val="0"/>
                  <w:vAlign w:val="center"/>
                </w:tcPr>
                <w:p w14:paraId="058A8F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如新制（修）订标准或发布标准修改单有关规定严于《挥发性有机物无组织排放控制标准》附录A“厂区内VOCs无组织排放监控要求”的，按照更严格标准要求执行。</w:t>
                  </w:r>
                </w:p>
              </w:tc>
              <w:tc>
                <w:tcPr>
                  <w:tcW w:w="2192" w:type="dxa"/>
                  <w:vMerge w:val="continue"/>
                  <w:tcBorders>
                    <w:tl2br w:val="nil"/>
                    <w:tr2bl w:val="nil"/>
                  </w:tcBorders>
                  <w:noWrap w:val="0"/>
                  <w:vAlign w:val="center"/>
                </w:tcPr>
                <w:p w14:paraId="1A36F2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718" w:type="dxa"/>
                  <w:vMerge w:val="continue"/>
                  <w:tcBorders>
                    <w:tl2br w:val="nil"/>
                    <w:tr2bl w:val="nil"/>
                  </w:tcBorders>
                  <w:noWrap w:val="0"/>
                  <w:vAlign w:val="center"/>
                </w:tcPr>
                <w:p w14:paraId="76DE5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r w14:paraId="264B39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546" w:type="dxa"/>
                  <w:tcBorders>
                    <w:tl2br w:val="nil"/>
                    <w:tr2bl w:val="nil"/>
                  </w:tcBorders>
                  <w:noWrap w:val="0"/>
                  <w:vAlign w:val="center"/>
                </w:tcPr>
                <w:p w14:paraId="403E17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《江苏省挥发性有机物污染防治管理办法》</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省政府令119号</w:t>
                  </w:r>
                  <w:r>
                    <w:rPr>
                      <w:rFonts w:hint="eastAsia" w:cs="Times New Roman" w:eastAsiaTheme="minorEastAsia"/>
                      <w:color w:val="auto"/>
                      <w:sz w:val="18"/>
                      <w:szCs w:val="18"/>
                      <w:lang w:eastAsia="zh-CN"/>
                    </w:rPr>
                    <w:t>）</w:t>
                  </w:r>
                </w:p>
              </w:tc>
              <w:tc>
                <w:tcPr>
                  <w:tcW w:w="3882" w:type="dxa"/>
                  <w:tcBorders>
                    <w:tl2br w:val="nil"/>
                    <w:tr2bl w:val="nil"/>
                  </w:tcBorders>
                  <w:noWrap w:val="0"/>
                  <w:vAlign w:val="center"/>
                </w:tcPr>
                <w:p w14:paraId="2530A5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产生挥发性有机物废气的生产经营活动应当在密闭空间或者密闭设备中进行。生产场所、生产设备应当按照环境保护和安全生产等要求设计、安装和有效运行挥发性有机物回收或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192" w:type="dxa"/>
                  <w:tcBorders>
                    <w:tl2br w:val="nil"/>
                    <w:tr2bl w:val="nil"/>
                  </w:tcBorders>
                  <w:noWrap w:val="0"/>
                  <w:vAlign w:val="center"/>
                </w:tcPr>
                <w:p w14:paraId="54B7EE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建设项目实验室产生的</w:t>
                  </w:r>
                  <w:r>
                    <w:rPr>
                      <w:rFonts w:hint="default" w:ascii="Times New Roman" w:hAnsi="Times New Roman" w:cs="Times New Roman" w:eastAsiaTheme="minorEastAsia"/>
                      <w:color w:val="auto"/>
                      <w:sz w:val="18"/>
                      <w:szCs w:val="18"/>
                    </w:rPr>
                    <w:t>有机废气经集气罩收集通过二级活性炭吸附处理后</w:t>
                  </w:r>
                  <w:r>
                    <w:rPr>
                      <w:rFonts w:hint="default" w:ascii="Times New Roman" w:hAnsi="Times New Roman" w:cs="Times New Roman" w:eastAsiaTheme="minorEastAsia"/>
                      <w:color w:val="auto"/>
                      <w:sz w:val="18"/>
                      <w:szCs w:val="18"/>
                      <w:lang w:val="en-US" w:eastAsia="zh-CN"/>
                    </w:rPr>
                    <w:t>达标排放</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val="en-US" w:eastAsia="zh-CN"/>
                    </w:rPr>
                    <w:t>项目涉VOCs原料均</w:t>
                  </w:r>
                  <w:r>
                    <w:rPr>
                      <w:rFonts w:hint="eastAsia" w:cs="Times New Roman" w:eastAsiaTheme="minorEastAsia"/>
                      <w:color w:val="auto"/>
                      <w:sz w:val="18"/>
                      <w:szCs w:val="18"/>
                      <w:lang w:val="en-US" w:eastAsia="zh-CN"/>
                    </w:rPr>
                    <w:t>在化学品专柜</w:t>
                  </w:r>
                  <w:r>
                    <w:rPr>
                      <w:rFonts w:hint="default" w:ascii="Times New Roman" w:hAnsi="Times New Roman" w:cs="Times New Roman" w:eastAsiaTheme="minorEastAsia"/>
                      <w:color w:val="auto"/>
                      <w:sz w:val="18"/>
                      <w:szCs w:val="18"/>
                      <w:lang w:val="en-US" w:eastAsia="zh-CN"/>
                    </w:rPr>
                    <w:t>密闭储存；</w:t>
                  </w:r>
                  <w:r>
                    <w:rPr>
                      <w:rFonts w:hint="default" w:ascii="Times New Roman" w:hAnsi="Times New Roman" w:cs="Times New Roman" w:eastAsiaTheme="minorEastAsia"/>
                      <w:color w:val="auto"/>
                      <w:sz w:val="18"/>
                      <w:szCs w:val="18"/>
                    </w:rPr>
                    <w:t>项目产生的危险废物密闭储存后交有资质单位安全处置。</w:t>
                  </w:r>
                </w:p>
              </w:tc>
              <w:tc>
                <w:tcPr>
                  <w:tcW w:w="718" w:type="dxa"/>
                  <w:tcBorders>
                    <w:tl2br w:val="nil"/>
                    <w:tr2bl w:val="nil"/>
                  </w:tcBorders>
                  <w:noWrap w:val="0"/>
                  <w:vAlign w:val="center"/>
                </w:tcPr>
                <w:p w14:paraId="356771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5577B13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tcBorders>
                    <w:tl2br w:val="nil"/>
                    <w:tr2bl w:val="nil"/>
                  </w:tcBorders>
                  <w:noWrap w:val="0"/>
                  <w:vAlign w:val="center"/>
                </w:tcPr>
                <w:p w14:paraId="6EC746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r>
                    <w:rPr>
                      <w:rFonts w:hint="eastAsia" w:cs="Times New Roman" w:eastAsiaTheme="minorEastAsia"/>
                      <w:color w:val="auto"/>
                      <w:sz w:val="18"/>
                      <w:szCs w:val="18"/>
                      <w:lang w:eastAsia="zh-CN"/>
                    </w:rPr>
                    <w:t>病原微生物实验室生物安全管理条例</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国务院令2004年第424号</w:t>
                  </w:r>
                  <w:r>
                    <w:rPr>
                      <w:rFonts w:hint="default" w:ascii="Times New Roman" w:hAnsi="Times New Roman" w:cs="Times New Roman" w:eastAsiaTheme="minorEastAsia"/>
                      <w:color w:val="auto"/>
                      <w:sz w:val="18"/>
                      <w:szCs w:val="18"/>
                      <w:lang w:eastAsia="zh-CN"/>
                    </w:rPr>
                    <w:t>）</w:t>
                  </w:r>
                </w:p>
              </w:tc>
              <w:tc>
                <w:tcPr>
                  <w:tcW w:w="3882" w:type="dxa"/>
                  <w:tcBorders>
                    <w:tl2br w:val="nil"/>
                    <w:tr2bl w:val="nil"/>
                  </w:tcBorders>
                  <w:noWrap w:val="0"/>
                  <w:vAlign w:val="center"/>
                </w:tcPr>
                <w:p w14:paraId="74F47E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第三十八条、实验室应当依照环境保护的有关法律、行政法规和国务院有关部门的规定，对废水、废气以及其他废物进行处置，并制定相应的环境保护措施，防止环境污染。</w:t>
                  </w:r>
                </w:p>
              </w:tc>
              <w:tc>
                <w:tcPr>
                  <w:tcW w:w="2192" w:type="dxa"/>
                  <w:tcBorders>
                    <w:tl2br w:val="nil"/>
                    <w:tr2bl w:val="nil"/>
                  </w:tcBorders>
                  <w:noWrap w:val="0"/>
                  <w:vAlign w:val="center"/>
                </w:tcPr>
                <w:p w14:paraId="1659B7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本项目实验过程中产生的实验废气经过通风橱/生物安全柜收集经两级活性炭吸附装置处理后达标排放。</w:t>
                  </w:r>
                </w:p>
                <w:p w14:paraId="6C1EFE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实验室仪器及器皿清洗废水、笼具清洗废水经医院现有污水处理站处理达到相应标准后排入市政管网，生活污水化粪池处理后排入市政管网，最终排入涟水县污水处理厂集中处理。</w:t>
                  </w:r>
                </w:p>
                <w:p w14:paraId="710E68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危险废物按照有关规范要求消毒处理后，置于危废间（医疗废物间），委托有资质单位处置。</w:t>
                  </w:r>
                </w:p>
              </w:tc>
              <w:tc>
                <w:tcPr>
                  <w:tcW w:w="718" w:type="dxa"/>
                  <w:tcBorders>
                    <w:tl2br w:val="nil"/>
                    <w:tr2bl w:val="nil"/>
                  </w:tcBorders>
                  <w:noWrap w:val="0"/>
                  <w:vAlign w:val="center"/>
                </w:tcPr>
                <w:p w14:paraId="60CC4F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0D5D4B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tcBorders>
                    <w:tl2br w:val="nil"/>
                    <w:tr2bl w:val="nil"/>
                  </w:tcBorders>
                  <w:noWrap w:val="0"/>
                  <w:vAlign w:val="center"/>
                </w:tcPr>
                <w:p w14:paraId="36945E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《生物安全实验室建筑技术规范》(GB50346-2011)</w:t>
                  </w:r>
                </w:p>
              </w:tc>
              <w:tc>
                <w:tcPr>
                  <w:tcW w:w="3882" w:type="dxa"/>
                  <w:tcBorders>
                    <w:tl2br w:val="nil"/>
                    <w:tr2bl w:val="nil"/>
                  </w:tcBorders>
                  <w:noWrap w:val="0"/>
                  <w:vAlign w:val="center"/>
                </w:tcPr>
                <w:p w14:paraId="6FA6ED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平面布置</w:t>
                  </w:r>
                  <w:r>
                    <w:rPr>
                      <w:rFonts w:hint="eastAsia" w:cs="Times New Roman" w:eastAsiaTheme="minorEastAsia"/>
                      <w:color w:val="auto"/>
                      <w:sz w:val="18"/>
                      <w:szCs w:val="18"/>
                      <w:lang w:val="en-US" w:eastAsia="zh-CN"/>
                    </w:rPr>
                    <w:t>：</w:t>
                  </w:r>
                  <w:r>
                    <w:rPr>
                      <w:rFonts w:hint="default" w:ascii="Times New Roman" w:hAnsi="Times New Roman" w:cs="Times New Roman" w:eastAsiaTheme="minorEastAsia"/>
                      <w:color w:val="auto"/>
                      <w:sz w:val="18"/>
                      <w:szCs w:val="18"/>
                      <w:lang w:val="en-US" w:eastAsia="zh-CN"/>
                    </w:rPr>
                    <w:t>可共用建筑物，与建筑物其他部分可相通，但应设可自动关闭的带锁的门。生物安全实验室应在入口处设置更衣室或更衣柜。二级生物安全实验室应在实验室或实验室所在建筑内配备高压灭菌锅或其他消毒灭菌设备。</w:t>
                  </w:r>
                </w:p>
              </w:tc>
              <w:tc>
                <w:tcPr>
                  <w:tcW w:w="2192" w:type="dxa"/>
                  <w:tcBorders>
                    <w:tl2br w:val="nil"/>
                    <w:tr2bl w:val="nil"/>
                  </w:tcBorders>
                  <w:noWrap w:val="0"/>
                  <w:vAlign w:val="center"/>
                </w:tcPr>
                <w:p w14:paraId="4F8A11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本项目实验室拟配套自动门锁装置。拟设置更衣室并配备高压蒸汽灭菌锅等消毒灭菌设备。</w:t>
                  </w:r>
                </w:p>
              </w:tc>
              <w:tc>
                <w:tcPr>
                  <w:tcW w:w="718" w:type="dxa"/>
                  <w:tcBorders>
                    <w:tl2br w:val="nil"/>
                    <w:tr2bl w:val="nil"/>
                  </w:tcBorders>
                  <w:noWrap w:val="0"/>
                  <w:vAlign w:val="center"/>
                </w:tcPr>
                <w:p w14:paraId="1C9030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sz w:val="18"/>
                      <w:szCs w:val="18"/>
                      <w:lang w:eastAsia="zh-CN"/>
                    </w:rPr>
                  </w:pPr>
                  <w:r>
                    <w:rPr>
                      <w:rFonts w:hint="eastAsia" w:ascii="Times New Roman" w:hAnsi="Times New Roman" w:cs="Times New Roman" w:eastAsiaTheme="minorEastAsia"/>
                      <w:color w:val="auto"/>
                      <w:sz w:val="18"/>
                      <w:szCs w:val="18"/>
                      <w:lang w:eastAsia="zh-CN"/>
                    </w:rPr>
                    <w:t>相符</w:t>
                  </w:r>
                </w:p>
              </w:tc>
            </w:tr>
            <w:tr w14:paraId="68A36D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tcBorders>
                    <w:tl2br w:val="nil"/>
                    <w:tr2bl w:val="nil"/>
                  </w:tcBorders>
                  <w:noWrap w:val="0"/>
                  <w:vAlign w:val="center"/>
                </w:tcPr>
                <w:p w14:paraId="0E2D05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《实验室生物安全通用要求》（GB19489-2008）</w:t>
                  </w:r>
                </w:p>
              </w:tc>
              <w:tc>
                <w:tcPr>
                  <w:tcW w:w="3882" w:type="dxa"/>
                  <w:tcBorders>
                    <w:tl2br w:val="nil"/>
                    <w:tr2bl w:val="nil"/>
                  </w:tcBorders>
                  <w:noWrap w:val="0"/>
                  <w:vAlign w:val="center"/>
                </w:tcPr>
                <w:p w14:paraId="16A3D5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相关管理要求：</w:t>
                  </w:r>
                  <w:r>
                    <w:rPr>
                      <w:rFonts w:hint="default" w:ascii="Times New Roman" w:hAnsi="Times New Roman" w:cs="Times New Roman" w:eastAsiaTheme="minorEastAsia"/>
                      <w:color w:val="auto"/>
                      <w:sz w:val="18"/>
                      <w:szCs w:val="18"/>
                      <w:lang w:val="en-US" w:eastAsia="zh-CN"/>
                    </w:rPr>
                    <w:t>应在操作病原微生物的试验间内配备生物安全柜；危险废物应弃置于专门设计的、专用的和有标识的用于处置危险废物的容器内，装量不得超过建议的装载容量。应在实验室内消毒灭菌含活性高致病性生物因子的废物。</w:t>
                  </w:r>
                </w:p>
              </w:tc>
              <w:tc>
                <w:tcPr>
                  <w:tcW w:w="2192" w:type="dxa"/>
                  <w:tcBorders>
                    <w:tl2br w:val="nil"/>
                    <w:tr2bl w:val="nil"/>
                  </w:tcBorders>
                  <w:noWrap w:val="0"/>
                  <w:vAlign w:val="center"/>
                </w:tcPr>
                <w:p w14:paraId="468C27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本项目拟按要求设置了生物安全柜、产生的危险废物按照有关规范要求消毒处理后，置于依托的危废间（医疗废物间），后委托有资质单位处置。本项目拟配备高压蒸汽灭菌锅，产生的感染性废物经高压蒸汽灭菌处理后，委托有资质单位处置。</w:t>
                  </w:r>
                </w:p>
              </w:tc>
              <w:tc>
                <w:tcPr>
                  <w:tcW w:w="718" w:type="dxa"/>
                  <w:tcBorders>
                    <w:tl2br w:val="nil"/>
                    <w:tr2bl w:val="nil"/>
                  </w:tcBorders>
                  <w:noWrap w:val="0"/>
                  <w:vAlign w:val="center"/>
                </w:tcPr>
                <w:p w14:paraId="2DB5C0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符合</w:t>
                  </w:r>
                </w:p>
              </w:tc>
            </w:tr>
            <w:tr w14:paraId="70F080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0" w:hRule="atLeast"/>
                <w:jc w:val="center"/>
              </w:trPr>
              <w:tc>
                <w:tcPr>
                  <w:tcW w:w="1546" w:type="dxa"/>
                  <w:vMerge w:val="restart"/>
                  <w:tcBorders>
                    <w:tl2br w:val="nil"/>
                    <w:tr2bl w:val="nil"/>
                  </w:tcBorders>
                  <w:noWrap w:val="0"/>
                  <w:vAlign w:val="center"/>
                </w:tcPr>
                <w:p w14:paraId="4D1D0C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《实验室废气污染控制技术规范》(DB32/T4455-2023)</w:t>
                  </w:r>
                </w:p>
              </w:tc>
              <w:tc>
                <w:tcPr>
                  <w:tcW w:w="3882" w:type="dxa"/>
                  <w:tcBorders>
                    <w:tl2br w:val="nil"/>
                    <w:tr2bl w:val="nil"/>
                  </w:tcBorders>
                  <w:noWrap w:val="0"/>
                  <w:vAlign w:val="center"/>
                </w:tcPr>
                <w:p w14:paraId="621882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olor w:val="auto"/>
                      <w:sz w:val="18"/>
                      <w:szCs w:val="18"/>
                    </w:rPr>
                    <w:t>实验室单位产生的废气应经过排风柜或排风罩等方式收集。</w:t>
                  </w:r>
                </w:p>
              </w:tc>
              <w:tc>
                <w:tcPr>
                  <w:tcW w:w="2192" w:type="dxa"/>
                  <w:tcBorders>
                    <w:tl2br w:val="nil"/>
                    <w:tr2bl w:val="nil"/>
                  </w:tcBorders>
                  <w:noWrap w:val="0"/>
                  <w:vAlign w:val="center"/>
                </w:tcPr>
                <w:p w14:paraId="4E2F0D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本项目实验室产生的废气由负压集气柜和通风橱收集。</w:t>
                  </w:r>
                </w:p>
              </w:tc>
              <w:tc>
                <w:tcPr>
                  <w:tcW w:w="718" w:type="dxa"/>
                  <w:tcBorders>
                    <w:tl2br w:val="nil"/>
                    <w:tr2bl w:val="nil"/>
                  </w:tcBorders>
                  <w:noWrap w:val="0"/>
                  <w:vAlign w:val="center"/>
                </w:tcPr>
                <w:p w14:paraId="1D362C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1DC0DF7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0309A9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p>
              </w:tc>
              <w:tc>
                <w:tcPr>
                  <w:tcW w:w="3882" w:type="dxa"/>
                  <w:tcBorders>
                    <w:tl2br w:val="nil"/>
                    <w:tr2bl w:val="nil"/>
                  </w:tcBorders>
                  <w:noWrap w:val="0"/>
                  <w:vAlign w:val="center"/>
                </w:tcPr>
                <w:p w14:paraId="1F9EA2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olor w:val="auto"/>
                      <w:sz w:val="18"/>
                      <w:szCs w:val="18"/>
                    </w:rPr>
                    <w:t>收集废气中NMHC初始排放速率大于或等于2kg/h的实验室单元，废气净化效率不低于80%</w:t>
                  </w:r>
                  <w:r>
                    <w:rPr>
                      <w:rFonts w:hint="eastAsia"/>
                      <w:color w:val="auto"/>
                      <w:sz w:val="18"/>
                      <w:szCs w:val="18"/>
                      <w:lang w:eastAsia="zh-CN"/>
                    </w:rPr>
                    <w:t>：</w:t>
                  </w:r>
                  <w:r>
                    <w:rPr>
                      <w:rFonts w:hint="eastAsia"/>
                      <w:color w:val="auto"/>
                      <w:sz w:val="18"/>
                      <w:szCs w:val="18"/>
                    </w:rPr>
                    <w:t>收集废气中NMHC初始排放速率在0.2kgh~2kg/h</w:t>
                  </w:r>
                  <w:r>
                    <w:rPr>
                      <w:rFonts w:hint="eastAsia"/>
                      <w:color w:val="auto"/>
                      <w:sz w:val="18"/>
                      <w:szCs w:val="18"/>
                      <w:lang w:eastAsia="zh-CN"/>
                    </w:rPr>
                    <w:t>（</w:t>
                  </w:r>
                  <w:r>
                    <w:rPr>
                      <w:rFonts w:hint="eastAsia"/>
                      <w:color w:val="auto"/>
                      <w:sz w:val="18"/>
                      <w:szCs w:val="18"/>
                    </w:rPr>
                    <w:t>含0.2kgh</w:t>
                  </w:r>
                  <w:r>
                    <w:rPr>
                      <w:rFonts w:hint="eastAsia"/>
                      <w:color w:val="auto"/>
                      <w:sz w:val="18"/>
                      <w:szCs w:val="18"/>
                      <w:lang w:eastAsia="zh-CN"/>
                    </w:rPr>
                    <w:t>）</w:t>
                  </w:r>
                  <w:r>
                    <w:rPr>
                      <w:rFonts w:hint="eastAsia"/>
                      <w:color w:val="auto"/>
                      <w:sz w:val="18"/>
                      <w:szCs w:val="18"/>
                    </w:rPr>
                    <w:t>范围内的实验室单元，废气净化效率不低于60%</w:t>
                  </w:r>
                  <w:r>
                    <w:rPr>
                      <w:rFonts w:hint="eastAsia"/>
                      <w:color w:val="auto"/>
                      <w:sz w:val="18"/>
                      <w:szCs w:val="18"/>
                      <w:lang w:eastAsia="zh-CN"/>
                    </w:rPr>
                    <w:t>：</w:t>
                  </w:r>
                  <w:r>
                    <w:rPr>
                      <w:rFonts w:hint="eastAsia"/>
                      <w:color w:val="auto"/>
                      <w:sz w:val="18"/>
                      <w:szCs w:val="18"/>
                    </w:rPr>
                    <w:t>收集废气中NMHC初始排放速率在0.02kgh~0.2kg/h</w:t>
                  </w:r>
                  <w:r>
                    <w:rPr>
                      <w:rFonts w:hint="eastAsia"/>
                      <w:color w:val="auto"/>
                      <w:sz w:val="18"/>
                      <w:szCs w:val="18"/>
                      <w:lang w:eastAsia="zh-CN"/>
                    </w:rPr>
                    <w:t>（</w:t>
                  </w:r>
                  <w:r>
                    <w:rPr>
                      <w:rFonts w:hint="eastAsia"/>
                      <w:color w:val="auto"/>
                      <w:sz w:val="18"/>
                      <w:szCs w:val="18"/>
                    </w:rPr>
                    <w:t>含0.02kg/h</w:t>
                  </w:r>
                  <w:r>
                    <w:rPr>
                      <w:rFonts w:hint="eastAsia"/>
                      <w:color w:val="auto"/>
                      <w:sz w:val="18"/>
                      <w:szCs w:val="18"/>
                      <w:lang w:eastAsia="zh-CN"/>
                    </w:rPr>
                    <w:t>）</w:t>
                  </w:r>
                  <w:r>
                    <w:rPr>
                      <w:rFonts w:hint="eastAsia"/>
                      <w:color w:val="auto"/>
                      <w:sz w:val="18"/>
                      <w:szCs w:val="18"/>
                    </w:rPr>
                    <w:t>范围内的实验室单元，废气净化效率不低于 50%。</w:t>
                  </w:r>
                </w:p>
              </w:tc>
              <w:tc>
                <w:tcPr>
                  <w:tcW w:w="2192" w:type="dxa"/>
                  <w:tcBorders>
                    <w:tl2br w:val="nil"/>
                    <w:tr2bl w:val="nil"/>
                  </w:tcBorders>
                  <w:noWrap w:val="0"/>
                  <w:vAlign w:val="center"/>
                </w:tcPr>
                <w:p w14:paraId="4FC32C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本项目负压集气柜和通风橱收集废气中NMHC初始排放速率小于2kgh，采用二级活性炭处理，处理效率约90%，设计的废气净化效率满足要求。</w:t>
                  </w:r>
                </w:p>
              </w:tc>
              <w:tc>
                <w:tcPr>
                  <w:tcW w:w="718" w:type="dxa"/>
                  <w:tcBorders>
                    <w:tl2br w:val="nil"/>
                    <w:tr2bl w:val="nil"/>
                  </w:tcBorders>
                  <w:noWrap w:val="0"/>
                  <w:vAlign w:val="center"/>
                </w:tcPr>
                <w:p w14:paraId="6C78EB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124EB2D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3AD795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p>
              </w:tc>
              <w:tc>
                <w:tcPr>
                  <w:tcW w:w="3882" w:type="dxa"/>
                  <w:tcBorders>
                    <w:tl2br w:val="nil"/>
                    <w:tr2bl w:val="nil"/>
                  </w:tcBorders>
                  <w:noWrap w:val="0"/>
                  <w:vAlign w:val="center"/>
                </w:tcPr>
                <w:p w14:paraId="4A0EB1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olor w:val="auto"/>
                      <w:sz w:val="18"/>
                      <w:szCs w:val="18"/>
                    </w:rPr>
                    <w:t>有废气产生的实验设备和操作工位宜设置在排风柜中，进行实验操作时排风柜应正常开启，操作口平均面风速不宜低于0.4m/s。排风柜应符合JB/T6412的要求，变风量排风柜应符合JG/T222的要求，可在排风柜出口选配活性炭过滤器。</w:t>
                  </w:r>
                </w:p>
              </w:tc>
              <w:tc>
                <w:tcPr>
                  <w:tcW w:w="2192" w:type="dxa"/>
                  <w:tcBorders>
                    <w:tl2br w:val="nil"/>
                    <w:tr2bl w:val="nil"/>
                  </w:tcBorders>
                  <w:noWrap w:val="0"/>
                  <w:vAlign w:val="center"/>
                </w:tcPr>
                <w:p w14:paraId="36AF8C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本项目实验室产生的废气由通风橱和负压集气收集，设计控制风速0.5m/s，不低于0.4m/s，满足相关规范要求。</w:t>
                  </w:r>
                </w:p>
              </w:tc>
              <w:tc>
                <w:tcPr>
                  <w:tcW w:w="718" w:type="dxa"/>
                  <w:tcBorders>
                    <w:tl2br w:val="nil"/>
                    <w:tr2bl w:val="nil"/>
                  </w:tcBorders>
                  <w:noWrap w:val="0"/>
                  <w:vAlign w:val="center"/>
                </w:tcPr>
                <w:p w14:paraId="20438D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46BF6C2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0AE4D9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p>
              </w:tc>
              <w:tc>
                <w:tcPr>
                  <w:tcW w:w="3882" w:type="dxa"/>
                  <w:tcBorders>
                    <w:tl2br w:val="nil"/>
                    <w:tr2bl w:val="nil"/>
                  </w:tcBorders>
                  <w:noWrap w:val="0"/>
                  <w:vAlign w:val="center"/>
                </w:tcPr>
                <w:p w14:paraId="614238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color w:val="auto"/>
                      <w:sz w:val="18"/>
                      <w:szCs w:val="18"/>
                      <w:lang w:val="en-US" w:eastAsia="zh-CN"/>
                    </w:rPr>
                  </w:pPr>
                  <w:r>
                    <w:rPr>
                      <w:rFonts w:hint="eastAsia"/>
                      <w:color w:val="auto"/>
                      <w:sz w:val="18"/>
                      <w:szCs w:val="18"/>
                    </w:rPr>
                    <w:t>实验室单位应根据废气特性选用适用的净化技术，常见的有吸附法、吸收法等。有机废气可采用吸附法进行处理，采用吸附法时，宜采用原位再生等废吸附剂产生量较低的技术</w:t>
                  </w:r>
                  <w:r>
                    <w:rPr>
                      <w:rFonts w:hint="eastAsia"/>
                      <w:color w:val="auto"/>
                      <w:sz w:val="18"/>
                      <w:szCs w:val="18"/>
                      <w:lang w:eastAsia="zh-CN"/>
                    </w:rPr>
                    <w:t>；</w:t>
                  </w:r>
                  <w:r>
                    <w:rPr>
                      <w:rFonts w:hint="eastAsia"/>
                      <w:color w:val="auto"/>
                      <w:sz w:val="18"/>
                      <w:szCs w:val="18"/>
                    </w:rPr>
                    <w:t>无机废气可采用吸收法或吸附法进行处理</w:t>
                  </w:r>
                  <w:r>
                    <w:rPr>
                      <w:rFonts w:hint="eastAsia"/>
                      <w:color w:val="auto"/>
                      <w:sz w:val="18"/>
                      <w:szCs w:val="18"/>
                      <w:lang w:eastAsia="zh-CN"/>
                    </w:rPr>
                    <w:t>；</w:t>
                  </w:r>
                  <w:r>
                    <w:rPr>
                      <w:rFonts w:hint="eastAsia"/>
                      <w:color w:val="auto"/>
                      <w:sz w:val="18"/>
                      <w:szCs w:val="18"/>
                    </w:rPr>
                    <w:t>混合废气宜采取组合式净化技术。根据技术发展鼓励采用更加高效的技术手段，并根据实际情况采取适当的预处理措施，符合HJ2000的要求</w:t>
                  </w:r>
                  <w:r>
                    <w:rPr>
                      <w:rFonts w:hint="eastAsia"/>
                      <w:color w:val="auto"/>
                      <w:sz w:val="18"/>
                      <w:szCs w:val="18"/>
                      <w:lang w:eastAsia="zh-CN"/>
                    </w:rPr>
                    <w:t>。</w:t>
                  </w:r>
                </w:p>
              </w:tc>
              <w:tc>
                <w:tcPr>
                  <w:tcW w:w="2192" w:type="dxa"/>
                  <w:tcBorders>
                    <w:tl2br w:val="nil"/>
                    <w:tr2bl w:val="nil"/>
                  </w:tcBorders>
                  <w:noWrap w:val="0"/>
                  <w:vAlign w:val="center"/>
                </w:tcPr>
                <w:p w14:paraId="33B820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本项目产生的废气主要为有机废气，采取了二级活性炭吸附处理技术。</w:t>
                  </w:r>
                </w:p>
              </w:tc>
              <w:tc>
                <w:tcPr>
                  <w:tcW w:w="718" w:type="dxa"/>
                  <w:tcBorders>
                    <w:tl2br w:val="nil"/>
                    <w:tr2bl w:val="nil"/>
                  </w:tcBorders>
                  <w:noWrap w:val="0"/>
                  <w:vAlign w:val="center"/>
                </w:tcPr>
                <w:p w14:paraId="17917B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2CAF69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21A591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p>
              </w:tc>
              <w:tc>
                <w:tcPr>
                  <w:tcW w:w="3882" w:type="dxa"/>
                  <w:tcBorders>
                    <w:tl2br w:val="nil"/>
                    <w:tr2bl w:val="nil"/>
                  </w:tcBorders>
                  <w:noWrap w:val="0"/>
                  <w:vAlign w:val="center"/>
                </w:tcPr>
                <w:p w14:paraId="3BB4AE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rPr>
                  </w:pPr>
                  <w:r>
                    <w:rPr>
                      <w:rFonts w:hint="eastAsia"/>
                      <w:color w:val="auto"/>
                      <w:sz w:val="18"/>
                      <w:szCs w:val="18"/>
                    </w:rPr>
                    <w:t>吸附法处理有机废气可采用活性炭、活性炭纤维等作为吸附介质，并满足以下要求。</w:t>
                  </w:r>
                </w:p>
                <w:p w14:paraId="2263E6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rPr>
                  </w:pPr>
                  <w:r>
                    <w:rPr>
                      <w:rFonts w:hint="eastAsia"/>
                      <w:color w:val="auto"/>
                      <w:sz w:val="18"/>
                      <w:szCs w:val="18"/>
                    </w:rPr>
                    <w:t>a</w:t>
                  </w:r>
                  <w:r>
                    <w:rPr>
                      <w:rFonts w:hint="eastAsia"/>
                      <w:color w:val="auto"/>
                      <w:sz w:val="18"/>
                      <w:szCs w:val="18"/>
                      <w:lang w:eastAsia="zh-CN"/>
                    </w:rPr>
                    <w:t>）</w:t>
                  </w:r>
                  <w:r>
                    <w:rPr>
                      <w:rFonts w:hint="eastAsia"/>
                      <w:color w:val="auto"/>
                      <w:sz w:val="18"/>
                      <w:szCs w:val="18"/>
                    </w:rPr>
                    <w:t>选用的颗粒活性炭碘值不应低于800mg/g，四氯化碳吸附率不应低于50%</w:t>
                  </w:r>
                  <w:r>
                    <w:rPr>
                      <w:rFonts w:hint="eastAsia"/>
                      <w:color w:val="auto"/>
                      <w:sz w:val="18"/>
                      <w:szCs w:val="18"/>
                      <w:lang w:eastAsia="zh-CN"/>
                    </w:rPr>
                    <w:t>；</w:t>
                  </w:r>
                  <w:r>
                    <w:rPr>
                      <w:rFonts w:hint="eastAsia"/>
                      <w:color w:val="auto"/>
                      <w:sz w:val="18"/>
                      <w:szCs w:val="18"/>
                    </w:rPr>
                    <w:t>选用的蜂窝活性炭碘值不应低于650mg/g，四氯化碳吸附率不应低于35%</w:t>
                  </w:r>
                  <w:r>
                    <w:rPr>
                      <w:rFonts w:hint="eastAsia"/>
                      <w:color w:val="auto"/>
                      <w:sz w:val="18"/>
                      <w:szCs w:val="18"/>
                      <w:lang w:eastAsia="zh-CN"/>
                    </w:rPr>
                    <w:t>；</w:t>
                  </w:r>
                  <w:r>
                    <w:rPr>
                      <w:rFonts w:hint="eastAsia"/>
                      <w:color w:val="auto"/>
                      <w:sz w:val="18"/>
                      <w:szCs w:val="18"/>
                    </w:rPr>
                    <w:t>其他性能指标应符合GB/T7701.1的要求。选用的</w:t>
                  </w:r>
                  <w:r>
                    <w:rPr>
                      <w:rFonts w:hint="eastAsia"/>
                      <w:color w:val="auto"/>
                      <w:sz w:val="18"/>
                      <w:szCs w:val="18"/>
                      <w:lang w:eastAsia="zh-CN"/>
                    </w:rPr>
                    <w:t>活性碳</w:t>
                  </w:r>
                  <w:r>
                    <w:rPr>
                      <w:rFonts w:hint="eastAsia"/>
                      <w:color w:val="auto"/>
                      <w:sz w:val="18"/>
                      <w:szCs w:val="18"/>
                    </w:rPr>
                    <w:t>纤维比表面积不应低于1100m</w:t>
                  </w:r>
                  <w:r>
                    <w:rPr>
                      <w:rFonts w:hint="eastAsia"/>
                      <w:color w:val="auto"/>
                      <w:sz w:val="18"/>
                      <w:szCs w:val="18"/>
                      <w:vertAlign w:val="superscript"/>
                      <w:lang w:val="en-US" w:eastAsia="zh-CN"/>
                    </w:rPr>
                    <w:t>2</w:t>
                  </w:r>
                  <w:r>
                    <w:rPr>
                      <w:rFonts w:hint="eastAsia"/>
                      <w:color w:val="auto"/>
                      <w:sz w:val="18"/>
                      <w:szCs w:val="18"/>
                    </w:rPr>
                    <w:t>/g</w:t>
                  </w:r>
                  <w:r>
                    <w:rPr>
                      <w:rFonts w:hint="eastAsia"/>
                      <w:color w:val="auto"/>
                      <w:sz w:val="18"/>
                      <w:szCs w:val="18"/>
                      <w:lang w:eastAsia="zh-CN"/>
                    </w:rPr>
                    <w:t>，其他</w:t>
                  </w:r>
                  <w:r>
                    <w:rPr>
                      <w:rFonts w:hint="eastAsia"/>
                      <w:color w:val="auto"/>
                      <w:sz w:val="18"/>
                      <w:szCs w:val="18"/>
                    </w:rPr>
                    <w:t>性能指标应符合HG/T3922的要求。</w:t>
                  </w:r>
                  <w:r>
                    <w:rPr>
                      <w:rFonts w:hint="eastAsia"/>
                      <w:color w:val="auto"/>
                      <w:sz w:val="18"/>
                      <w:szCs w:val="18"/>
                      <w:lang w:eastAsia="zh-CN"/>
                    </w:rPr>
                    <w:t>其他</w:t>
                  </w:r>
                  <w:r>
                    <w:rPr>
                      <w:rFonts w:hint="eastAsia"/>
                      <w:color w:val="auto"/>
                      <w:sz w:val="18"/>
                      <w:szCs w:val="18"/>
                    </w:rPr>
                    <w:t>吸附剂的选择应符合HJ2026的相关规定。</w:t>
                  </w:r>
                </w:p>
                <w:p w14:paraId="557A9B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rPr>
                  </w:pPr>
                  <w:r>
                    <w:rPr>
                      <w:rFonts w:hint="eastAsia"/>
                      <w:color w:val="auto"/>
                      <w:sz w:val="18"/>
                      <w:szCs w:val="18"/>
                    </w:rPr>
                    <w:t>b</w:t>
                  </w:r>
                  <w:r>
                    <w:rPr>
                      <w:rFonts w:hint="eastAsia"/>
                      <w:color w:val="auto"/>
                      <w:sz w:val="18"/>
                      <w:szCs w:val="18"/>
                      <w:lang w:eastAsia="zh-CN"/>
                    </w:rPr>
                    <w:t>）</w:t>
                  </w:r>
                  <w:r>
                    <w:rPr>
                      <w:rFonts w:hint="eastAsia"/>
                      <w:color w:val="auto"/>
                      <w:sz w:val="18"/>
                      <w:szCs w:val="18"/>
                    </w:rPr>
                    <w:t>吸附法处理有机废气的工艺设计应符合 HJ2026和HJ/T386的相关规定，废气在吸附装置中应有足够的停留时间，应大于0.3s。</w:t>
                  </w:r>
                </w:p>
                <w:p w14:paraId="010AA3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olor w:val="auto"/>
                      <w:sz w:val="18"/>
                      <w:szCs w:val="18"/>
                    </w:rPr>
                    <w:t>c</w:t>
                  </w:r>
                  <w:r>
                    <w:rPr>
                      <w:rFonts w:hint="eastAsia"/>
                      <w:color w:val="auto"/>
                      <w:sz w:val="18"/>
                      <w:szCs w:val="18"/>
                      <w:lang w:eastAsia="zh-CN"/>
                    </w:rPr>
                    <w:t>）</w:t>
                  </w:r>
                  <w:r>
                    <w:rPr>
                      <w:rFonts w:hint="eastAsia"/>
                      <w:color w:val="auto"/>
                      <w:sz w:val="18"/>
                      <w:szCs w:val="18"/>
                    </w:rPr>
                    <w:t>应根据废气排放特征，明确吸附剂更换周期，不宜超过6个月，有环境影响评价或者排污许可证等法定文件时，可按其核定的更换周期执行，具有原位再生功能的吸附剂可根据再生后吸附性能情况适当延长更换周期。</w:t>
                  </w:r>
                </w:p>
              </w:tc>
              <w:tc>
                <w:tcPr>
                  <w:tcW w:w="2192" w:type="dxa"/>
                  <w:tcBorders>
                    <w:tl2br w:val="nil"/>
                    <w:tr2bl w:val="nil"/>
                  </w:tcBorders>
                  <w:noWrap w:val="0"/>
                  <w:vAlign w:val="center"/>
                </w:tcPr>
                <w:p w14:paraId="73A878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本项目实验室拟采用颗粒活性炭的碘吸附值&gt;800mg/g，在废气处理装置中停留时间大于0.3s；根据计算本项目废气处理设施年累计运行2个月更换一次活性炭。</w:t>
                  </w:r>
                </w:p>
              </w:tc>
              <w:tc>
                <w:tcPr>
                  <w:tcW w:w="718" w:type="dxa"/>
                  <w:tcBorders>
                    <w:tl2br w:val="nil"/>
                    <w:tr2bl w:val="nil"/>
                  </w:tcBorders>
                  <w:noWrap w:val="0"/>
                  <w:vAlign w:val="center"/>
                </w:tcPr>
                <w:p w14:paraId="63727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2E62940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vMerge w:val="continue"/>
                  <w:tcBorders>
                    <w:tl2br w:val="nil"/>
                    <w:tr2bl w:val="nil"/>
                  </w:tcBorders>
                  <w:noWrap w:val="0"/>
                  <w:vAlign w:val="center"/>
                </w:tcPr>
                <w:p w14:paraId="3C0B76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p>
              </w:tc>
              <w:tc>
                <w:tcPr>
                  <w:tcW w:w="3882" w:type="dxa"/>
                  <w:tcBorders>
                    <w:tl2br w:val="nil"/>
                    <w:tr2bl w:val="nil"/>
                  </w:tcBorders>
                  <w:noWrap w:val="0"/>
                  <w:vAlign w:val="center"/>
                </w:tcPr>
                <w:p w14:paraId="77A0DF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废气净化装置产生的危险废物，应按 GB18597 和HJ2025 等危险废物贮存、转移、处置等相关要求进行环境管理。</w:t>
                  </w:r>
                </w:p>
              </w:tc>
              <w:tc>
                <w:tcPr>
                  <w:tcW w:w="2192" w:type="dxa"/>
                  <w:tcBorders>
                    <w:tl2br w:val="nil"/>
                    <w:tr2bl w:val="nil"/>
                  </w:tcBorders>
                  <w:noWrap w:val="0"/>
                  <w:vAlign w:val="center"/>
                </w:tcPr>
                <w:p w14:paraId="37DEBD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eastAsiaTheme="minorEastAsia"/>
                      <w:color w:val="auto"/>
                      <w:sz w:val="18"/>
                      <w:szCs w:val="18"/>
                      <w:lang w:val="en-US" w:eastAsia="zh-CN"/>
                    </w:rPr>
                  </w:pPr>
                  <w:r>
                    <w:rPr>
                      <w:rFonts w:hint="eastAsia"/>
                      <w:color w:val="auto"/>
                      <w:sz w:val="18"/>
                      <w:szCs w:val="18"/>
                    </w:rPr>
                    <w:t>本项目实验室产生的废活性炭作为危险废物委托有资质单位处理，废活性炭贮存、转移、处置按照相关要求管理。</w:t>
                  </w:r>
                </w:p>
              </w:tc>
              <w:tc>
                <w:tcPr>
                  <w:tcW w:w="718" w:type="dxa"/>
                  <w:tcBorders>
                    <w:tl2br w:val="nil"/>
                    <w:tr2bl w:val="nil"/>
                  </w:tcBorders>
                  <w:noWrap w:val="0"/>
                  <w:vAlign w:val="center"/>
                </w:tcPr>
                <w:p w14:paraId="326FFE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符合</w:t>
                  </w:r>
                </w:p>
              </w:tc>
            </w:tr>
            <w:tr w14:paraId="4602FE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tcBorders>
                    <w:tl2br w:val="nil"/>
                    <w:tr2bl w:val="nil"/>
                  </w:tcBorders>
                  <w:noWrap w:val="0"/>
                  <w:vAlign w:val="center"/>
                </w:tcPr>
                <w:p w14:paraId="617987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《省政府关于印发大运河江苏段核心监控区国土空间管控暂行办法的通知》（苏政发</w:t>
                  </w:r>
                  <w:r>
                    <w:rPr>
                      <w:rFonts w:hint="eastAsia" w:cs="Times New Roman" w:eastAsiaTheme="minorEastAsia"/>
                      <w:color w:val="auto"/>
                      <w:sz w:val="18"/>
                      <w:szCs w:val="18"/>
                      <w:lang w:eastAsia="zh-CN"/>
                    </w:rPr>
                    <w:t>〔2021〕20号</w:t>
                  </w:r>
                  <w:r>
                    <w:rPr>
                      <w:rFonts w:hint="default" w:ascii="Times New Roman" w:hAnsi="Times New Roman" w:cs="Times New Roman" w:eastAsiaTheme="minorEastAsia"/>
                      <w:color w:val="auto"/>
                      <w:sz w:val="18"/>
                      <w:szCs w:val="18"/>
                    </w:rPr>
                    <w:t>）</w:t>
                  </w:r>
                </w:p>
              </w:tc>
              <w:tc>
                <w:tcPr>
                  <w:tcW w:w="3882" w:type="dxa"/>
                  <w:tcBorders>
                    <w:tl2br w:val="nil"/>
                    <w:tr2bl w:val="nil"/>
                  </w:tcBorders>
                  <w:noWrap w:val="0"/>
                  <w:vAlign w:val="center"/>
                </w:tcPr>
                <w:p w14:paraId="6F344A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第二条</w:t>
                  </w:r>
                  <w:r>
                    <w:rPr>
                      <w:rFonts w:hint="default" w:ascii="Times New Roman" w:hAnsi="Times New Roman" w:cs="Times New Roman" w:eastAsiaTheme="minorEastAsia"/>
                      <w:color w:val="auto"/>
                      <w:sz w:val="18"/>
                      <w:szCs w:val="18"/>
                    </w:rPr>
                    <w:t>在大运河江苏段核心监控区内从事各类国土空间保护与开发利用活动，应遵守本办法。</w:t>
                  </w:r>
                </w:p>
                <w:p w14:paraId="4D19B4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第三条</w:t>
                  </w:r>
                  <w:r>
                    <w:rPr>
                      <w:rFonts w:hint="default" w:ascii="Times New Roman" w:hAnsi="Times New Roman" w:cs="Times New Roman" w:eastAsiaTheme="minorEastAsia"/>
                      <w:color w:val="auto"/>
                      <w:sz w:val="18"/>
                      <w:szCs w:val="18"/>
                    </w:rPr>
                    <w:t>本办法所称核心监控区，是指大运河江苏段主河道两岸各2千米的范围。滨河生态空间，是指核心监控区内，原则上除建成区（城市、建制镇）外，大运河江苏段主河道两岸各1千米的范围。</w:t>
                  </w:r>
                </w:p>
              </w:tc>
              <w:tc>
                <w:tcPr>
                  <w:tcW w:w="2192" w:type="dxa"/>
                  <w:vMerge w:val="restart"/>
                  <w:tcBorders>
                    <w:tl2br w:val="nil"/>
                    <w:tr2bl w:val="nil"/>
                  </w:tcBorders>
                  <w:noWrap w:val="0"/>
                  <w:vAlign w:val="center"/>
                </w:tcPr>
                <w:p w14:paraId="4008BC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eastAsia" w:cs="Times New Roman" w:eastAsiaTheme="minorEastAsia"/>
                      <w:color w:val="auto"/>
                      <w:sz w:val="18"/>
                      <w:szCs w:val="18"/>
                      <w:lang w:val="en-US" w:eastAsia="zh-CN"/>
                    </w:rPr>
                    <w:t>建设项目</w:t>
                  </w:r>
                  <w:r>
                    <w:rPr>
                      <w:rFonts w:hint="eastAsia" w:cs="Times New Roman" w:eastAsiaTheme="minorEastAsia"/>
                      <w:color w:val="auto"/>
                      <w:sz w:val="18"/>
                      <w:szCs w:val="18"/>
                      <w:lang w:eastAsia="zh-CN"/>
                    </w:rPr>
                    <w:t>不在大运河</w:t>
                  </w:r>
                  <w:r>
                    <w:rPr>
                      <w:rFonts w:hint="default" w:ascii="Times New Roman" w:hAnsi="Times New Roman" w:cs="Times New Roman" w:eastAsiaTheme="minorEastAsia"/>
                      <w:color w:val="auto"/>
                      <w:sz w:val="18"/>
                      <w:szCs w:val="18"/>
                    </w:rPr>
                    <w:t>生态空间范围</w:t>
                  </w:r>
                  <w:r>
                    <w:rPr>
                      <w:rFonts w:hint="eastAsia" w:cs="Times New Roman" w:eastAsiaTheme="minorEastAsia"/>
                      <w:color w:val="auto"/>
                      <w:sz w:val="18"/>
                      <w:szCs w:val="18"/>
                      <w:lang w:eastAsia="zh-CN"/>
                    </w:rPr>
                    <w:t>区域</w:t>
                  </w:r>
                  <w:r>
                    <w:rPr>
                      <w:rFonts w:hint="default" w:ascii="Times New Roman" w:hAnsi="Times New Roman" w:cs="Times New Roman" w:eastAsiaTheme="minorEastAsia"/>
                      <w:color w:val="auto"/>
                      <w:sz w:val="18"/>
                      <w:szCs w:val="18"/>
                    </w:rPr>
                    <w:t>内。</w:t>
                  </w:r>
                </w:p>
              </w:tc>
              <w:tc>
                <w:tcPr>
                  <w:tcW w:w="718" w:type="dxa"/>
                  <w:vMerge w:val="restart"/>
                  <w:tcBorders>
                    <w:tl2br w:val="nil"/>
                    <w:tr2bl w:val="nil"/>
                  </w:tcBorders>
                  <w:noWrap w:val="0"/>
                  <w:vAlign w:val="center"/>
                </w:tcPr>
                <w:p w14:paraId="0DC64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符合</w:t>
                  </w:r>
                </w:p>
              </w:tc>
            </w:tr>
            <w:tr w14:paraId="5BD230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1546" w:type="dxa"/>
                  <w:tcBorders>
                    <w:tl2br w:val="nil"/>
                    <w:tr2bl w:val="nil"/>
                  </w:tcBorders>
                  <w:noWrap w:val="0"/>
                  <w:vAlign w:val="center"/>
                </w:tcPr>
                <w:p w14:paraId="277F5D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《市政府关于印发大运河淮安段核心监控区国土空间管控细则的通知》（淮政规</w:t>
                  </w:r>
                  <w:r>
                    <w:rPr>
                      <w:rFonts w:hint="eastAsia" w:cs="Times New Roman" w:eastAsiaTheme="minorEastAsia"/>
                      <w:color w:val="auto"/>
                      <w:sz w:val="18"/>
                      <w:szCs w:val="18"/>
                      <w:lang w:eastAsia="zh-CN"/>
                    </w:rPr>
                    <w:t>〔2022〕8号</w:t>
                  </w:r>
                  <w:r>
                    <w:rPr>
                      <w:rFonts w:hint="default" w:ascii="Times New Roman" w:hAnsi="Times New Roman" w:cs="Times New Roman" w:eastAsiaTheme="minorEastAsia"/>
                      <w:color w:val="auto"/>
                      <w:sz w:val="18"/>
                      <w:szCs w:val="18"/>
                    </w:rPr>
                    <w:t>）</w:t>
                  </w:r>
                </w:p>
              </w:tc>
              <w:tc>
                <w:tcPr>
                  <w:tcW w:w="3882" w:type="dxa"/>
                  <w:tcBorders>
                    <w:tl2br w:val="nil"/>
                    <w:tr2bl w:val="nil"/>
                  </w:tcBorders>
                  <w:noWrap w:val="0"/>
                  <w:vAlign w:val="center"/>
                </w:tcPr>
                <w:p w14:paraId="1995EF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第二条</w:t>
                  </w:r>
                  <w:r>
                    <w:rPr>
                      <w:rFonts w:hint="default" w:ascii="Times New Roman" w:hAnsi="Times New Roman" w:cs="Times New Roman" w:eastAsiaTheme="minorEastAsia"/>
                      <w:color w:val="auto"/>
                      <w:sz w:val="18"/>
                      <w:szCs w:val="18"/>
                    </w:rPr>
                    <w:t>在大运河淮安段核心监控区内从事各类国土空间保护与开发利用活动，应当遵守本细则。本细则所称大运河淮安段核心监控区，是指大运河淮安段、张福河两侧河道岸线临水边界线外各2千米的范围。</w:t>
                  </w:r>
                </w:p>
                <w:p w14:paraId="560610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b/>
                      <w:color w:val="auto"/>
                      <w:sz w:val="18"/>
                      <w:szCs w:val="18"/>
                    </w:rPr>
                    <w:t>第四条</w:t>
                  </w:r>
                  <w:r>
                    <w:rPr>
                      <w:rFonts w:hint="default" w:ascii="Times New Roman" w:hAnsi="Times New Roman" w:cs="Times New Roman" w:eastAsiaTheme="minorEastAsia"/>
                      <w:color w:val="auto"/>
                      <w:sz w:val="18"/>
                      <w:szCs w:val="18"/>
                    </w:rPr>
                    <w:t>本细则所称滨河生态空间，是指核心监控区内，原则上除建成区（城市、建制镇）外，大运河淮安段、张福河两侧河道岸线临水边界线外各1千米的范围。</w:t>
                  </w:r>
                </w:p>
              </w:tc>
              <w:tc>
                <w:tcPr>
                  <w:tcW w:w="2192" w:type="dxa"/>
                  <w:vMerge w:val="continue"/>
                  <w:tcBorders>
                    <w:tl2br w:val="nil"/>
                    <w:tr2bl w:val="nil"/>
                  </w:tcBorders>
                  <w:noWrap w:val="0"/>
                  <w:vAlign w:val="center"/>
                </w:tcPr>
                <w:p w14:paraId="6666B4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718" w:type="dxa"/>
                  <w:vMerge w:val="continue"/>
                  <w:tcBorders>
                    <w:tl2br w:val="nil"/>
                    <w:tr2bl w:val="nil"/>
                  </w:tcBorders>
                  <w:noWrap w:val="0"/>
                  <w:vAlign w:val="center"/>
                </w:tcPr>
                <w:p w14:paraId="187FE0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r>
          </w:tbl>
          <w:p w14:paraId="7250CCB3">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根据上表分析可知，</w:t>
            </w:r>
            <w:r>
              <w:rPr>
                <w:rFonts w:hint="eastAsia"/>
                <w:color w:val="auto"/>
                <w:lang w:val="en-US" w:eastAsia="zh-CN"/>
              </w:rPr>
              <w:t>建设项目</w:t>
            </w:r>
            <w:r>
              <w:rPr>
                <w:rFonts w:hint="eastAsia"/>
                <w:color w:val="auto"/>
              </w:rPr>
              <w:t>与国家、江苏省、淮安市相关环保法规、指南中的相关要求是相符的</w:t>
            </w:r>
            <w:r>
              <w:rPr>
                <w:rFonts w:hint="eastAsia"/>
                <w:color w:val="auto"/>
                <w:lang w:eastAsia="zh-CN"/>
              </w:rPr>
              <w:t>。</w:t>
            </w:r>
          </w:p>
          <w:p w14:paraId="0DF60F81">
            <w:pPr>
              <w:keepNext w:val="0"/>
              <w:keepLines w:val="0"/>
              <w:suppressLineNumbers w:val="0"/>
              <w:bidi w:val="0"/>
              <w:spacing w:before="0" w:beforeAutospacing="0" w:after="0" w:afterAutospacing="0"/>
              <w:ind w:left="0" w:right="0" w:firstLine="0" w:firstLineChars="0"/>
              <w:rPr>
                <w:rFonts w:hint="eastAsia" w:cs="Times New Roman"/>
                <w:color w:val="auto"/>
                <w:kern w:val="0"/>
                <w:sz w:val="21"/>
                <w:szCs w:val="20"/>
                <w:lang w:val="en-US" w:eastAsia="zh-CN"/>
              </w:rPr>
            </w:pPr>
          </w:p>
          <w:p w14:paraId="390E0248">
            <w:pPr>
              <w:keepNext w:val="0"/>
              <w:keepLines w:val="0"/>
              <w:suppressLineNumbers w:val="0"/>
              <w:bidi w:val="0"/>
              <w:spacing w:before="0" w:beforeAutospacing="0" w:after="0" w:afterAutospacing="0"/>
              <w:ind w:left="0" w:right="0" w:firstLine="0" w:firstLineChars="0"/>
              <w:rPr>
                <w:rFonts w:hint="eastAsia" w:cs="Times New Roman"/>
                <w:color w:val="auto"/>
                <w:kern w:val="0"/>
                <w:sz w:val="21"/>
                <w:szCs w:val="20"/>
                <w:lang w:val="en-US" w:eastAsia="zh-CN"/>
              </w:rPr>
            </w:pPr>
          </w:p>
          <w:p w14:paraId="397994F5">
            <w:pPr>
              <w:keepNext w:val="0"/>
              <w:keepLines w:val="0"/>
              <w:suppressLineNumbers w:val="0"/>
              <w:bidi w:val="0"/>
              <w:spacing w:before="0" w:beforeAutospacing="0" w:after="0" w:afterAutospacing="0"/>
              <w:ind w:left="0" w:right="0" w:firstLine="0" w:firstLineChars="0"/>
              <w:rPr>
                <w:rFonts w:hint="eastAsia" w:cs="Times New Roman"/>
                <w:color w:val="auto"/>
                <w:kern w:val="0"/>
                <w:sz w:val="21"/>
                <w:szCs w:val="20"/>
                <w:lang w:val="en-US" w:eastAsia="zh-CN"/>
              </w:rPr>
            </w:pPr>
          </w:p>
          <w:p w14:paraId="712572FE">
            <w:pPr>
              <w:keepNext w:val="0"/>
              <w:keepLines w:val="0"/>
              <w:suppressLineNumbers w:val="0"/>
              <w:bidi w:val="0"/>
              <w:spacing w:before="0" w:beforeAutospacing="0" w:after="0" w:afterAutospacing="0"/>
              <w:ind w:left="0" w:right="0" w:firstLine="0" w:firstLineChars="0"/>
              <w:rPr>
                <w:rFonts w:hint="eastAsia" w:cs="Times New Roman"/>
                <w:color w:val="auto"/>
                <w:kern w:val="0"/>
                <w:sz w:val="21"/>
                <w:szCs w:val="20"/>
                <w:lang w:val="en-US" w:eastAsia="zh-CN"/>
              </w:rPr>
            </w:pPr>
          </w:p>
          <w:p w14:paraId="003D4717">
            <w:pPr>
              <w:keepNext w:val="0"/>
              <w:keepLines w:val="0"/>
              <w:suppressLineNumbers w:val="0"/>
              <w:bidi w:val="0"/>
              <w:spacing w:before="0" w:beforeAutospacing="0" w:after="0" w:afterAutospacing="0"/>
              <w:ind w:left="0" w:right="0" w:firstLine="0" w:firstLineChars="0"/>
              <w:rPr>
                <w:rFonts w:hint="eastAsia" w:cs="Times New Roman"/>
                <w:color w:val="auto"/>
                <w:kern w:val="0"/>
                <w:sz w:val="21"/>
                <w:szCs w:val="20"/>
                <w:lang w:val="en-US" w:eastAsia="zh-CN"/>
              </w:rPr>
            </w:pPr>
          </w:p>
          <w:p w14:paraId="3194C938">
            <w:pPr>
              <w:keepNext w:val="0"/>
              <w:keepLines w:val="0"/>
              <w:suppressLineNumbers w:val="0"/>
              <w:bidi w:val="0"/>
              <w:spacing w:before="0" w:beforeAutospacing="0" w:after="0" w:afterAutospacing="0"/>
              <w:ind w:left="0" w:right="0" w:firstLine="0" w:firstLineChars="0"/>
              <w:rPr>
                <w:rFonts w:hint="eastAsia" w:cs="Times New Roman"/>
                <w:color w:val="auto"/>
                <w:kern w:val="0"/>
                <w:sz w:val="21"/>
                <w:szCs w:val="20"/>
                <w:lang w:val="en-US" w:eastAsia="zh-CN"/>
              </w:rPr>
            </w:pPr>
          </w:p>
          <w:p w14:paraId="7B5C8510">
            <w:pPr>
              <w:keepNext w:val="0"/>
              <w:keepLines w:val="0"/>
              <w:suppressLineNumbers w:val="0"/>
              <w:bidi w:val="0"/>
              <w:spacing w:before="0" w:beforeAutospacing="0" w:after="0" w:afterAutospacing="0"/>
              <w:ind w:left="0" w:right="0" w:firstLine="0" w:firstLineChars="0"/>
              <w:rPr>
                <w:rFonts w:hint="eastAsia" w:cs="Times New Roman"/>
                <w:color w:val="auto"/>
                <w:kern w:val="0"/>
                <w:sz w:val="21"/>
                <w:szCs w:val="20"/>
                <w:lang w:val="en-US" w:eastAsia="zh-CN"/>
              </w:rPr>
            </w:pPr>
          </w:p>
          <w:p w14:paraId="38621FE4">
            <w:pPr>
              <w:keepNext w:val="0"/>
              <w:keepLines w:val="0"/>
              <w:suppressLineNumbers w:val="0"/>
              <w:bidi w:val="0"/>
              <w:spacing w:before="0" w:beforeAutospacing="0" w:after="0" w:afterAutospacing="0"/>
              <w:ind w:left="0" w:right="0" w:firstLine="0" w:firstLineChars="0"/>
              <w:rPr>
                <w:rFonts w:hint="eastAsia" w:cs="Times New Roman"/>
                <w:color w:val="auto"/>
                <w:kern w:val="0"/>
                <w:sz w:val="21"/>
                <w:szCs w:val="20"/>
                <w:lang w:val="en-US" w:eastAsia="zh-CN"/>
              </w:rPr>
            </w:pPr>
          </w:p>
          <w:p w14:paraId="68A7A9DB">
            <w:pPr>
              <w:keepNext w:val="0"/>
              <w:keepLines w:val="0"/>
              <w:suppressLineNumbers w:val="0"/>
              <w:bidi w:val="0"/>
              <w:spacing w:before="0" w:beforeAutospacing="0" w:after="0" w:afterAutospacing="0"/>
              <w:ind w:left="0" w:right="0" w:firstLine="0" w:firstLineChars="0"/>
              <w:rPr>
                <w:rFonts w:hint="eastAsia" w:cs="Times New Roman"/>
                <w:color w:val="auto"/>
                <w:kern w:val="0"/>
                <w:sz w:val="21"/>
                <w:szCs w:val="20"/>
                <w:lang w:val="en-US" w:eastAsia="zh-CN"/>
              </w:rPr>
            </w:pPr>
          </w:p>
          <w:p w14:paraId="0925CCFF">
            <w:pPr>
              <w:keepNext w:val="0"/>
              <w:keepLines w:val="0"/>
              <w:suppressLineNumbers w:val="0"/>
              <w:bidi w:val="0"/>
              <w:spacing w:before="0" w:beforeAutospacing="0" w:after="0" w:afterAutospacing="0"/>
              <w:ind w:left="0" w:right="0" w:firstLine="0" w:firstLineChars="0"/>
              <w:rPr>
                <w:rFonts w:hint="eastAsia" w:cs="Times New Roman"/>
                <w:color w:val="auto"/>
                <w:kern w:val="0"/>
                <w:sz w:val="21"/>
                <w:szCs w:val="20"/>
                <w:lang w:val="en-US" w:eastAsia="zh-CN"/>
              </w:rPr>
            </w:pPr>
          </w:p>
          <w:p w14:paraId="314B9BD5">
            <w:pPr>
              <w:keepNext w:val="0"/>
              <w:keepLines w:val="0"/>
              <w:suppressLineNumbers w:val="0"/>
              <w:bidi w:val="0"/>
              <w:spacing w:before="0" w:beforeAutospacing="0" w:after="0" w:afterAutospacing="0"/>
              <w:ind w:left="0" w:right="0" w:firstLine="0" w:firstLineChars="0"/>
              <w:rPr>
                <w:rFonts w:hint="default" w:eastAsia="宋体" w:cs="Times New Roman"/>
                <w:color w:val="auto"/>
                <w:kern w:val="0"/>
                <w:sz w:val="21"/>
                <w:szCs w:val="20"/>
                <w:lang w:val="en-US" w:eastAsia="zh-CN"/>
              </w:rPr>
            </w:pPr>
          </w:p>
        </w:tc>
      </w:tr>
    </w:tbl>
    <w:p w14:paraId="6532034F">
      <w:pPr>
        <w:bidi w:val="0"/>
        <w:ind w:left="0" w:leftChars="0" w:firstLine="0" w:firstLineChars="0"/>
        <w:rPr>
          <w:rFonts w:cs="Times New Roman"/>
          <w:color w:val="auto"/>
          <w:sz w:val="36"/>
          <w:szCs w:val="36"/>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F97D2FA">
      <w:pPr>
        <w:numPr>
          <w:ilvl w:val="0"/>
          <w:numId w:val="0"/>
        </w:numPr>
        <w:spacing w:line="240" w:lineRule="auto"/>
        <w:ind w:firstLine="0" w:firstLineChars="0"/>
        <w:jc w:val="center"/>
        <w:outlineLvl w:val="0"/>
        <w:rPr>
          <w:b/>
          <w:bCs/>
          <w:color w:val="auto"/>
          <w:sz w:val="28"/>
          <w:szCs w:val="28"/>
        </w:rPr>
      </w:pPr>
      <w:bookmarkStart w:id="7" w:name="_Toc23143"/>
      <w:bookmarkStart w:id="8" w:name="_Toc29494"/>
      <w:r>
        <w:rPr>
          <w:rFonts w:hint="eastAsia" w:cstheme="minorBidi"/>
          <w:b/>
          <w:bCs/>
          <w:color w:val="auto"/>
          <w:kern w:val="2"/>
          <w:sz w:val="28"/>
          <w:szCs w:val="28"/>
          <w:lang w:val="en-US" w:eastAsia="zh-CN" w:bidi="ar-SA"/>
        </w:rPr>
        <w:t>二</w:t>
      </w:r>
      <w:r>
        <w:rPr>
          <w:rFonts w:hint="eastAsia" w:ascii="Times New Roman" w:hAnsi="Times New Roman" w:eastAsia="宋体" w:cstheme="minorBidi"/>
          <w:b/>
          <w:bCs/>
          <w:color w:val="auto"/>
          <w:kern w:val="2"/>
          <w:sz w:val="28"/>
          <w:szCs w:val="28"/>
          <w:lang w:val="en-US" w:eastAsia="zh-CN" w:bidi="ar-SA"/>
        </w:rPr>
        <w:t>、</w:t>
      </w:r>
      <w:r>
        <w:rPr>
          <w:rFonts w:hint="eastAsia"/>
          <w:b/>
          <w:bCs/>
          <w:color w:val="auto"/>
          <w:sz w:val="28"/>
          <w:szCs w:val="28"/>
        </w:rPr>
        <w:t>建设项目工程分析</w:t>
      </w:r>
      <w:bookmarkEnd w:id="7"/>
      <w:bookmarkEnd w:id="8"/>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8583"/>
      </w:tblGrid>
      <w:tr w14:paraId="62C1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7" w:type="dxa"/>
            <w:vAlign w:val="center"/>
          </w:tcPr>
          <w:p w14:paraId="67366FE9">
            <w:pPr>
              <w:keepNext w:val="0"/>
              <w:keepLines w:val="0"/>
              <w:suppressLineNumbers w:val="0"/>
              <w:spacing w:before="156" w:beforeAutospacing="0" w:after="0" w:afterAutospacing="0"/>
              <w:ind w:left="0" w:right="0" w:firstLine="0" w:firstLineChars="0"/>
              <w:jc w:val="center"/>
              <w:rPr>
                <w:rFonts w:hint="default" w:ascii="Times New Roman" w:hAnsi="Times New Roman" w:cs="Times New Roman"/>
                <w:color w:val="auto"/>
              </w:rPr>
            </w:pPr>
            <w:r>
              <w:rPr>
                <w:rFonts w:hint="default" w:ascii="Times New Roman" w:hAnsi="Times New Roman" w:cs="Times New Roman"/>
                <w:b/>
                <w:bCs/>
                <w:color w:val="auto"/>
              </w:rPr>
              <w:t>建设内容</w:t>
            </w:r>
          </w:p>
        </w:tc>
        <w:tc>
          <w:tcPr>
            <w:tcW w:w="8583" w:type="dxa"/>
          </w:tcPr>
          <w:p w14:paraId="76A0A87A">
            <w:pPr>
              <w:keepNext w:val="0"/>
              <w:keepLines w:val="0"/>
              <w:numPr>
                <w:ilvl w:val="0"/>
                <w:numId w:val="4"/>
              </w:numPr>
              <w:suppressLineNumbers w:val="0"/>
              <w:spacing w:before="0" w:beforeAutospacing="0" w:after="0" w:afterAutospacing="0"/>
              <w:ind w:left="0" w:right="0" w:firstLine="482"/>
              <w:rPr>
                <w:rFonts w:hint="default" w:ascii="Times New Roman" w:hAnsi="Times New Roman" w:cs="Times New Roman"/>
                <w:b/>
                <w:bCs/>
                <w:color w:val="auto"/>
              </w:rPr>
            </w:pPr>
            <w:r>
              <w:rPr>
                <w:rFonts w:hint="default" w:ascii="Times New Roman" w:hAnsi="Times New Roman" w:cs="Times New Roman"/>
                <w:b/>
                <w:bCs/>
                <w:color w:val="auto"/>
              </w:rPr>
              <w:t>项目由来</w:t>
            </w:r>
          </w:p>
          <w:p w14:paraId="53F01E36">
            <w:pPr>
              <w:keepNext w:val="0"/>
              <w:keepLines w:val="0"/>
              <w:suppressLineNumbers w:val="0"/>
              <w:spacing w:before="0" w:beforeAutospacing="0" w:after="0" w:afterAutospacing="0"/>
              <w:ind w:left="0" w:right="0" w:firstLine="48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涟水县人民医院成立于1950年9月，</w:t>
            </w:r>
            <w:r>
              <w:rPr>
                <w:rFonts w:hint="eastAsia" w:cs="Times New Roman"/>
                <w:color w:val="auto"/>
                <w:lang w:val="en-US" w:eastAsia="zh-CN"/>
              </w:rPr>
              <w:t>为</w:t>
            </w:r>
            <w:r>
              <w:rPr>
                <w:rFonts w:hint="default" w:ascii="Times New Roman" w:hAnsi="Times New Roman" w:cs="Times New Roman"/>
                <w:color w:val="auto"/>
                <w:lang w:val="en-US" w:eastAsia="zh-CN"/>
              </w:rPr>
              <w:t>南京医科大学康达学院附属医院</w:t>
            </w:r>
            <w:r>
              <w:rPr>
                <w:rFonts w:hint="eastAsia" w:cs="Times New Roman"/>
                <w:color w:val="auto"/>
                <w:lang w:val="en-US" w:eastAsia="zh-CN"/>
              </w:rPr>
              <w:t>，</w:t>
            </w:r>
            <w:r>
              <w:rPr>
                <w:rFonts w:hint="default" w:ascii="Times New Roman" w:hAnsi="Times New Roman" w:cs="Times New Roman"/>
                <w:color w:val="auto"/>
                <w:lang w:val="en-US" w:eastAsia="zh-CN"/>
              </w:rPr>
              <w:t>是一所集医疗、急救、教学、科研、保健、康复为一体的三级乙等综合医院。</w:t>
            </w:r>
          </w:p>
          <w:p w14:paraId="5AE0A34C">
            <w:pPr>
              <w:keepNext w:val="0"/>
              <w:keepLines w:val="0"/>
              <w:suppressLineNumbers w:val="0"/>
              <w:spacing w:before="0" w:beforeAutospacing="0" w:after="0" w:afterAutospacing="0"/>
              <w:ind w:left="0" w:right="0" w:firstLine="480"/>
              <w:rPr>
                <w:rFonts w:hint="default" w:ascii="Times New Roman" w:hAnsi="Times New Roman" w:cs="Times New Roman"/>
                <w:color w:val="auto"/>
                <w:lang w:val="en-US" w:eastAsia="zh-CN"/>
              </w:rPr>
            </w:pPr>
            <w:r>
              <w:rPr>
                <w:rFonts w:hint="eastAsia" w:cs="Times New Roman"/>
                <w:color w:val="auto"/>
                <w:lang w:val="en-US" w:eastAsia="zh-CN"/>
              </w:rPr>
              <w:t>现为满足涟水县人民医院教学及科研需求，提高医院竞争力，涟水县人民医院拟在院内东北角地块（用地红线图见附件2）投资建设“涟水县人民医院教学科研楼建设项目”。</w:t>
            </w:r>
            <w:r>
              <w:rPr>
                <w:rFonts w:hint="eastAsia" w:cs="Times New Roman"/>
                <w:color w:val="auto"/>
                <w:kern w:val="0"/>
                <w:sz w:val="24"/>
                <w:lang w:val="en-US" w:eastAsia="zh-CN"/>
              </w:rPr>
              <w:t>项目用地面积8100</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2</w:t>
            </w:r>
            <w:r>
              <w:rPr>
                <w:rFonts w:hint="eastAsia" w:cs="Times New Roman"/>
                <w:color w:val="auto"/>
                <w:kern w:val="0"/>
                <w:sz w:val="24"/>
                <w:vertAlign w:val="baseline"/>
                <w:lang w:eastAsia="zh-CN"/>
              </w:rPr>
              <w:t>（不新增）</w:t>
            </w:r>
            <w:r>
              <w:rPr>
                <w:rFonts w:hint="eastAsia" w:cs="Times New Roman"/>
                <w:color w:val="auto"/>
                <w:kern w:val="0"/>
                <w:sz w:val="24"/>
                <w:lang w:val="en-US" w:eastAsia="zh-CN"/>
              </w:rPr>
              <w:t>，总建筑面积约14000</w:t>
            </w:r>
            <w:r>
              <w:rPr>
                <w:rFonts w:hint="default" w:ascii="Times New Roman" w:hAnsi="Times New Roman" w:eastAsia="宋体" w:cs="Times New Roman"/>
                <w:color w:val="auto"/>
                <w:kern w:val="0"/>
                <w:sz w:val="24"/>
              </w:rPr>
              <w:t>m</w:t>
            </w:r>
            <w:r>
              <w:rPr>
                <w:rFonts w:hint="default" w:ascii="Times New Roman" w:hAnsi="Times New Roman" w:eastAsia="宋体" w:cs="Times New Roman"/>
                <w:color w:val="auto"/>
                <w:kern w:val="0"/>
                <w:sz w:val="24"/>
                <w:vertAlign w:val="superscript"/>
              </w:rPr>
              <w:t>2</w:t>
            </w:r>
            <w:r>
              <w:rPr>
                <w:rFonts w:hint="eastAsia" w:cs="Times New Roman"/>
                <w:color w:val="auto"/>
                <w:kern w:val="0"/>
                <w:sz w:val="24"/>
                <w:vertAlign w:val="baseline"/>
                <w:lang w:eastAsia="zh-CN"/>
              </w:rPr>
              <w:t>，地上</w:t>
            </w:r>
            <w:r>
              <w:rPr>
                <w:rFonts w:hint="eastAsia" w:cs="Times New Roman"/>
                <w:color w:val="auto"/>
                <w:kern w:val="0"/>
                <w:sz w:val="24"/>
                <w:vertAlign w:val="baseline"/>
                <w:lang w:val="en-US" w:eastAsia="zh-CN"/>
              </w:rPr>
              <w:t>8</w:t>
            </w:r>
            <w:r>
              <w:rPr>
                <w:rFonts w:hint="eastAsia" w:cs="Times New Roman"/>
                <w:color w:val="auto"/>
                <w:kern w:val="0"/>
                <w:sz w:val="24"/>
                <w:vertAlign w:val="baseline"/>
                <w:lang w:eastAsia="zh-CN"/>
              </w:rPr>
              <w:t>层、局部地下</w:t>
            </w:r>
            <w:r>
              <w:rPr>
                <w:rFonts w:hint="eastAsia" w:cs="Times New Roman"/>
                <w:color w:val="auto"/>
                <w:kern w:val="0"/>
                <w:sz w:val="24"/>
                <w:vertAlign w:val="baseline"/>
                <w:lang w:val="en-US" w:eastAsia="zh-CN"/>
              </w:rPr>
              <w:t>1层，楼内建设教学基地、操作技能培训中心、科研实验室（本次重点评价对象）、图书馆、阅览室、电教室、学术报告厅等</w:t>
            </w:r>
            <w:r>
              <w:rPr>
                <w:rFonts w:hint="default" w:ascii="Times New Roman" w:hAnsi="Times New Roman" w:cs="Times New Roman"/>
                <w:color w:val="auto"/>
                <w:lang w:val="en-US" w:eastAsia="zh-CN"/>
              </w:rPr>
              <w:t>。</w:t>
            </w:r>
          </w:p>
          <w:p w14:paraId="6A07719A">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根据《中华人民共和国环境保护法》和《中华人民共和国环境影响评价法》及相关法律法规的规定，本项目应进行环境影响评价。对照《建设项目环境影响评价分类管理名录</w:t>
            </w:r>
            <w:r>
              <w:rPr>
                <w:rFonts w:hint="default" w:ascii="Times New Roman" w:hAnsi="Times New Roman" w:cs="Times New Roman"/>
                <w:bCs/>
                <w:color w:val="auto"/>
              </w:rPr>
              <w:t>（2021年版）》（部令第16号）</w:t>
            </w:r>
            <w:r>
              <w:rPr>
                <w:rFonts w:hint="eastAsia" w:cs="Times New Roman"/>
                <w:bCs/>
                <w:color w:val="auto"/>
                <w:lang w:eastAsia="zh-CN"/>
              </w:rPr>
              <w:t>，单纯的</w:t>
            </w:r>
            <w:r>
              <w:rPr>
                <w:rFonts w:hint="eastAsia" w:cs="Times New Roman"/>
                <w:color w:val="auto"/>
                <w:lang w:val="en-US" w:eastAsia="zh-CN"/>
              </w:rPr>
              <w:t>教学科研楼</w:t>
            </w:r>
            <w:r>
              <w:rPr>
                <w:rFonts w:hint="eastAsia" w:cs="Times New Roman"/>
                <w:bCs/>
                <w:color w:val="auto"/>
                <w:lang w:eastAsia="zh-CN"/>
              </w:rPr>
              <w:t>及其配套</w:t>
            </w:r>
            <w:r>
              <w:rPr>
                <w:rFonts w:hint="eastAsia" w:cs="Times New Roman"/>
                <w:color w:val="auto"/>
                <w:kern w:val="0"/>
                <w:sz w:val="24"/>
                <w:vertAlign w:val="baseline"/>
                <w:lang w:val="en-US" w:eastAsia="zh-CN"/>
              </w:rPr>
              <w:t>的教学基地、操作技能培训中心、图书馆、阅览室、电教室、学术报告厅休息区</w:t>
            </w:r>
            <w:r>
              <w:rPr>
                <w:rFonts w:hint="eastAsia" w:cs="Times New Roman"/>
                <w:bCs/>
                <w:color w:val="auto"/>
                <w:lang w:eastAsia="zh-CN"/>
              </w:rPr>
              <w:t>建设项目，无需办理环评手续，但本项目</w:t>
            </w:r>
            <w:r>
              <w:rPr>
                <w:rFonts w:hint="eastAsia" w:cs="Times New Roman"/>
                <w:color w:val="auto"/>
                <w:lang w:val="en-US" w:eastAsia="zh-CN"/>
              </w:rPr>
              <w:t>教学科研楼涉及科研实验室，本次重点对科研实验室进行评价。</w:t>
            </w:r>
          </w:p>
          <w:p w14:paraId="4DD87248">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本项目科研实验室为普通实验室（不涉及P3、P4生物安全实验室），会产生实验废气及废水、危险废物。对照《建设项目环境影响评价分类管理名录</w:t>
            </w:r>
            <w:r>
              <w:rPr>
                <w:rFonts w:hint="default" w:ascii="Times New Roman" w:hAnsi="Times New Roman" w:cs="Times New Roman"/>
                <w:bCs/>
                <w:color w:val="auto"/>
              </w:rPr>
              <w:t>（2021年版）》（部令第16号）</w:t>
            </w:r>
            <w:r>
              <w:rPr>
                <w:rFonts w:hint="eastAsia" w:cs="Times New Roman"/>
                <w:color w:val="auto"/>
                <w:lang w:val="en-US" w:eastAsia="zh-CN"/>
              </w:rPr>
              <w:t>，本项目属于“四十五、研究和试验发展”98—“专业实验室、研发（试验）基地”类中“其他（不产生实验废气、废水、危险废物的除外）”，判定本项目应编制报告表。</w:t>
            </w:r>
          </w:p>
          <w:p w14:paraId="7E38850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 xml:space="preserve">表2.1-1  </w:t>
            </w:r>
            <w:r>
              <w:rPr>
                <w:rFonts w:hint="default" w:ascii="Times New Roman" w:hAnsi="Times New Roman" w:cs="Times New Roman"/>
                <w:b/>
                <w:bCs/>
                <w:color w:val="auto"/>
                <w:lang w:val="en-US" w:eastAsia="zh-CN"/>
              </w:rPr>
              <w:t>建设项目</w:t>
            </w:r>
            <w:r>
              <w:rPr>
                <w:rFonts w:hint="default" w:ascii="Times New Roman" w:hAnsi="Times New Roman" w:cs="Times New Roman"/>
                <w:b/>
                <w:bCs/>
                <w:color w:val="auto"/>
              </w:rPr>
              <w:t>环评类别判定表</w:t>
            </w:r>
          </w:p>
          <w:tbl>
            <w:tblPr>
              <w:tblStyle w:val="25"/>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815"/>
              <w:gridCol w:w="1233"/>
              <w:gridCol w:w="1365"/>
              <w:gridCol w:w="705"/>
              <w:gridCol w:w="1858"/>
            </w:tblGrid>
            <w:tr w14:paraId="6B10B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1" w:type="dxa"/>
                  <w:tcBorders>
                    <w:tl2br w:val="nil"/>
                    <w:tr2bl w:val="nil"/>
                  </w:tcBorders>
                  <w:vAlign w:val="center"/>
                </w:tcPr>
                <w:p w14:paraId="66381CF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18"/>
                      <w:szCs w:val="18"/>
                    </w:rPr>
                  </w:pPr>
                  <w:r>
                    <w:rPr>
                      <w:rFonts w:hint="eastAsia" w:cs="Times New Roman"/>
                      <w:b/>
                      <w:bCs/>
                      <w:color w:val="auto"/>
                      <w:sz w:val="18"/>
                      <w:szCs w:val="18"/>
                      <w:lang w:val="en-US" w:eastAsia="zh-CN"/>
                    </w:rPr>
                    <w:t>国民经济</w:t>
                  </w:r>
                  <w:r>
                    <w:rPr>
                      <w:rFonts w:hint="default" w:ascii="Times New Roman" w:hAnsi="Times New Roman" w:cs="Times New Roman"/>
                      <w:b/>
                      <w:bCs/>
                      <w:color w:val="auto"/>
                      <w:sz w:val="18"/>
                      <w:szCs w:val="18"/>
                    </w:rPr>
                    <w:t>行业类别</w:t>
                  </w:r>
                </w:p>
              </w:tc>
              <w:tc>
                <w:tcPr>
                  <w:tcW w:w="1815" w:type="dxa"/>
                  <w:tcBorders>
                    <w:tl2br w:val="nil"/>
                    <w:tr2bl w:val="nil"/>
                  </w:tcBorders>
                  <w:vAlign w:val="center"/>
                </w:tcPr>
                <w:p w14:paraId="15EE2A23">
                  <w:pPr>
                    <w:keepNext w:val="0"/>
                    <w:keepLines w:val="0"/>
                    <w:suppressLineNumbers w:val="0"/>
                    <w:adjustRightInd w:val="0"/>
                    <w:snapToGrid w:val="0"/>
                    <w:spacing w:before="0" w:beforeAutospacing="0" w:after="0" w:afterAutospacing="0" w:line="240" w:lineRule="auto"/>
                    <w:ind w:left="0" w:right="0" w:firstLine="540" w:firstLineChars="300"/>
                    <w:rPr>
                      <w:rFonts w:hint="default" w:ascii="Times New Roman" w:hAnsi="Times New Roman" w:cs="Times New Roman"/>
                      <w:b/>
                      <w:bCs/>
                      <w:color w:val="auto"/>
                      <w:sz w:val="18"/>
                      <w:szCs w:val="18"/>
                    </w:rPr>
                  </w:pPr>
                  <w:r>
                    <w:rPr>
                      <w:rFonts w:hint="eastAsia"/>
                      <w:color w:val="auto"/>
                      <w:sz w:val="18"/>
                    </w:rPr>
                    <mc:AlternateContent>
                      <mc:Choice Requires="wps">
                        <w:drawing>
                          <wp:anchor distT="0" distB="0" distL="114300" distR="114300" simplePos="0" relativeHeight="251660288" behindDoc="0" locked="0" layoutInCell="1" allowOverlap="1">
                            <wp:simplePos x="0" y="0"/>
                            <wp:positionH relativeFrom="column">
                              <wp:posOffset>-63500</wp:posOffset>
                            </wp:positionH>
                            <wp:positionV relativeFrom="paragraph">
                              <wp:posOffset>-2540</wp:posOffset>
                            </wp:positionV>
                            <wp:extent cx="1162050" cy="304800"/>
                            <wp:effectExtent l="1905" t="6350" r="17145" b="12700"/>
                            <wp:wrapNone/>
                            <wp:docPr id="3" name="直接连接符 3"/>
                            <wp:cNvGraphicFramePr/>
                            <a:graphic xmlns:a="http://schemas.openxmlformats.org/drawingml/2006/main">
                              <a:graphicData uri="http://schemas.microsoft.com/office/word/2010/wordprocessingShape">
                                <wps:wsp>
                                  <wps:cNvCnPr/>
                                  <wps:spPr>
                                    <a:xfrm>
                                      <a:off x="2318385" y="4503420"/>
                                      <a:ext cx="1162050" cy="3048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pt;margin-top:-0.2pt;height:24pt;width:91.5pt;z-index:251660288;mso-width-relative:page;mso-height-relative:page;" filled="f" stroked="t" coordsize="21600,21600" o:gfxdata="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LbNH9cAAAAIAQAADwAAAAAAAAABACAAAAAiAAAAZHJzL2Rvd25yZXYueG1sUEsB&#10;AhQAFAAAAAgAh07iQO5hjuH2AQAAwwMAAA4AAAAAAAAAAQAgAAAAJgEAAGRycy9lMm9Eb2MueG1s&#10;UEsFBgAAAAAGAAYAWQEAAI4FAAAAAA==&#10;">
                            <v:fill on="f" focussize="0,0"/>
                            <v:stroke weight="1pt" color="#000000 [3213]" miterlimit="8" joinstyle="miter"/>
                            <v:imagedata o:title=""/>
                            <o:lock v:ext="edit" aspectratio="f"/>
                          </v:line>
                        </w:pict>
                      </mc:Fallback>
                    </mc:AlternateContent>
                  </w:r>
                  <w:r>
                    <w:rPr>
                      <w:rFonts w:hint="default" w:ascii="Times New Roman" w:hAnsi="Times New Roman" w:cs="Times New Roman"/>
                      <w:b/>
                      <w:bCs/>
                      <w:color w:val="auto"/>
                      <w:sz w:val="18"/>
                      <w:szCs w:val="18"/>
                    </w:rPr>
                    <w:t>环评类别</w:t>
                  </w:r>
                </w:p>
                <w:p w14:paraId="5155062F">
                  <w:pPr>
                    <w:keepNext w:val="0"/>
                    <w:keepLines w:val="0"/>
                    <w:suppressLineNumbers w:val="0"/>
                    <w:adjustRightInd w:val="0"/>
                    <w:snapToGrid w:val="0"/>
                    <w:spacing w:before="0" w:beforeAutospacing="0" w:after="0" w:afterAutospacing="0" w:line="240" w:lineRule="auto"/>
                    <w:ind w:left="0" w:right="0" w:firstLine="0" w:firstLineChars="0"/>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项目类别</w:t>
                  </w:r>
                </w:p>
              </w:tc>
              <w:tc>
                <w:tcPr>
                  <w:tcW w:w="1233" w:type="dxa"/>
                  <w:tcBorders>
                    <w:tl2br w:val="nil"/>
                    <w:tr2bl w:val="nil"/>
                  </w:tcBorders>
                  <w:vAlign w:val="center"/>
                </w:tcPr>
                <w:p w14:paraId="02542EC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报告书</w:t>
                  </w:r>
                </w:p>
              </w:tc>
              <w:tc>
                <w:tcPr>
                  <w:tcW w:w="1365" w:type="dxa"/>
                  <w:tcBorders>
                    <w:tl2br w:val="nil"/>
                    <w:tr2bl w:val="nil"/>
                  </w:tcBorders>
                  <w:vAlign w:val="center"/>
                </w:tcPr>
                <w:p w14:paraId="49497EA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报告表</w:t>
                  </w:r>
                </w:p>
              </w:tc>
              <w:tc>
                <w:tcPr>
                  <w:tcW w:w="705" w:type="dxa"/>
                  <w:tcBorders>
                    <w:tl2br w:val="nil"/>
                    <w:tr2bl w:val="nil"/>
                  </w:tcBorders>
                  <w:vAlign w:val="center"/>
                </w:tcPr>
                <w:p w14:paraId="12AA6EB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登记表</w:t>
                  </w:r>
                </w:p>
              </w:tc>
              <w:tc>
                <w:tcPr>
                  <w:tcW w:w="1858" w:type="dxa"/>
                  <w:tcBorders>
                    <w:tl2br w:val="nil"/>
                    <w:tr2bl w:val="nil"/>
                  </w:tcBorders>
                  <w:vAlign w:val="center"/>
                </w:tcPr>
                <w:p w14:paraId="272A179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18"/>
                      <w:szCs w:val="18"/>
                    </w:rPr>
                  </w:pPr>
                  <w:r>
                    <w:rPr>
                      <w:rFonts w:hint="eastAsia" w:cs="Times New Roman"/>
                      <w:b/>
                      <w:bCs/>
                      <w:color w:val="auto"/>
                      <w:sz w:val="18"/>
                      <w:szCs w:val="18"/>
                      <w:lang w:eastAsia="zh-CN"/>
                    </w:rPr>
                    <w:t>建设项目</w:t>
                  </w:r>
                  <w:r>
                    <w:rPr>
                      <w:rFonts w:hint="default" w:ascii="Times New Roman" w:hAnsi="Times New Roman" w:cs="Times New Roman"/>
                      <w:b/>
                      <w:bCs/>
                      <w:color w:val="auto"/>
                      <w:sz w:val="18"/>
                      <w:szCs w:val="18"/>
                    </w:rPr>
                    <w:t>情况</w:t>
                  </w:r>
                </w:p>
              </w:tc>
            </w:tr>
            <w:tr w14:paraId="5160B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1" w:type="dxa"/>
                  <w:tcBorders>
                    <w:tl2br w:val="nil"/>
                    <w:tr2bl w:val="nil"/>
                  </w:tcBorders>
                  <w:vAlign w:val="center"/>
                </w:tcPr>
                <w:p w14:paraId="656873B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【M7340】医学研究和试验</w:t>
                  </w:r>
                </w:p>
                <w:p w14:paraId="627804A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发展</w:t>
                  </w:r>
                </w:p>
              </w:tc>
              <w:tc>
                <w:tcPr>
                  <w:tcW w:w="1815" w:type="dxa"/>
                  <w:tcBorders>
                    <w:tl2br w:val="nil"/>
                    <w:tr2bl w:val="nil"/>
                  </w:tcBorders>
                  <w:vAlign w:val="center"/>
                </w:tcPr>
                <w:p w14:paraId="0F616DF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四十五、研究和试验发展</w:t>
                  </w:r>
                </w:p>
                <w:p w14:paraId="3ECF084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98</w:t>
                  </w:r>
                  <w:r>
                    <w:rPr>
                      <w:rFonts w:hint="default"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专</w:t>
                  </w:r>
                  <w:r>
                    <w:rPr>
                      <w:rFonts w:hint="default" w:ascii="Times New Roman" w:hAnsi="Times New Roman" w:eastAsia="宋体" w:cs="Times New Roman"/>
                      <w:color w:val="auto"/>
                      <w:kern w:val="2"/>
                      <w:sz w:val="18"/>
                      <w:szCs w:val="18"/>
                      <w:lang w:val="en-US" w:eastAsia="zh-CN" w:bidi="ar-SA"/>
                    </w:rPr>
                    <w:t>业实验室、研发（试验）基地</w:t>
                  </w:r>
                </w:p>
              </w:tc>
              <w:tc>
                <w:tcPr>
                  <w:tcW w:w="1233" w:type="dxa"/>
                  <w:tcBorders>
                    <w:tl2br w:val="nil"/>
                    <w:tr2bl w:val="nil"/>
                  </w:tcBorders>
                  <w:vAlign w:val="center"/>
                </w:tcPr>
                <w:p w14:paraId="12DEEEB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P3、P4生物安全实验室；转基因实验室</w:t>
                  </w:r>
                </w:p>
              </w:tc>
              <w:tc>
                <w:tcPr>
                  <w:tcW w:w="1365" w:type="dxa"/>
                  <w:tcBorders>
                    <w:tl2br w:val="nil"/>
                    <w:tr2bl w:val="nil"/>
                  </w:tcBorders>
                  <w:vAlign w:val="center"/>
                </w:tcPr>
                <w:p w14:paraId="372B7BF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其他（不产生实验废气、废水、危险废物的除外）</w:t>
                  </w:r>
                </w:p>
              </w:tc>
              <w:tc>
                <w:tcPr>
                  <w:tcW w:w="705" w:type="dxa"/>
                  <w:tcBorders>
                    <w:tl2br w:val="nil"/>
                    <w:tr2bl w:val="nil"/>
                  </w:tcBorders>
                  <w:vAlign w:val="center"/>
                </w:tcPr>
                <w:p w14:paraId="5802911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1858" w:type="dxa"/>
                  <w:tcBorders>
                    <w:tl2br w:val="nil"/>
                    <w:tr2bl w:val="nil"/>
                  </w:tcBorders>
                  <w:vAlign w:val="center"/>
                </w:tcPr>
                <w:p w14:paraId="16A4BFF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本项目为普通实验室，不涉及P3、P4生物安全实验室，项目会产生实验废气及废水、危险废物，判定建设项目</w:t>
                  </w:r>
                  <w:r>
                    <w:rPr>
                      <w:rFonts w:hint="default" w:ascii="Times New Roman" w:hAnsi="Times New Roman" w:cs="Times New Roman"/>
                      <w:color w:val="auto"/>
                      <w:sz w:val="18"/>
                      <w:szCs w:val="18"/>
                      <w:lang w:val="en-US" w:eastAsia="zh-CN"/>
                    </w:rPr>
                    <w:t>应编制报告表。</w:t>
                  </w:r>
                </w:p>
              </w:tc>
            </w:tr>
          </w:tbl>
          <w:p w14:paraId="5A75D7D9">
            <w:pPr>
              <w:keepNext w:val="0"/>
              <w:keepLines w:val="0"/>
              <w:suppressLineNumbers w:val="0"/>
              <w:spacing w:before="0" w:beforeAutospacing="0" w:after="0" w:afterAutospacing="0"/>
              <w:ind w:left="0" w:right="0"/>
              <w:rPr>
                <w:rFonts w:hint="default"/>
                <w:color w:val="auto"/>
              </w:rPr>
            </w:pPr>
            <w:r>
              <w:rPr>
                <w:rFonts w:hint="default"/>
                <w:color w:val="auto"/>
              </w:rPr>
              <w:t>综上所述，</w:t>
            </w:r>
            <w:r>
              <w:rPr>
                <w:rFonts w:hint="eastAsia"/>
                <w:color w:val="auto"/>
                <w:lang w:val="en-US" w:eastAsia="zh-CN"/>
              </w:rPr>
              <w:t>判定建设项目</w:t>
            </w:r>
            <w:r>
              <w:rPr>
                <w:rFonts w:hint="default"/>
                <w:color w:val="auto"/>
              </w:rPr>
              <w:t>应编制</w:t>
            </w:r>
            <w:r>
              <w:rPr>
                <w:rFonts w:hint="eastAsia"/>
                <w:color w:val="auto"/>
                <w:lang w:val="en-US" w:eastAsia="zh-CN"/>
              </w:rPr>
              <w:t>环境影响</w:t>
            </w:r>
            <w:r>
              <w:rPr>
                <w:rFonts w:hint="default"/>
                <w:color w:val="auto"/>
              </w:rPr>
              <w:t>报告表。</w:t>
            </w:r>
          </w:p>
          <w:p w14:paraId="2FDE658B">
            <w:pPr>
              <w:keepNext w:val="0"/>
              <w:keepLines w:val="0"/>
              <w:numPr>
                <w:ilvl w:val="0"/>
                <w:numId w:val="4"/>
              </w:numPr>
              <w:suppressLineNumbers w:val="0"/>
              <w:spacing w:before="0" w:beforeAutospacing="0" w:after="0" w:afterAutospacing="0"/>
              <w:ind w:left="0" w:right="0" w:firstLine="482"/>
              <w:rPr>
                <w:rFonts w:hint="default" w:ascii="Times New Roman" w:hAnsi="Times New Roman" w:cs="Times New Roman"/>
                <w:b/>
                <w:bCs/>
                <w:color w:val="auto"/>
              </w:rPr>
            </w:pPr>
            <w:r>
              <w:rPr>
                <w:rFonts w:hint="default" w:ascii="Times New Roman" w:hAnsi="Times New Roman" w:cs="Times New Roman"/>
                <w:b/>
                <w:bCs/>
                <w:color w:val="auto"/>
              </w:rPr>
              <w:t>建设项目基本情况</w:t>
            </w:r>
          </w:p>
          <w:p w14:paraId="6A4DE6C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项目名称：</w:t>
            </w:r>
            <w:r>
              <w:rPr>
                <w:rFonts w:hint="default" w:ascii="Times New Roman" w:hAnsi="Times New Roman" w:eastAsia="宋体" w:cs="Times New Roman"/>
                <w:color w:val="auto"/>
                <w:sz w:val="24"/>
                <w:lang w:val="en-US" w:eastAsia="zh-CN"/>
              </w:rPr>
              <w:t>涟水县人民医院教学科研楼</w:t>
            </w:r>
            <w:r>
              <w:rPr>
                <w:rFonts w:hint="default"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rPr>
              <w:t>项目；</w:t>
            </w:r>
          </w:p>
          <w:p w14:paraId="755E4F0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建设单位：</w:t>
            </w:r>
            <w:r>
              <w:rPr>
                <w:rFonts w:hint="default" w:ascii="Times New Roman" w:hAnsi="Times New Roman" w:eastAsia="宋体" w:cs="Times New Roman"/>
                <w:color w:val="auto"/>
                <w:sz w:val="24"/>
                <w:lang w:val="en-US" w:eastAsia="zh-CN"/>
              </w:rPr>
              <w:t>涟水县人民医院</w:t>
            </w:r>
          </w:p>
          <w:p w14:paraId="499B8642">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w:t>
            </w:r>
            <w:r>
              <w:rPr>
                <w:rFonts w:hint="default" w:ascii="Times New Roman" w:hAnsi="Times New Roman" w:eastAsia="宋体" w:cs="Times New Roman"/>
                <w:color w:val="auto"/>
                <w:sz w:val="24"/>
                <w:lang w:val="en-US" w:eastAsia="zh-CN"/>
              </w:rPr>
              <w:t>11000</w:t>
            </w:r>
            <w:r>
              <w:rPr>
                <w:rFonts w:hint="default" w:ascii="Times New Roman" w:hAnsi="Times New Roman" w:eastAsia="宋体" w:cs="Times New Roman"/>
                <w:color w:val="auto"/>
                <w:sz w:val="24"/>
              </w:rPr>
              <w:t>万元，其中环保投资</w:t>
            </w:r>
            <w:r>
              <w:rPr>
                <w:rFonts w:hint="default" w:ascii="Times New Roman" w:hAnsi="Times New Roman" w:eastAsia="宋体" w:cs="Times New Roman"/>
                <w:color w:val="auto"/>
                <w:sz w:val="24"/>
                <w:lang w:val="en-US" w:eastAsia="zh-CN"/>
              </w:rPr>
              <w:t>60</w:t>
            </w:r>
            <w:r>
              <w:rPr>
                <w:rFonts w:hint="default" w:ascii="Times New Roman" w:hAnsi="Times New Roman" w:eastAsia="宋体" w:cs="Times New Roman"/>
                <w:color w:val="auto"/>
                <w:sz w:val="24"/>
              </w:rPr>
              <w:t>万元，占总投资比例</w:t>
            </w:r>
            <w:r>
              <w:rPr>
                <w:rFonts w:hint="default" w:ascii="Times New Roman" w:hAnsi="Times New Roman" w:eastAsia="宋体" w:cs="Times New Roman"/>
                <w:color w:val="auto"/>
                <w:sz w:val="24"/>
                <w:lang w:val="en-US" w:eastAsia="zh-CN"/>
              </w:rPr>
              <w:t>0.55</w:t>
            </w:r>
            <w:r>
              <w:rPr>
                <w:rFonts w:hint="default" w:ascii="Times New Roman" w:hAnsi="Times New Roman" w:eastAsia="宋体" w:cs="Times New Roman"/>
                <w:color w:val="auto"/>
                <w:sz w:val="24"/>
              </w:rPr>
              <w:t>%；</w:t>
            </w:r>
          </w:p>
          <w:p w14:paraId="6E7A78A0">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r>
              <w:rPr>
                <w:rFonts w:hint="default" w:ascii="Times New Roman" w:hAnsi="Times New Roman" w:eastAsia="宋体" w:cs="Times New Roman"/>
                <w:color w:val="auto"/>
                <w:sz w:val="24"/>
                <w:lang w:val="en-US" w:eastAsia="zh-CN"/>
              </w:rPr>
              <w:t>新建</w:t>
            </w:r>
            <w:r>
              <w:rPr>
                <w:rFonts w:hint="default" w:ascii="Times New Roman" w:hAnsi="Times New Roman" w:eastAsia="宋体" w:cs="Times New Roman"/>
                <w:color w:val="auto"/>
                <w:sz w:val="24"/>
              </w:rPr>
              <w:t>；</w:t>
            </w:r>
          </w:p>
          <w:p w14:paraId="6ABC482C">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建设内容：</w:t>
            </w:r>
            <w:r>
              <w:rPr>
                <w:rFonts w:hint="eastAsia" w:cs="Times New Roman"/>
                <w:color w:val="auto"/>
                <w:kern w:val="0"/>
                <w:sz w:val="24"/>
                <w:vertAlign w:val="baseline"/>
                <w:lang w:val="en-US" w:eastAsia="zh-CN"/>
              </w:rPr>
              <w:t>教学基地、操作技能培训中心、科研实验室（本次重点评价对象）、图书馆、阅览室、电教室、学术报告厅休息区等；</w:t>
            </w:r>
          </w:p>
          <w:p w14:paraId="3A2E11A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工作时数：</w:t>
            </w:r>
            <w:r>
              <w:rPr>
                <w:rFonts w:hint="default" w:ascii="Times New Roman" w:hAnsi="Times New Roman" w:eastAsia="宋体" w:cs="Times New Roman"/>
                <w:color w:val="auto"/>
                <w:sz w:val="24"/>
                <w:lang w:eastAsia="zh-CN"/>
              </w:rPr>
              <w:t>单</w:t>
            </w:r>
            <w:r>
              <w:rPr>
                <w:rFonts w:hint="default" w:ascii="Times New Roman" w:hAnsi="Times New Roman" w:eastAsia="宋体" w:cs="Times New Roman"/>
                <w:color w:val="auto"/>
                <w:sz w:val="24"/>
              </w:rPr>
              <w:t>班制，</w:t>
            </w:r>
            <w:r>
              <w:rPr>
                <w:rFonts w:hint="default" w:ascii="Times New Roman" w:hAnsi="Times New Roman" w:eastAsia="宋体" w:cs="Times New Roman"/>
                <w:color w:val="auto"/>
                <w:sz w:val="24"/>
                <w:lang w:eastAsia="zh-CN"/>
              </w:rPr>
              <w:t>每天工作</w:t>
            </w:r>
            <w:r>
              <w:rPr>
                <w:rFonts w:hint="default" w:ascii="Times New Roman" w:hAnsi="Times New Roman" w:eastAsia="宋体" w:cs="Times New Roman"/>
                <w:color w:val="auto"/>
                <w:sz w:val="24"/>
              </w:rPr>
              <w:t>8小时，年工作300天</w:t>
            </w:r>
            <w:r>
              <w:rPr>
                <w:rFonts w:hint="eastAsia" w:cs="Times New Roman"/>
                <w:color w:val="auto"/>
                <w:sz w:val="24"/>
                <w:lang w:eastAsia="zh-CN"/>
              </w:rPr>
              <w:t>，年运行</w:t>
            </w:r>
            <w:r>
              <w:rPr>
                <w:rFonts w:hint="eastAsia" w:cs="Times New Roman"/>
                <w:color w:val="auto"/>
                <w:sz w:val="24"/>
                <w:lang w:val="en-US" w:eastAsia="zh-CN"/>
              </w:rPr>
              <w:t>2400h</w:t>
            </w:r>
            <w:r>
              <w:rPr>
                <w:rFonts w:hint="default" w:ascii="Times New Roman" w:hAnsi="Times New Roman" w:eastAsia="宋体" w:cs="Times New Roman"/>
                <w:color w:val="auto"/>
                <w:sz w:val="24"/>
              </w:rPr>
              <w:t>。</w:t>
            </w:r>
          </w:p>
          <w:p w14:paraId="2E0FD00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w:t>职工人数：</w:t>
            </w:r>
            <w:r>
              <w:rPr>
                <w:rFonts w:hint="default" w:ascii="Times New Roman" w:hAnsi="Times New Roman" w:eastAsia="宋体" w:cs="Times New Roman"/>
                <w:color w:val="auto"/>
                <w:sz w:val="24"/>
                <w:lang w:eastAsia="zh-CN"/>
              </w:rPr>
              <w:t>本次新建教学科研楼项目不新增职工，在医院现有员工中调配</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教学科研楼新增外来教学对象</w:t>
            </w:r>
            <w:r>
              <w:rPr>
                <w:rFonts w:hint="default" w:ascii="Times New Roman" w:hAnsi="Times New Roman" w:eastAsia="宋体" w:cs="Times New Roman"/>
                <w:color w:val="auto"/>
                <w:sz w:val="24"/>
                <w:lang w:val="en-US" w:eastAsia="zh-CN"/>
              </w:rPr>
              <w:t>50人/天</w:t>
            </w:r>
            <w:r>
              <w:rPr>
                <w:rFonts w:hint="eastAsia" w:cs="Times New Roman"/>
                <w:color w:val="auto"/>
                <w:lang w:val="en-US" w:eastAsia="zh-CN"/>
              </w:rPr>
              <w:t>。</w:t>
            </w:r>
          </w:p>
          <w:p w14:paraId="28E11F19">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ind w:left="0" w:right="0"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项目检验内容及规模</w:t>
            </w:r>
          </w:p>
          <w:p w14:paraId="1078662B">
            <w:pPr>
              <w:keepNext w:val="0"/>
              <w:keepLines w:val="0"/>
              <w:widowControl/>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lang w:eastAsia="zh-CN"/>
              </w:rPr>
            </w:pPr>
            <w:r>
              <w:rPr>
                <w:rFonts w:hint="default" w:ascii="Times New Roman" w:hAnsi="Times New Roman" w:cs="Times New Roman"/>
                <w:color w:val="auto"/>
              </w:rPr>
              <w:t>根据建设单位提供的资料，项目检验内容及规模</w:t>
            </w:r>
            <w:r>
              <w:rPr>
                <w:rFonts w:hint="eastAsia" w:ascii="Times New Roman" w:hAnsi="Times New Roman" w:cs="Times New Roman"/>
                <w:color w:val="auto"/>
                <w:lang w:eastAsia="zh-CN"/>
              </w:rPr>
              <w:t>见下表。</w:t>
            </w:r>
          </w:p>
          <w:p w14:paraId="3E4AEAE8">
            <w:pPr>
              <w:keepNext w:val="0"/>
              <w:keepLines w:val="0"/>
              <w:widowControl/>
              <w:suppressLineNumbers w:val="0"/>
              <w:spacing w:before="0" w:beforeAutospacing="0" w:after="0" w:afterAutospacing="0" w:line="440" w:lineRule="exact"/>
              <w:ind w:left="0" w:right="0" w:firstLine="482" w:firstLineChars="200"/>
              <w:jc w:val="center"/>
              <w:rPr>
                <w:rFonts w:hint="default" w:ascii="Times New Roman" w:hAnsi="Times New Roman" w:eastAsia="宋体" w:cs="Times New Roman"/>
                <w:b/>
                <w:color w:val="auto"/>
                <w:kern w:val="0"/>
                <w:sz w:val="28"/>
                <w:szCs w:val="28"/>
                <w:highlight w:val="none"/>
              </w:rPr>
            </w:pPr>
            <w:r>
              <w:rPr>
                <w:rFonts w:hint="default" w:ascii="Times New Roman" w:hAnsi="Times New Roman" w:eastAsia="宋体" w:cs="Times New Roman"/>
                <w:b/>
                <w:color w:val="auto"/>
                <w:kern w:val="0"/>
                <w:sz w:val="24"/>
                <w:szCs w:val="20"/>
                <w:highlight w:val="none"/>
              </w:rPr>
              <w:t>表</w:t>
            </w:r>
            <w:r>
              <w:rPr>
                <w:rFonts w:hint="eastAsia" w:cs="Times New Roman"/>
                <w:b/>
                <w:color w:val="auto"/>
                <w:kern w:val="0"/>
                <w:sz w:val="24"/>
                <w:szCs w:val="20"/>
                <w:highlight w:val="none"/>
                <w:lang w:val="en-US" w:eastAsia="zh-CN"/>
              </w:rPr>
              <w:t>2.1-2</w:t>
            </w:r>
            <w:r>
              <w:rPr>
                <w:rFonts w:hint="default" w:ascii="Times New Roman" w:hAnsi="Times New Roman" w:eastAsia="宋体" w:cs="Times New Roman"/>
                <w:b/>
                <w:color w:val="auto"/>
                <w:kern w:val="0"/>
                <w:sz w:val="24"/>
                <w:szCs w:val="20"/>
                <w:highlight w:val="none"/>
              </w:rPr>
              <w:t xml:space="preserve">  项目</w:t>
            </w:r>
            <w:r>
              <w:rPr>
                <w:rFonts w:hint="eastAsia" w:ascii="Times New Roman" w:hAnsi="Times New Roman" w:eastAsia="宋体" w:cs="Times New Roman"/>
                <w:b/>
                <w:color w:val="auto"/>
                <w:kern w:val="0"/>
                <w:sz w:val="24"/>
                <w:szCs w:val="20"/>
                <w:highlight w:val="none"/>
                <w:lang w:eastAsia="zh-CN"/>
              </w:rPr>
              <w:t>检验方案</w:t>
            </w:r>
            <w:r>
              <w:rPr>
                <w:rFonts w:hint="default" w:ascii="Times New Roman" w:hAnsi="Times New Roman" w:eastAsia="宋体" w:cs="Times New Roman"/>
                <w:b/>
                <w:color w:val="auto"/>
                <w:kern w:val="0"/>
                <w:sz w:val="24"/>
                <w:szCs w:val="20"/>
                <w:highlight w:val="none"/>
              </w:rPr>
              <w:t>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2"/>
              <w:gridCol w:w="2726"/>
              <w:gridCol w:w="1928"/>
              <w:gridCol w:w="2869"/>
            </w:tblGrid>
            <w:tr w14:paraId="7BC31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03" w:type="pct"/>
                  <w:tcBorders>
                    <w:tl2br w:val="nil"/>
                    <w:tr2bl w:val="nil"/>
                  </w:tcBorders>
                  <w:noWrap w:val="0"/>
                  <w:vAlign w:val="center"/>
                </w:tcPr>
                <w:p w14:paraId="645D39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b/>
                      <w:color w:val="auto"/>
                      <w:kern w:val="0"/>
                      <w:sz w:val="18"/>
                      <w:szCs w:val="18"/>
                      <w:highlight w:val="none"/>
                      <w:lang w:eastAsia="zh-CN"/>
                    </w:rPr>
                  </w:pPr>
                  <w:r>
                    <w:rPr>
                      <w:rFonts w:hint="default" w:ascii="Times New Roman" w:hAnsi="Times New Roman" w:eastAsia="宋体" w:cs="Times New Roman"/>
                      <w:b/>
                      <w:color w:val="auto"/>
                      <w:kern w:val="0"/>
                      <w:sz w:val="18"/>
                      <w:szCs w:val="18"/>
                      <w:highlight w:val="none"/>
                      <w:lang w:eastAsia="zh-CN"/>
                    </w:rPr>
                    <w:t>序号</w:t>
                  </w:r>
                </w:p>
              </w:tc>
              <w:tc>
                <w:tcPr>
                  <w:tcW w:w="1629" w:type="pct"/>
                  <w:tcBorders>
                    <w:tl2br w:val="nil"/>
                    <w:tr2bl w:val="nil"/>
                  </w:tcBorders>
                  <w:noWrap w:val="0"/>
                  <w:vAlign w:val="center"/>
                </w:tcPr>
                <w:p w14:paraId="62C3B9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b/>
                      <w:color w:val="auto"/>
                      <w:kern w:val="0"/>
                      <w:sz w:val="18"/>
                      <w:szCs w:val="18"/>
                      <w:highlight w:val="none"/>
                      <w:lang w:eastAsia="zh-CN"/>
                    </w:rPr>
                  </w:pPr>
                  <w:r>
                    <w:rPr>
                      <w:rFonts w:hint="default" w:ascii="Times New Roman" w:hAnsi="Times New Roman" w:eastAsia="宋体" w:cs="Times New Roman"/>
                      <w:b/>
                      <w:color w:val="auto"/>
                      <w:kern w:val="0"/>
                      <w:sz w:val="18"/>
                      <w:szCs w:val="18"/>
                      <w:highlight w:val="none"/>
                      <w:lang w:eastAsia="zh-CN"/>
                    </w:rPr>
                    <w:t>检验内容</w:t>
                  </w:r>
                </w:p>
              </w:tc>
              <w:tc>
                <w:tcPr>
                  <w:tcW w:w="1152" w:type="pct"/>
                  <w:tcBorders>
                    <w:tl2br w:val="nil"/>
                    <w:tr2bl w:val="nil"/>
                  </w:tcBorders>
                  <w:noWrap w:val="0"/>
                  <w:vAlign w:val="center"/>
                </w:tcPr>
                <w:p w14:paraId="401E8A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b/>
                      <w:color w:val="auto"/>
                      <w:kern w:val="0"/>
                      <w:sz w:val="18"/>
                      <w:szCs w:val="18"/>
                      <w:highlight w:val="none"/>
                      <w:lang w:val="en-US" w:eastAsia="zh-CN"/>
                    </w:rPr>
                  </w:pPr>
                  <w:r>
                    <w:rPr>
                      <w:rFonts w:hint="default" w:ascii="Times New Roman" w:hAnsi="Times New Roman" w:eastAsia="宋体" w:cs="Times New Roman"/>
                      <w:b/>
                      <w:color w:val="auto"/>
                      <w:kern w:val="0"/>
                      <w:sz w:val="18"/>
                      <w:szCs w:val="18"/>
                      <w:highlight w:val="none"/>
                      <w:lang w:eastAsia="zh-CN"/>
                    </w:rPr>
                    <w:t>年检测量</w:t>
                  </w:r>
                  <w:r>
                    <w:rPr>
                      <w:rFonts w:hint="default" w:ascii="Times New Roman" w:hAnsi="Times New Roman" w:eastAsia="宋体" w:cs="Times New Roman"/>
                      <w:b/>
                      <w:color w:val="auto"/>
                      <w:kern w:val="0"/>
                      <w:sz w:val="18"/>
                      <w:szCs w:val="18"/>
                      <w:highlight w:val="none"/>
                      <w:lang w:val="en-US" w:eastAsia="zh-CN"/>
                    </w:rPr>
                    <w:t>/次数</w:t>
                  </w:r>
                </w:p>
              </w:tc>
              <w:tc>
                <w:tcPr>
                  <w:tcW w:w="1714" w:type="pct"/>
                  <w:tcBorders>
                    <w:tl2br w:val="nil"/>
                    <w:tr2bl w:val="nil"/>
                  </w:tcBorders>
                  <w:noWrap w:val="0"/>
                  <w:vAlign w:val="center"/>
                </w:tcPr>
                <w:p w14:paraId="4ADC1B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default" w:ascii="Times New Roman" w:hAnsi="Times New Roman" w:eastAsia="宋体" w:cs="Times New Roman"/>
                      <w:b/>
                      <w:color w:val="auto"/>
                      <w:kern w:val="0"/>
                      <w:sz w:val="18"/>
                      <w:szCs w:val="18"/>
                      <w:highlight w:val="none"/>
                      <w:lang w:val="en-US" w:eastAsia="zh-CN"/>
                    </w:rPr>
                  </w:pPr>
                  <w:r>
                    <w:rPr>
                      <w:rFonts w:hint="default" w:ascii="Times New Roman" w:hAnsi="Times New Roman" w:eastAsia="宋体" w:cs="Times New Roman"/>
                      <w:b/>
                      <w:color w:val="auto"/>
                      <w:kern w:val="0"/>
                      <w:sz w:val="18"/>
                      <w:szCs w:val="18"/>
                      <w:highlight w:val="none"/>
                      <w:lang w:val="en-US" w:eastAsia="zh-CN"/>
                    </w:rPr>
                    <w:t>检测方法</w:t>
                  </w:r>
                </w:p>
              </w:tc>
            </w:tr>
            <w:tr w14:paraId="5295E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0F5424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629" w:type="pct"/>
                  <w:tcBorders>
                    <w:tl2br w:val="nil"/>
                    <w:tr2bl w:val="nil"/>
                  </w:tcBorders>
                  <w:noWrap w:val="0"/>
                  <w:vAlign w:val="center"/>
                </w:tcPr>
                <w:p w14:paraId="57768D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rPr>
                  </w:pPr>
                  <w:r>
                    <w:rPr>
                      <w:rFonts w:hint="default" w:ascii="Times New Roman" w:hAnsi="Times New Roman" w:eastAsia="宋体" w:cs="Times New Roman"/>
                      <w:color w:val="auto"/>
                      <w:sz w:val="18"/>
                      <w:szCs w:val="18"/>
                      <w:highlight w:val="none"/>
                      <w:lang w:val="en-US" w:eastAsia="zh-CN"/>
                    </w:rPr>
                    <w:t>蛋白质样品检测</w:t>
                  </w:r>
                </w:p>
              </w:tc>
              <w:tc>
                <w:tcPr>
                  <w:tcW w:w="1152" w:type="pct"/>
                  <w:tcBorders>
                    <w:tl2br w:val="nil"/>
                    <w:tr2bl w:val="nil"/>
                  </w:tcBorders>
                  <w:noWrap w:val="0"/>
                  <w:vAlign w:val="center"/>
                </w:tcPr>
                <w:p w14:paraId="6AB7C1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val="en-US"/>
                    </w:rPr>
                  </w:pPr>
                  <w:r>
                    <w:rPr>
                      <w:rFonts w:hint="default" w:ascii="Times New Roman" w:hAnsi="Times New Roman" w:eastAsia="宋体" w:cs="Times New Roman"/>
                      <w:color w:val="auto"/>
                      <w:sz w:val="18"/>
                      <w:szCs w:val="18"/>
                      <w:highlight w:val="none"/>
                      <w:lang w:val="en-US" w:eastAsia="zh-CN"/>
                    </w:rPr>
                    <w:t>50000次</w:t>
                  </w:r>
                </w:p>
              </w:tc>
              <w:tc>
                <w:tcPr>
                  <w:tcW w:w="1714" w:type="pct"/>
                  <w:tcBorders>
                    <w:tl2br w:val="nil"/>
                    <w:tr2bl w:val="nil"/>
                  </w:tcBorders>
                  <w:noWrap w:val="0"/>
                  <w:vAlign w:val="center"/>
                </w:tcPr>
                <w:p w14:paraId="0C7755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rPr>
                  </w:pPr>
                  <w:r>
                    <w:rPr>
                      <w:rFonts w:hint="default" w:ascii="Times New Roman" w:hAnsi="Times New Roman" w:eastAsia="宋体" w:cs="Times New Roman"/>
                      <w:color w:val="auto"/>
                      <w:kern w:val="24"/>
                      <w:sz w:val="18"/>
                      <w:szCs w:val="18"/>
                      <w:highlight w:val="none"/>
                      <w:lang w:val="en-US" w:eastAsia="zh-CN"/>
                    </w:rPr>
                    <w:t>蛋白质印迹法</w:t>
                  </w:r>
                </w:p>
              </w:tc>
            </w:tr>
            <w:tr w14:paraId="15B75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12D0F3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1629" w:type="pct"/>
                  <w:tcBorders>
                    <w:tl2br w:val="nil"/>
                    <w:tr2bl w:val="nil"/>
                  </w:tcBorders>
                  <w:noWrap w:val="0"/>
                  <w:vAlign w:val="center"/>
                </w:tcPr>
                <w:p w14:paraId="75C483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val="en-US"/>
                    </w:rPr>
                  </w:pPr>
                  <w:r>
                    <w:rPr>
                      <w:rFonts w:hint="default" w:ascii="Times New Roman" w:hAnsi="Times New Roman" w:eastAsia="宋体" w:cs="Times New Roman"/>
                      <w:color w:val="auto"/>
                      <w:sz w:val="18"/>
                      <w:szCs w:val="18"/>
                      <w:highlight w:val="none"/>
                      <w:lang w:val="en-US" w:eastAsia="zh-CN"/>
                    </w:rPr>
                    <w:t>PCR检测</w:t>
                  </w:r>
                </w:p>
              </w:tc>
              <w:tc>
                <w:tcPr>
                  <w:tcW w:w="1152" w:type="pct"/>
                  <w:tcBorders>
                    <w:tl2br w:val="nil"/>
                    <w:tr2bl w:val="nil"/>
                  </w:tcBorders>
                  <w:noWrap w:val="0"/>
                  <w:vAlign w:val="center"/>
                </w:tcPr>
                <w:p w14:paraId="44CE96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rPr>
                  </w:pPr>
                  <w:r>
                    <w:rPr>
                      <w:rFonts w:hint="default" w:ascii="Times New Roman" w:hAnsi="Times New Roman" w:eastAsia="宋体" w:cs="Times New Roman"/>
                      <w:color w:val="auto"/>
                      <w:sz w:val="18"/>
                      <w:szCs w:val="18"/>
                      <w:highlight w:val="none"/>
                      <w:lang w:val="en-US" w:eastAsia="zh-CN"/>
                    </w:rPr>
                    <w:t>20000个</w:t>
                  </w:r>
                </w:p>
              </w:tc>
              <w:tc>
                <w:tcPr>
                  <w:tcW w:w="1714" w:type="pct"/>
                  <w:tcBorders>
                    <w:tl2br w:val="nil"/>
                    <w:tr2bl w:val="nil"/>
                  </w:tcBorders>
                  <w:noWrap w:val="0"/>
                  <w:vAlign w:val="center"/>
                </w:tcPr>
                <w:p w14:paraId="3C8AD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rPr>
                  </w:pPr>
                  <w:r>
                    <w:rPr>
                      <w:rFonts w:hint="default" w:ascii="Times New Roman" w:hAnsi="Times New Roman" w:eastAsia="宋体" w:cs="Times New Roman"/>
                      <w:color w:val="auto"/>
                      <w:kern w:val="24"/>
                      <w:sz w:val="18"/>
                      <w:szCs w:val="18"/>
                      <w:highlight w:val="none"/>
                      <w:lang w:val="en-US" w:eastAsia="zh-CN"/>
                    </w:rPr>
                    <w:t>SYBR green和Taqman Probe</w:t>
                  </w:r>
                </w:p>
              </w:tc>
            </w:tr>
            <w:tr w14:paraId="6E712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14C9BF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1629" w:type="pct"/>
                  <w:tcBorders>
                    <w:tl2br w:val="nil"/>
                    <w:tr2bl w:val="nil"/>
                  </w:tcBorders>
                  <w:noWrap w:val="0"/>
                  <w:vAlign w:val="center"/>
                </w:tcPr>
                <w:p w14:paraId="7F9BF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rPr>
                  </w:pPr>
                  <w:r>
                    <w:rPr>
                      <w:rFonts w:hint="default" w:ascii="Times New Roman" w:hAnsi="Times New Roman" w:eastAsia="宋体" w:cs="Times New Roman"/>
                      <w:color w:val="auto"/>
                      <w:sz w:val="18"/>
                      <w:szCs w:val="18"/>
                      <w:highlight w:val="none"/>
                      <w:lang w:val="en-US" w:eastAsia="zh-CN"/>
                    </w:rPr>
                    <w:t>细胞免疫样品检测</w:t>
                  </w:r>
                </w:p>
              </w:tc>
              <w:tc>
                <w:tcPr>
                  <w:tcW w:w="1152" w:type="pct"/>
                  <w:tcBorders>
                    <w:tl2br w:val="nil"/>
                    <w:tr2bl w:val="nil"/>
                  </w:tcBorders>
                  <w:noWrap w:val="0"/>
                  <w:vAlign w:val="center"/>
                </w:tcPr>
                <w:p w14:paraId="4403B8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rPr>
                  </w:pPr>
                  <w:r>
                    <w:rPr>
                      <w:rFonts w:hint="default" w:ascii="Times New Roman" w:hAnsi="Times New Roman" w:eastAsia="宋体" w:cs="Times New Roman"/>
                      <w:color w:val="auto"/>
                      <w:sz w:val="18"/>
                      <w:szCs w:val="18"/>
                      <w:highlight w:val="none"/>
                      <w:lang w:val="en-US" w:eastAsia="zh-CN"/>
                    </w:rPr>
                    <w:t>80000个</w:t>
                  </w:r>
                </w:p>
              </w:tc>
              <w:tc>
                <w:tcPr>
                  <w:tcW w:w="1714" w:type="pct"/>
                  <w:tcBorders>
                    <w:tl2br w:val="nil"/>
                    <w:tr2bl w:val="nil"/>
                  </w:tcBorders>
                  <w:noWrap w:val="0"/>
                  <w:vAlign w:val="center"/>
                </w:tcPr>
                <w:p w14:paraId="2E08E6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eastAsia="zh-CN"/>
                    </w:rPr>
                  </w:pPr>
                  <w:r>
                    <w:rPr>
                      <w:rFonts w:hint="default" w:ascii="Times New Roman" w:hAnsi="Times New Roman" w:eastAsia="宋体" w:cs="Times New Roman"/>
                      <w:color w:val="auto"/>
                      <w:kern w:val="24"/>
                      <w:sz w:val="18"/>
                      <w:szCs w:val="18"/>
                      <w:highlight w:val="none"/>
                    </w:rPr>
                    <w:t>倒置免疫</w:t>
                  </w:r>
                  <w:r>
                    <w:rPr>
                      <w:rFonts w:hint="eastAsia" w:cs="Times New Roman"/>
                      <w:color w:val="auto"/>
                      <w:kern w:val="24"/>
                      <w:sz w:val="18"/>
                      <w:szCs w:val="18"/>
                      <w:highlight w:val="none"/>
                      <w:lang w:eastAsia="zh-CN"/>
                    </w:rPr>
                    <w:t>萤光</w:t>
                  </w:r>
                  <w:r>
                    <w:rPr>
                      <w:rFonts w:hint="default" w:ascii="Times New Roman" w:hAnsi="Times New Roman" w:eastAsia="宋体" w:cs="Times New Roman"/>
                      <w:color w:val="auto"/>
                      <w:kern w:val="24"/>
                      <w:sz w:val="18"/>
                      <w:szCs w:val="18"/>
                      <w:highlight w:val="none"/>
                      <w:lang w:eastAsia="zh-CN"/>
                    </w:rPr>
                    <w:t>法</w:t>
                  </w:r>
                </w:p>
              </w:tc>
            </w:tr>
            <w:tr w14:paraId="72391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63CAE5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1629" w:type="pct"/>
                  <w:tcBorders>
                    <w:tl2br w:val="nil"/>
                    <w:tr2bl w:val="nil"/>
                  </w:tcBorders>
                  <w:noWrap w:val="0"/>
                  <w:vAlign w:val="center"/>
                </w:tcPr>
                <w:p w14:paraId="24336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rPr>
                  </w:pPr>
                  <w:r>
                    <w:rPr>
                      <w:rFonts w:hint="default" w:ascii="Times New Roman" w:hAnsi="Times New Roman" w:eastAsia="宋体" w:cs="Times New Roman"/>
                      <w:color w:val="auto"/>
                      <w:sz w:val="18"/>
                      <w:szCs w:val="18"/>
                      <w:highlight w:val="none"/>
                      <w:lang w:val="en-US" w:eastAsia="zh-CN"/>
                    </w:rPr>
                    <w:t>细胞增殖实验（CCK8）</w:t>
                  </w:r>
                </w:p>
              </w:tc>
              <w:tc>
                <w:tcPr>
                  <w:tcW w:w="1152" w:type="pct"/>
                  <w:tcBorders>
                    <w:tl2br w:val="nil"/>
                    <w:tr2bl w:val="nil"/>
                  </w:tcBorders>
                  <w:noWrap w:val="0"/>
                  <w:vAlign w:val="center"/>
                </w:tcPr>
                <w:p w14:paraId="0E4F4B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rPr>
                  </w:pPr>
                  <w:r>
                    <w:rPr>
                      <w:rFonts w:hint="default" w:ascii="Times New Roman" w:hAnsi="Times New Roman" w:eastAsia="宋体" w:cs="Times New Roman"/>
                      <w:color w:val="auto"/>
                      <w:sz w:val="18"/>
                      <w:szCs w:val="18"/>
                      <w:highlight w:val="none"/>
                      <w:lang w:val="en-US" w:eastAsia="zh-CN"/>
                    </w:rPr>
                    <w:t>600000个</w:t>
                  </w:r>
                </w:p>
              </w:tc>
              <w:tc>
                <w:tcPr>
                  <w:tcW w:w="1714" w:type="pct"/>
                  <w:tcBorders>
                    <w:tl2br w:val="nil"/>
                    <w:tr2bl w:val="nil"/>
                  </w:tcBorders>
                  <w:noWrap w:val="0"/>
                  <w:vAlign w:val="center"/>
                </w:tcPr>
                <w:p w14:paraId="6A1F5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eastAsia="zh-CN"/>
                    </w:rPr>
                  </w:pPr>
                  <w:r>
                    <w:rPr>
                      <w:rFonts w:hint="default" w:ascii="Times New Roman" w:hAnsi="Times New Roman" w:eastAsia="宋体" w:cs="Times New Roman"/>
                      <w:color w:val="auto"/>
                      <w:kern w:val="24"/>
                      <w:sz w:val="18"/>
                      <w:szCs w:val="18"/>
                      <w:highlight w:val="none"/>
                    </w:rPr>
                    <w:t>电子耦合</w:t>
                  </w:r>
                  <w:r>
                    <w:rPr>
                      <w:rFonts w:hint="default" w:ascii="Times New Roman" w:hAnsi="Times New Roman" w:eastAsia="宋体" w:cs="Times New Roman"/>
                      <w:color w:val="auto"/>
                      <w:kern w:val="24"/>
                      <w:sz w:val="18"/>
                      <w:szCs w:val="18"/>
                      <w:highlight w:val="none"/>
                      <w:lang w:eastAsia="zh-CN"/>
                    </w:rPr>
                    <w:t>法</w:t>
                  </w:r>
                </w:p>
              </w:tc>
            </w:tr>
            <w:tr w14:paraId="417AC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271225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1629" w:type="pct"/>
                  <w:tcBorders>
                    <w:tl2br w:val="nil"/>
                    <w:tr2bl w:val="nil"/>
                  </w:tcBorders>
                  <w:noWrap w:val="0"/>
                  <w:vAlign w:val="center"/>
                </w:tcPr>
                <w:p w14:paraId="28EE33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rPr>
                  </w:pPr>
                  <w:r>
                    <w:rPr>
                      <w:rFonts w:hint="default" w:ascii="Times New Roman" w:hAnsi="Times New Roman" w:eastAsia="宋体" w:cs="Times New Roman"/>
                      <w:color w:val="auto"/>
                      <w:sz w:val="18"/>
                      <w:szCs w:val="18"/>
                    </w:rPr>
                    <w:t>细胞迁移实验（</w:t>
                  </w:r>
                  <w:r>
                    <w:rPr>
                      <w:rFonts w:hint="eastAsia" w:cs="Times New Roman"/>
                      <w:color w:val="auto"/>
                      <w:sz w:val="18"/>
                      <w:szCs w:val="18"/>
                      <w:lang w:eastAsia="zh-CN"/>
                    </w:rPr>
                    <w:t>划痕试验</w:t>
                  </w:r>
                  <w:r>
                    <w:rPr>
                      <w:rFonts w:hint="default" w:ascii="Times New Roman" w:hAnsi="Times New Roman" w:eastAsia="宋体" w:cs="Times New Roman"/>
                      <w:color w:val="auto"/>
                      <w:sz w:val="18"/>
                      <w:szCs w:val="18"/>
                    </w:rPr>
                    <w:t>）</w:t>
                  </w:r>
                </w:p>
              </w:tc>
              <w:tc>
                <w:tcPr>
                  <w:tcW w:w="1152" w:type="pct"/>
                  <w:tcBorders>
                    <w:tl2br w:val="nil"/>
                    <w:tr2bl w:val="nil"/>
                  </w:tcBorders>
                  <w:noWrap w:val="0"/>
                  <w:vAlign w:val="center"/>
                </w:tcPr>
                <w:p w14:paraId="705624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rPr>
                  </w:pPr>
                  <w:r>
                    <w:rPr>
                      <w:rFonts w:hint="default" w:ascii="Times New Roman" w:hAnsi="Times New Roman" w:eastAsia="宋体" w:cs="Times New Roman"/>
                      <w:color w:val="auto"/>
                      <w:sz w:val="18"/>
                      <w:szCs w:val="18"/>
                      <w:highlight w:val="none"/>
                      <w:lang w:val="en-US" w:eastAsia="zh-CN"/>
                    </w:rPr>
                    <w:t>600000个</w:t>
                  </w:r>
                </w:p>
              </w:tc>
              <w:tc>
                <w:tcPr>
                  <w:tcW w:w="1714" w:type="pct"/>
                  <w:tcBorders>
                    <w:tl2br w:val="nil"/>
                    <w:tr2bl w:val="nil"/>
                  </w:tcBorders>
                  <w:noWrap w:val="0"/>
                  <w:vAlign w:val="center"/>
                </w:tcPr>
                <w:p w14:paraId="086A4D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eastAsia="zh-CN"/>
                    </w:rPr>
                  </w:pPr>
                  <w:r>
                    <w:rPr>
                      <w:rFonts w:hint="default" w:ascii="Times New Roman" w:hAnsi="Times New Roman" w:eastAsia="宋体" w:cs="Times New Roman"/>
                      <w:color w:val="auto"/>
                      <w:kern w:val="24"/>
                      <w:sz w:val="18"/>
                      <w:szCs w:val="18"/>
                      <w:highlight w:val="none"/>
                      <w:lang w:eastAsia="zh-CN"/>
                    </w:rPr>
                    <w:t>孔板检测法</w:t>
                  </w:r>
                </w:p>
              </w:tc>
            </w:tr>
            <w:tr w14:paraId="28F45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2C76D1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1629" w:type="pct"/>
                  <w:tcBorders>
                    <w:tl2br w:val="nil"/>
                    <w:tr2bl w:val="nil"/>
                  </w:tcBorders>
                  <w:noWrap w:val="0"/>
                  <w:vAlign w:val="center"/>
                </w:tcPr>
                <w:p w14:paraId="1CFD16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细胞侵袭实验</w:t>
                  </w:r>
                </w:p>
              </w:tc>
              <w:tc>
                <w:tcPr>
                  <w:tcW w:w="1152" w:type="pct"/>
                  <w:tcBorders>
                    <w:tl2br w:val="nil"/>
                    <w:tr2bl w:val="nil"/>
                  </w:tcBorders>
                  <w:noWrap w:val="0"/>
                  <w:vAlign w:val="center"/>
                </w:tcPr>
                <w:p w14:paraId="23BC91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45000000个</w:t>
                  </w:r>
                </w:p>
              </w:tc>
              <w:tc>
                <w:tcPr>
                  <w:tcW w:w="1714" w:type="pct"/>
                  <w:tcBorders>
                    <w:tl2br w:val="nil"/>
                    <w:tr2bl w:val="nil"/>
                  </w:tcBorders>
                  <w:noWrap w:val="0"/>
                  <w:vAlign w:val="center"/>
                </w:tcPr>
                <w:p w14:paraId="5B23A6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eastAsia="zh-CN"/>
                    </w:rPr>
                  </w:pPr>
                  <w:r>
                    <w:rPr>
                      <w:rFonts w:hint="default" w:ascii="Times New Roman" w:hAnsi="Times New Roman" w:eastAsia="宋体" w:cs="Times New Roman"/>
                      <w:color w:val="auto"/>
                      <w:kern w:val="24"/>
                      <w:sz w:val="18"/>
                      <w:szCs w:val="18"/>
                      <w:highlight w:val="none"/>
                      <w:lang w:val="en-US" w:eastAsia="zh-CN"/>
                    </w:rPr>
                    <w:t>Transwell法</w:t>
                  </w:r>
                </w:p>
              </w:tc>
            </w:tr>
            <w:tr w14:paraId="3120C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6D9485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p>
              </w:tc>
              <w:tc>
                <w:tcPr>
                  <w:tcW w:w="1629" w:type="pct"/>
                  <w:tcBorders>
                    <w:tl2br w:val="nil"/>
                    <w:tr2bl w:val="nil"/>
                  </w:tcBorders>
                  <w:noWrap w:val="0"/>
                  <w:vAlign w:val="center"/>
                </w:tcPr>
                <w:p w14:paraId="67DC4E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腺病毒滴度测定</w:t>
                  </w:r>
                </w:p>
              </w:tc>
              <w:tc>
                <w:tcPr>
                  <w:tcW w:w="1152" w:type="pct"/>
                  <w:tcBorders>
                    <w:tl2br w:val="nil"/>
                    <w:tr2bl w:val="nil"/>
                  </w:tcBorders>
                  <w:noWrap w:val="0"/>
                  <w:vAlign w:val="center"/>
                </w:tcPr>
                <w:p w14:paraId="7B1C93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150000000个</w:t>
                  </w:r>
                </w:p>
              </w:tc>
              <w:tc>
                <w:tcPr>
                  <w:tcW w:w="1714" w:type="pct"/>
                  <w:tcBorders>
                    <w:tl2br w:val="nil"/>
                    <w:tr2bl w:val="nil"/>
                  </w:tcBorders>
                  <w:noWrap w:val="0"/>
                  <w:vAlign w:val="center"/>
                </w:tcPr>
                <w:p w14:paraId="5C46C9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val="en-US" w:eastAsia="zh-CN"/>
                    </w:rPr>
                  </w:pPr>
                  <w:r>
                    <w:rPr>
                      <w:rFonts w:hint="default" w:ascii="Times New Roman" w:hAnsi="Times New Roman" w:eastAsia="宋体" w:cs="Times New Roman"/>
                      <w:color w:val="auto"/>
                      <w:kern w:val="24"/>
                      <w:sz w:val="18"/>
                      <w:szCs w:val="18"/>
                      <w:highlight w:val="none"/>
                      <w:lang w:val="en-US" w:eastAsia="zh-CN"/>
                    </w:rPr>
                    <w:t>溶液稀释法</w:t>
                  </w:r>
                </w:p>
              </w:tc>
            </w:tr>
            <w:tr w14:paraId="66025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3F23B6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1629" w:type="pct"/>
                  <w:tcBorders>
                    <w:tl2br w:val="nil"/>
                    <w:tr2bl w:val="nil"/>
                  </w:tcBorders>
                  <w:noWrap w:val="0"/>
                  <w:vAlign w:val="center"/>
                </w:tcPr>
                <w:p w14:paraId="435E7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慢病</w:t>
                  </w:r>
                  <w:r>
                    <w:rPr>
                      <w:rFonts w:hint="default" w:ascii="Times New Roman" w:hAnsi="Times New Roman" w:eastAsia="宋体" w:cs="Times New Roman"/>
                      <w:color w:val="auto"/>
                      <w:sz w:val="18"/>
                      <w:szCs w:val="18"/>
                      <w:lang w:val="en-US" w:eastAsia="zh-CN"/>
                    </w:rPr>
                    <w:t>病毒</w:t>
                  </w:r>
                  <w:r>
                    <w:rPr>
                      <w:rFonts w:hint="default" w:ascii="Times New Roman" w:hAnsi="Times New Roman" w:eastAsia="宋体" w:cs="Times New Roman"/>
                      <w:color w:val="auto"/>
                      <w:sz w:val="18"/>
                      <w:szCs w:val="18"/>
                      <w:highlight w:val="none"/>
                      <w:lang w:val="en-US" w:eastAsia="zh-CN"/>
                    </w:rPr>
                    <w:t>检测</w:t>
                  </w:r>
                </w:p>
              </w:tc>
              <w:tc>
                <w:tcPr>
                  <w:tcW w:w="1152" w:type="pct"/>
                  <w:tcBorders>
                    <w:tl2br w:val="nil"/>
                    <w:tr2bl w:val="nil"/>
                  </w:tcBorders>
                  <w:noWrap w:val="0"/>
                  <w:vAlign w:val="center"/>
                </w:tcPr>
                <w:p w14:paraId="6937F3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150000000个</w:t>
                  </w:r>
                </w:p>
              </w:tc>
              <w:tc>
                <w:tcPr>
                  <w:tcW w:w="1714" w:type="pct"/>
                  <w:tcBorders>
                    <w:tl2br w:val="nil"/>
                    <w:tr2bl w:val="nil"/>
                  </w:tcBorders>
                  <w:noWrap w:val="0"/>
                  <w:vAlign w:val="center"/>
                </w:tcPr>
                <w:p w14:paraId="45F7E9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val="en-US" w:eastAsia="zh-CN"/>
                    </w:rPr>
                  </w:pPr>
                  <w:r>
                    <w:rPr>
                      <w:rFonts w:hint="default" w:ascii="Times New Roman" w:hAnsi="Times New Roman" w:eastAsia="宋体" w:cs="Times New Roman"/>
                      <w:color w:val="auto"/>
                      <w:kern w:val="24"/>
                      <w:sz w:val="18"/>
                      <w:szCs w:val="18"/>
                      <w:highlight w:val="none"/>
                      <w:lang w:val="en-US" w:eastAsia="zh-CN"/>
                    </w:rPr>
                    <w:t>溶液稀释法</w:t>
                  </w:r>
                </w:p>
              </w:tc>
            </w:tr>
            <w:tr w14:paraId="5712F4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0255C3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1629" w:type="pct"/>
                  <w:tcBorders>
                    <w:tl2br w:val="nil"/>
                    <w:tr2bl w:val="nil"/>
                  </w:tcBorders>
                  <w:noWrap w:val="0"/>
                  <w:vAlign w:val="center"/>
                </w:tcPr>
                <w:p w14:paraId="50C2BC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双</w:t>
                  </w:r>
                  <w:r>
                    <w:rPr>
                      <w:rFonts w:hint="eastAsia" w:cs="Times New Roman"/>
                      <w:color w:val="auto"/>
                      <w:sz w:val="18"/>
                      <w:szCs w:val="18"/>
                      <w:lang w:val="en-US" w:eastAsia="zh-CN"/>
                    </w:rPr>
                    <w:t>萤光</w:t>
                  </w:r>
                  <w:r>
                    <w:rPr>
                      <w:rFonts w:hint="default" w:ascii="Times New Roman" w:hAnsi="Times New Roman" w:eastAsia="宋体" w:cs="Times New Roman"/>
                      <w:color w:val="auto"/>
                      <w:sz w:val="18"/>
                      <w:szCs w:val="18"/>
                      <w:lang w:val="en-US" w:eastAsia="zh-CN"/>
                    </w:rPr>
                    <w:t>素酶基因检测</w:t>
                  </w:r>
                </w:p>
              </w:tc>
              <w:tc>
                <w:tcPr>
                  <w:tcW w:w="1152" w:type="pct"/>
                  <w:tcBorders>
                    <w:tl2br w:val="nil"/>
                    <w:tr2bl w:val="nil"/>
                  </w:tcBorders>
                  <w:noWrap w:val="0"/>
                  <w:vAlign w:val="center"/>
                </w:tcPr>
                <w:p w14:paraId="365779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30000次</w:t>
                  </w:r>
                </w:p>
              </w:tc>
              <w:tc>
                <w:tcPr>
                  <w:tcW w:w="1714" w:type="pct"/>
                  <w:tcBorders>
                    <w:tl2br w:val="nil"/>
                    <w:tr2bl w:val="nil"/>
                  </w:tcBorders>
                  <w:noWrap w:val="0"/>
                  <w:vAlign w:val="center"/>
                </w:tcPr>
                <w:p w14:paraId="629903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val="en-US" w:eastAsia="zh-CN"/>
                    </w:rPr>
                  </w:pPr>
                  <w:r>
                    <w:rPr>
                      <w:rFonts w:hint="default" w:ascii="Times New Roman" w:hAnsi="Times New Roman" w:eastAsia="宋体" w:cs="Times New Roman"/>
                      <w:color w:val="auto"/>
                      <w:kern w:val="24"/>
                      <w:sz w:val="18"/>
                      <w:szCs w:val="18"/>
                      <w:highlight w:val="none"/>
                      <w:lang w:val="en-US" w:eastAsia="zh-CN"/>
                    </w:rPr>
                    <w:t>溶液稀释法</w:t>
                  </w:r>
                </w:p>
              </w:tc>
            </w:tr>
            <w:tr w14:paraId="34C91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6EB69A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1629" w:type="pct"/>
                  <w:tcBorders>
                    <w:tl2br w:val="nil"/>
                    <w:tr2bl w:val="nil"/>
                  </w:tcBorders>
                  <w:noWrap w:val="0"/>
                  <w:vAlign w:val="center"/>
                </w:tcPr>
                <w:p w14:paraId="4A9E7D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染色质检测</w:t>
                  </w:r>
                </w:p>
              </w:tc>
              <w:tc>
                <w:tcPr>
                  <w:tcW w:w="1152" w:type="pct"/>
                  <w:tcBorders>
                    <w:tl2br w:val="nil"/>
                    <w:tr2bl w:val="nil"/>
                  </w:tcBorders>
                  <w:noWrap w:val="0"/>
                  <w:vAlign w:val="center"/>
                </w:tcPr>
                <w:p w14:paraId="32CF87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30000次</w:t>
                  </w:r>
                </w:p>
              </w:tc>
              <w:tc>
                <w:tcPr>
                  <w:tcW w:w="1714" w:type="pct"/>
                  <w:tcBorders>
                    <w:tl2br w:val="nil"/>
                    <w:tr2bl w:val="nil"/>
                  </w:tcBorders>
                  <w:noWrap w:val="0"/>
                  <w:vAlign w:val="center"/>
                </w:tcPr>
                <w:p w14:paraId="1FFF49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val="en-US" w:eastAsia="zh-CN"/>
                    </w:rPr>
                  </w:pPr>
                  <w:r>
                    <w:rPr>
                      <w:rFonts w:hint="default" w:ascii="Times New Roman" w:hAnsi="Times New Roman" w:eastAsia="宋体" w:cs="Times New Roman"/>
                      <w:color w:val="auto"/>
                      <w:kern w:val="24"/>
                      <w:sz w:val="18"/>
                      <w:szCs w:val="18"/>
                      <w:highlight w:val="none"/>
                      <w:lang w:val="en-US" w:eastAsia="zh-CN"/>
                    </w:rPr>
                    <w:t>免疫沉淀法</w:t>
                  </w:r>
                </w:p>
              </w:tc>
            </w:tr>
            <w:tr w14:paraId="518A82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62C40C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1629" w:type="pct"/>
                  <w:tcBorders>
                    <w:tl2br w:val="nil"/>
                    <w:tr2bl w:val="nil"/>
                  </w:tcBorders>
                  <w:noWrap w:val="0"/>
                  <w:vAlign w:val="center"/>
                </w:tcPr>
                <w:p w14:paraId="6C4C4A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启动子活性检测</w:t>
                  </w:r>
                </w:p>
              </w:tc>
              <w:tc>
                <w:tcPr>
                  <w:tcW w:w="1152" w:type="pct"/>
                  <w:tcBorders>
                    <w:tl2br w:val="nil"/>
                    <w:tr2bl w:val="nil"/>
                  </w:tcBorders>
                  <w:noWrap w:val="0"/>
                  <w:vAlign w:val="center"/>
                </w:tcPr>
                <w:p w14:paraId="7C462E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70000次</w:t>
                  </w:r>
                </w:p>
              </w:tc>
              <w:tc>
                <w:tcPr>
                  <w:tcW w:w="1714" w:type="pct"/>
                  <w:tcBorders>
                    <w:tl2br w:val="nil"/>
                    <w:tr2bl w:val="nil"/>
                  </w:tcBorders>
                  <w:noWrap w:val="0"/>
                  <w:vAlign w:val="center"/>
                </w:tcPr>
                <w:p w14:paraId="03C894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val="en-US" w:eastAsia="zh-CN"/>
                    </w:rPr>
                  </w:pPr>
                  <w:r>
                    <w:rPr>
                      <w:rFonts w:hint="default" w:ascii="Times New Roman" w:hAnsi="Times New Roman" w:eastAsia="宋体" w:cs="Times New Roman"/>
                      <w:color w:val="auto"/>
                      <w:kern w:val="24"/>
                      <w:sz w:val="18"/>
                      <w:szCs w:val="18"/>
                      <w:highlight w:val="none"/>
                      <w:lang w:val="en-US" w:eastAsia="zh-CN"/>
                    </w:rPr>
                    <w:t>Gaussia和SEAP基因检测技术</w:t>
                  </w:r>
                </w:p>
              </w:tc>
            </w:tr>
            <w:tr w14:paraId="368C9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6648E2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1629" w:type="pct"/>
                  <w:tcBorders>
                    <w:tl2br w:val="nil"/>
                    <w:tr2bl w:val="nil"/>
                  </w:tcBorders>
                  <w:noWrap w:val="0"/>
                  <w:vAlign w:val="center"/>
                </w:tcPr>
                <w:p w14:paraId="22B6BA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肾脏病理检测</w:t>
                  </w:r>
                </w:p>
              </w:tc>
              <w:tc>
                <w:tcPr>
                  <w:tcW w:w="1152" w:type="pct"/>
                  <w:tcBorders>
                    <w:tl2br w:val="nil"/>
                    <w:tr2bl w:val="nil"/>
                  </w:tcBorders>
                  <w:noWrap w:val="0"/>
                  <w:vAlign w:val="center"/>
                </w:tcPr>
                <w:p w14:paraId="38B393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70000次</w:t>
                  </w:r>
                </w:p>
              </w:tc>
              <w:tc>
                <w:tcPr>
                  <w:tcW w:w="1714" w:type="pct"/>
                  <w:tcBorders>
                    <w:tl2br w:val="nil"/>
                    <w:tr2bl w:val="nil"/>
                  </w:tcBorders>
                  <w:noWrap w:val="0"/>
                  <w:vAlign w:val="center"/>
                </w:tcPr>
                <w:p w14:paraId="34B221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val="en-US" w:eastAsia="zh-CN"/>
                    </w:rPr>
                  </w:pPr>
                  <w:r>
                    <w:rPr>
                      <w:rFonts w:hint="default" w:ascii="Times New Roman" w:hAnsi="Times New Roman" w:eastAsia="宋体" w:cs="Times New Roman"/>
                      <w:color w:val="auto"/>
                      <w:kern w:val="24"/>
                      <w:sz w:val="18"/>
                      <w:szCs w:val="18"/>
                      <w:highlight w:val="none"/>
                      <w:lang w:val="en-US" w:eastAsia="zh-CN"/>
                    </w:rPr>
                    <w:t>动物实验法</w:t>
                  </w:r>
                </w:p>
              </w:tc>
            </w:tr>
            <w:tr w14:paraId="65387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3" w:type="pct"/>
                  <w:tcBorders>
                    <w:tl2br w:val="nil"/>
                    <w:tr2bl w:val="nil"/>
                  </w:tcBorders>
                  <w:noWrap w:val="0"/>
                  <w:vAlign w:val="center"/>
                </w:tcPr>
                <w:p w14:paraId="6F1406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w:t>
                  </w:r>
                </w:p>
              </w:tc>
              <w:tc>
                <w:tcPr>
                  <w:tcW w:w="1629" w:type="pct"/>
                  <w:tcBorders>
                    <w:tl2br w:val="nil"/>
                    <w:tr2bl w:val="nil"/>
                  </w:tcBorders>
                  <w:noWrap w:val="0"/>
                  <w:vAlign w:val="center"/>
                </w:tcPr>
                <w:p w14:paraId="30FC7F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肺病理检测</w:t>
                  </w:r>
                </w:p>
              </w:tc>
              <w:tc>
                <w:tcPr>
                  <w:tcW w:w="1152" w:type="pct"/>
                  <w:tcBorders>
                    <w:tl2br w:val="nil"/>
                    <w:tr2bl w:val="nil"/>
                  </w:tcBorders>
                  <w:noWrap w:val="0"/>
                  <w:vAlign w:val="center"/>
                </w:tcPr>
                <w:p w14:paraId="5FAB11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70000次</w:t>
                  </w:r>
                </w:p>
              </w:tc>
              <w:tc>
                <w:tcPr>
                  <w:tcW w:w="1714" w:type="pct"/>
                  <w:tcBorders>
                    <w:tl2br w:val="nil"/>
                    <w:tr2bl w:val="nil"/>
                  </w:tcBorders>
                  <w:noWrap w:val="0"/>
                  <w:vAlign w:val="center"/>
                </w:tcPr>
                <w:p w14:paraId="40323A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7" w:leftChars="0" w:right="0" w:rightChars="0" w:firstLine="0" w:firstLineChars="0"/>
                    <w:jc w:val="center"/>
                    <w:textAlignment w:val="auto"/>
                    <w:rPr>
                      <w:rFonts w:hint="default" w:ascii="Times New Roman" w:hAnsi="Times New Roman" w:eastAsia="宋体" w:cs="Times New Roman"/>
                      <w:color w:val="auto"/>
                      <w:kern w:val="24"/>
                      <w:sz w:val="18"/>
                      <w:szCs w:val="18"/>
                      <w:highlight w:val="none"/>
                      <w:lang w:val="en-US" w:eastAsia="zh-CN"/>
                    </w:rPr>
                  </w:pPr>
                  <w:r>
                    <w:rPr>
                      <w:rFonts w:hint="default" w:ascii="Times New Roman" w:hAnsi="Times New Roman" w:eastAsia="宋体" w:cs="Times New Roman"/>
                      <w:color w:val="auto"/>
                      <w:kern w:val="24"/>
                      <w:sz w:val="18"/>
                      <w:szCs w:val="18"/>
                      <w:highlight w:val="none"/>
                      <w:lang w:val="en-US" w:eastAsia="zh-CN"/>
                    </w:rPr>
                    <w:t>动物实验法</w:t>
                  </w:r>
                </w:p>
              </w:tc>
            </w:tr>
          </w:tbl>
          <w:p w14:paraId="6AF00420">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ind w:left="0" w:right="0"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项目主要仪器、设备清单</w:t>
            </w:r>
          </w:p>
          <w:p w14:paraId="58CF8F70">
            <w:pPr>
              <w:keepNext w:val="0"/>
              <w:keepLines w:val="0"/>
              <w:suppressLineNumbers w:val="0"/>
              <w:adjustRightInd w:val="0"/>
              <w:snapToGrid w:val="0"/>
              <w:spacing w:before="0" w:beforeAutospacing="0" w:after="0" w:afterAutospacing="0"/>
              <w:ind w:left="0" w:right="0" w:firstLine="480"/>
              <w:rPr>
                <w:rFonts w:hint="default" w:ascii="Times New Roman" w:hAnsi="Times New Roman" w:cs="Times New Roman"/>
                <w:color w:val="auto"/>
              </w:rPr>
            </w:pPr>
            <w:r>
              <w:rPr>
                <w:rFonts w:hint="eastAsia" w:cs="Times New Roman"/>
                <w:color w:val="auto"/>
                <w:kern w:val="0"/>
                <w:sz w:val="24"/>
                <w:szCs w:val="20"/>
                <w:lang w:val="en-US" w:eastAsia="zh-CN"/>
              </w:rPr>
              <w:t>根据建设单位提供资料，建设项目</w:t>
            </w:r>
            <w:r>
              <w:rPr>
                <w:rFonts w:hint="default" w:ascii="Times New Roman" w:hAnsi="Times New Roman" w:eastAsia="宋体" w:cs="Times New Roman"/>
                <w:color w:val="auto"/>
                <w:kern w:val="0"/>
                <w:sz w:val="24"/>
              </w:rPr>
              <w:t>主要</w:t>
            </w:r>
            <w:r>
              <w:rPr>
                <w:rFonts w:hint="default" w:ascii="Times New Roman" w:hAnsi="Times New Roman" w:eastAsia="宋体" w:cs="Times New Roman"/>
                <w:color w:val="auto"/>
                <w:kern w:val="0"/>
                <w:sz w:val="24"/>
                <w:lang w:eastAsia="zh-CN"/>
              </w:rPr>
              <w:t>仪器、</w:t>
            </w:r>
            <w:r>
              <w:rPr>
                <w:rFonts w:hint="default" w:ascii="Times New Roman" w:hAnsi="Times New Roman" w:eastAsia="宋体" w:cs="Times New Roman"/>
                <w:color w:val="auto"/>
                <w:kern w:val="0"/>
                <w:sz w:val="24"/>
              </w:rPr>
              <w:t>设备清单情况见</w:t>
            </w:r>
            <w:r>
              <w:rPr>
                <w:rFonts w:hint="default" w:ascii="Times New Roman" w:hAnsi="Times New Roman" w:cs="Times New Roman"/>
                <w:color w:val="auto"/>
              </w:rPr>
              <w:t>表2.1-</w:t>
            </w:r>
            <w:r>
              <w:rPr>
                <w:rFonts w:hint="default" w:ascii="Times New Roman" w:hAnsi="Times New Roman" w:cs="Times New Roman"/>
                <w:color w:val="auto"/>
                <w:lang w:val="en-US" w:eastAsia="zh-CN"/>
              </w:rPr>
              <w:t>3</w:t>
            </w:r>
            <w:r>
              <w:rPr>
                <w:rFonts w:hint="default" w:ascii="Times New Roman" w:hAnsi="Times New Roman" w:cs="Times New Roman"/>
                <w:color w:val="auto"/>
              </w:rPr>
              <w:t>。</w:t>
            </w:r>
          </w:p>
          <w:p w14:paraId="1D59E5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color w:val="auto"/>
              </w:rPr>
            </w:pPr>
            <w:r>
              <w:rPr>
                <w:rFonts w:hint="default"/>
                <w:b/>
                <w:bCs/>
                <w:color w:val="auto"/>
              </w:rPr>
              <w:t>表</w:t>
            </w:r>
            <w:r>
              <w:rPr>
                <w:rFonts w:hint="eastAsia"/>
                <w:b/>
                <w:bCs/>
                <w:color w:val="auto"/>
                <w:lang w:val="en-US" w:eastAsia="zh-CN"/>
              </w:rPr>
              <w:t>2.1-</w:t>
            </w:r>
            <w:r>
              <w:rPr>
                <w:rFonts w:hint="default"/>
                <w:b/>
                <w:bCs/>
                <w:color w:val="auto"/>
              </w:rPr>
              <w:t>3  建设项目主要</w:t>
            </w:r>
            <w:r>
              <w:rPr>
                <w:rFonts w:hint="default"/>
                <w:b/>
                <w:bCs/>
                <w:color w:val="auto"/>
                <w:lang w:eastAsia="zh-CN"/>
              </w:rPr>
              <w:t>仪器、</w:t>
            </w:r>
            <w:r>
              <w:rPr>
                <w:rFonts w:hint="default"/>
                <w:b/>
                <w:bCs/>
                <w:color w:val="auto"/>
              </w:rPr>
              <w:t>设备一览表</w:t>
            </w:r>
          </w:p>
          <w:tbl>
            <w:tblPr>
              <w:tblStyle w:val="24"/>
              <w:tblW w:w="5000" w:type="pct"/>
              <w:tblInd w:w="10" w:type="dxa"/>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Layout w:type="fixed"/>
              <w:tblCellMar>
                <w:top w:w="0" w:type="dxa"/>
                <w:left w:w="0" w:type="dxa"/>
                <w:bottom w:w="0" w:type="dxa"/>
                <w:right w:w="0" w:type="dxa"/>
              </w:tblCellMar>
            </w:tblPr>
            <w:tblGrid>
              <w:gridCol w:w="2719"/>
              <w:gridCol w:w="3349"/>
              <w:gridCol w:w="1583"/>
              <w:gridCol w:w="716"/>
            </w:tblGrid>
            <w:tr w14:paraId="65799B41">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90" w:hRule="atLeast"/>
              </w:trPr>
              <w:tc>
                <w:tcPr>
                  <w:tcW w:w="1624" w:type="pct"/>
                  <w:tcBorders>
                    <w:tl2br w:val="nil"/>
                    <w:tr2bl w:val="nil"/>
                  </w:tcBorders>
                  <w:shd w:val="clear" w:color="auto" w:fill="auto"/>
                  <w:noWrap/>
                  <w:tcMar>
                    <w:top w:w="12" w:type="dxa"/>
                    <w:left w:w="12" w:type="dxa"/>
                    <w:right w:w="12" w:type="dxa"/>
                  </w:tcMar>
                  <w:vAlign w:val="center"/>
                </w:tcPr>
                <w:p w14:paraId="618F47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auto"/>
                      <w:kern w:val="0"/>
                      <w:sz w:val="18"/>
                      <w:szCs w:val="18"/>
                      <w:lang w:bidi="ar"/>
                    </w:rPr>
                  </w:pPr>
                  <w:r>
                    <w:rPr>
                      <w:rFonts w:hint="default" w:ascii="Times New Roman" w:hAnsi="Times New Roman" w:eastAsia="宋体" w:cs="Times New Roman"/>
                      <w:b/>
                      <w:color w:val="auto"/>
                      <w:kern w:val="0"/>
                      <w:sz w:val="18"/>
                      <w:szCs w:val="18"/>
                      <w:lang w:bidi="ar"/>
                    </w:rPr>
                    <w:t>名称</w:t>
                  </w:r>
                </w:p>
              </w:tc>
              <w:tc>
                <w:tcPr>
                  <w:tcW w:w="2001" w:type="pct"/>
                  <w:tcBorders>
                    <w:tl2br w:val="nil"/>
                    <w:tr2bl w:val="nil"/>
                  </w:tcBorders>
                  <w:shd w:val="clear" w:color="auto" w:fill="auto"/>
                  <w:noWrap/>
                  <w:tcMar>
                    <w:top w:w="12" w:type="dxa"/>
                    <w:left w:w="12" w:type="dxa"/>
                    <w:right w:w="12" w:type="dxa"/>
                  </w:tcMar>
                  <w:vAlign w:val="center"/>
                </w:tcPr>
                <w:p w14:paraId="36E89B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auto"/>
                      <w:kern w:val="0"/>
                      <w:sz w:val="18"/>
                      <w:szCs w:val="18"/>
                      <w:lang w:bidi="ar"/>
                    </w:rPr>
                  </w:pPr>
                  <w:r>
                    <w:rPr>
                      <w:rFonts w:hint="default" w:ascii="Times New Roman" w:hAnsi="Times New Roman" w:eastAsia="宋体" w:cs="Times New Roman"/>
                      <w:b/>
                      <w:color w:val="auto"/>
                      <w:kern w:val="0"/>
                      <w:sz w:val="18"/>
                      <w:szCs w:val="18"/>
                      <w:lang w:bidi="ar"/>
                    </w:rPr>
                    <w:t>厂家</w:t>
                  </w:r>
                </w:p>
              </w:tc>
              <w:tc>
                <w:tcPr>
                  <w:tcW w:w="946" w:type="pct"/>
                  <w:tcBorders>
                    <w:tl2br w:val="nil"/>
                    <w:tr2bl w:val="nil"/>
                  </w:tcBorders>
                  <w:shd w:val="clear" w:color="auto" w:fill="auto"/>
                  <w:noWrap/>
                  <w:tcMar>
                    <w:top w:w="12" w:type="dxa"/>
                    <w:left w:w="12" w:type="dxa"/>
                    <w:right w:w="12" w:type="dxa"/>
                  </w:tcMar>
                  <w:vAlign w:val="center"/>
                </w:tcPr>
                <w:p w14:paraId="2A874F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auto"/>
                      <w:kern w:val="0"/>
                      <w:sz w:val="18"/>
                      <w:szCs w:val="18"/>
                      <w:lang w:bidi="ar"/>
                    </w:rPr>
                  </w:pPr>
                  <w:r>
                    <w:rPr>
                      <w:rFonts w:hint="default" w:ascii="Times New Roman" w:hAnsi="Times New Roman" w:eastAsia="宋体" w:cs="Times New Roman"/>
                      <w:b/>
                      <w:color w:val="auto"/>
                      <w:kern w:val="0"/>
                      <w:sz w:val="18"/>
                      <w:szCs w:val="18"/>
                      <w:lang w:bidi="ar"/>
                    </w:rPr>
                    <w:t>型号</w:t>
                  </w:r>
                </w:p>
              </w:tc>
              <w:tc>
                <w:tcPr>
                  <w:tcW w:w="427" w:type="pct"/>
                  <w:tcBorders>
                    <w:tl2br w:val="nil"/>
                    <w:tr2bl w:val="nil"/>
                  </w:tcBorders>
                  <w:shd w:val="clear" w:color="auto" w:fill="auto"/>
                  <w:noWrap/>
                  <w:tcMar>
                    <w:top w:w="12" w:type="dxa"/>
                    <w:left w:w="12" w:type="dxa"/>
                    <w:right w:w="12" w:type="dxa"/>
                  </w:tcMar>
                  <w:vAlign w:val="center"/>
                </w:tcPr>
                <w:p w14:paraId="72B33E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auto"/>
                      <w:kern w:val="0"/>
                      <w:sz w:val="18"/>
                      <w:szCs w:val="18"/>
                      <w:lang w:bidi="ar"/>
                    </w:rPr>
                  </w:pPr>
                  <w:r>
                    <w:rPr>
                      <w:rFonts w:hint="default" w:ascii="Times New Roman" w:hAnsi="Times New Roman" w:eastAsia="宋体" w:cs="Times New Roman"/>
                      <w:b/>
                      <w:color w:val="auto"/>
                      <w:kern w:val="0"/>
                      <w:sz w:val="18"/>
                      <w:szCs w:val="18"/>
                      <w:lang w:bidi="ar"/>
                    </w:rPr>
                    <w:t>数量</w:t>
                  </w:r>
                </w:p>
              </w:tc>
            </w:tr>
            <w:tr w14:paraId="6F905555">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35AD79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电子天平秤</w:t>
                  </w:r>
                </w:p>
              </w:tc>
              <w:tc>
                <w:tcPr>
                  <w:tcW w:w="2001" w:type="pct"/>
                  <w:tcBorders>
                    <w:tl2br w:val="nil"/>
                    <w:tr2bl w:val="nil"/>
                  </w:tcBorders>
                  <w:shd w:val="clear" w:color="auto" w:fill="auto"/>
                  <w:noWrap/>
                  <w:tcMar>
                    <w:top w:w="12" w:type="dxa"/>
                    <w:left w:w="12" w:type="dxa"/>
                    <w:right w:w="12" w:type="dxa"/>
                  </w:tcMar>
                  <w:vAlign w:val="center"/>
                </w:tcPr>
                <w:p w14:paraId="04519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1A27CE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YP6002B</w:t>
                  </w:r>
                </w:p>
              </w:tc>
              <w:tc>
                <w:tcPr>
                  <w:tcW w:w="427" w:type="pct"/>
                  <w:tcBorders>
                    <w:tl2br w:val="nil"/>
                    <w:tr2bl w:val="nil"/>
                  </w:tcBorders>
                  <w:shd w:val="clear" w:color="auto" w:fill="auto"/>
                  <w:noWrap/>
                  <w:tcMar>
                    <w:top w:w="12" w:type="dxa"/>
                    <w:left w:w="12" w:type="dxa"/>
                    <w:right w:w="12" w:type="dxa"/>
                  </w:tcMar>
                  <w:vAlign w:val="center"/>
                </w:tcPr>
                <w:p w14:paraId="5FB60D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25E9B03">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2161CC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电子分析天平</w:t>
                  </w:r>
                </w:p>
              </w:tc>
              <w:tc>
                <w:tcPr>
                  <w:tcW w:w="2001" w:type="pct"/>
                  <w:tcBorders>
                    <w:tl2br w:val="nil"/>
                    <w:tr2bl w:val="nil"/>
                  </w:tcBorders>
                  <w:shd w:val="clear" w:color="auto" w:fill="auto"/>
                  <w:noWrap/>
                  <w:tcMar>
                    <w:top w:w="12" w:type="dxa"/>
                    <w:left w:w="12" w:type="dxa"/>
                    <w:right w:w="12" w:type="dxa"/>
                  </w:tcMar>
                  <w:vAlign w:val="center"/>
                </w:tcPr>
                <w:p w14:paraId="5B160B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7D92F5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FA224C</w:t>
                  </w:r>
                </w:p>
              </w:tc>
              <w:tc>
                <w:tcPr>
                  <w:tcW w:w="427" w:type="pct"/>
                  <w:tcBorders>
                    <w:tl2br w:val="nil"/>
                    <w:tr2bl w:val="nil"/>
                  </w:tcBorders>
                  <w:shd w:val="clear" w:color="auto" w:fill="auto"/>
                  <w:noWrap/>
                  <w:tcMar>
                    <w:top w:w="12" w:type="dxa"/>
                    <w:left w:w="12" w:type="dxa"/>
                    <w:right w:w="12" w:type="dxa"/>
                  </w:tcMar>
                  <w:vAlign w:val="center"/>
                </w:tcPr>
                <w:p w14:paraId="393E65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931A190">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1923EC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超纯水系统</w:t>
                  </w:r>
                </w:p>
              </w:tc>
              <w:tc>
                <w:tcPr>
                  <w:tcW w:w="2001" w:type="pct"/>
                  <w:tcBorders>
                    <w:tl2br w:val="nil"/>
                    <w:tr2bl w:val="nil"/>
                  </w:tcBorders>
                  <w:shd w:val="clear" w:color="auto" w:fill="auto"/>
                  <w:noWrap/>
                  <w:tcMar>
                    <w:top w:w="12" w:type="dxa"/>
                    <w:left w:w="12" w:type="dxa"/>
                    <w:right w:w="12" w:type="dxa"/>
                  </w:tcMar>
                  <w:vAlign w:val="center"/>
                </w:tcPr>
                <w:p w14:paraId="3447C0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美国millipore公司</w:t>
                  </w:r>
                </w:p>
              </w:tc>
              <w:tc>
                <w:tcPr>
                  <w:tcW w:w="946" w:type="pct"/>
                  <w:tcBorders>
                    <w:tl2br w:val="nil"/>
                    <w:tr2bl w:val="nil"/>
                  </w:tcBorders>
                  <w:shd w:val="clear" w:color="auto" w:fill="auto"/>
                  <w:noWrap/>
                  <w:tcMar>
                    <w:top w:w="12" w:type="dxa"/>
                    <w:left w:w="12" w:type="dxa"/>
                    <w:right w:w="12" w:type="dxa"/>
                  </w:tcMar>
                  <w:vAlign w:val="center"/>
                </w:tcPr>
                <w:p w14:paraId="38A7C2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milli-Q Integral</w:t>
                  </w:r>
                </w:p>
              </w:tc>
              <w:tc>
                <w:tcPr>
                  <w:tcW w:w="427" w:type="pct"/>
                  <w:tcBorders>
                    <w:tl2br w:val="nil"/>
                    <w:tr2bl w:val="nil"/>
                  </w:tcBorders>
                  <w:shd w:val="clear" w:color="auto" w:fill="auto"/>
                  <w:noWrap/>
                  <w:tcMar>
                    <w:top w:w="12" w:type="dxa"/>
                    <w:left w:w="12" w:type="dxa"/>
                    <w:right w:w="12" w:type="dxa"/>
                  </w:tcMar>
                  <w:vAlign w:val="center"/>
                </w:tcPr>
                <w:p w14:paraId="4A99E4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EC9498F">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796D1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数显磁力加热电动搅拌机</w:t>
                  </w:r>
                </w:p>
              </w:tc>
              <w:tc>
                <w:tcPr>
                  <w:tcW w:w="2001" w:type="pct"/>
                  <w:tcBorders>
                    <w:tl2br w:val="nil"/>
                    <w:tr2bl w:val="nil"/>
                  </w:tcBorders>
                  <w:shd w:val="clear" w:color="auto" w:fill="auto"/>
                  <w:noWrap/>
                  <w:tcMar>
                    <w:top w:w="12" w:type="dxa"/>
                    <w:left w:w="12" w:type="dxa"/>
                    <w:right w:w="12" w:type="dxa"/>
                  </w:tcMar>
                  <w:vAlign w:val="center"/>
                </w:tcPr>
                <w:p w14:paraId="1E4AE5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6C0C63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LC-DMS-H</w:t>
                  </w:r>
                </w:p>
              </w:tc>
              <w:tc>
                <w:tcPr>
                  <w:tcW w:w="427" w:type="pct"/>
                  <w:tcBorders>
                    <w:tl2br w:val="nil"/>
                    <w:tr2bl w:val="nil"/>
                  </w:tcBorders>
                  <w:shd w:val="clear" w:color="auto" w:fill="auto"/>
                  <w:noWrap/>
                  <w:tcMar>
                    <w:top w:w="12" w:type="dxa"/>
                    <w:left w:w="12" w:type="dxa"/>
                    <w:right w:w="12" w:type="dxa"/>
                  </w:tcMar>
                  <w:vAlign w:val="center"/>
                </w:tcPr>
                <w:p w14:paraId="05CEE7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2B3634B">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70F02F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磁力搅拌子</w:t>
                  </w:r>
                  <w:r>
                    <w:rPr>
                      <w:rStyle w:val="46"/>
                      <w:rFonts w:hint="default" w:ascii="Times New Roman" w:hAnsi="Times New Roman" w:eastAsia="宋体" w:cs="Times New Roman"/>
                      <w:color w:val="auto"/>
                      <w:sz w:val="18"/>
                      <w:szCs w:val="18"/>
                      <w:lang w:bidi="ar"/>
                    </w:rPr>
                    <w:t>B100</w:t>
                  </w:r>
                </w:p>
              </w:tc>
              <w:tc>
                <w:tcPr>
                  <w:tcW w:w="2001" w:type="pct"/>
                  <w:tcBorders>
                    <w:tl2br w:val="nil"/>
                    <w:tr2bl w:val="nil"/>
                  </w:tcBorders>
                  <w:shd w:val="clear" w:color="auto" w:fill="auto"/>
                  <w:noWrap/>
                  <w:tcMar>
                    <w:top w:w="12" w:type="dxa"/>
                    <w:left w:w="12" w:type="dxa"/>
                    <w:right w:w="12" w:type="dxa"/>
                  </w:tcMar>
                  <w:vAlign w:val="center"/>
                </w:tcPr>
                <w:p w14:paraId="01BF9B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Solarbio</w:t>
                  </w:r>
                </w:p>
              </w:tc>
              <w:tc>
                <w:tcPr>
                  <w:tcW w:w="946" w:type="pct"/>
                  <w:tcBorders>
                    <w:tl2br w:val="nil"/>
                    <w:tr2bl w:val="nil"/>
                  </w:tcBorders>
                  <w:shd w:val="clear" w:color="auto" w:fill="auto"/>
                  <w:noWrap/>
                  <w:tcMar>
                    <w:top w:w="12" w:type="dxa"/>
                    <w:left w:w="12" w:type="dxa"/>
                    <w:right w:w="12" w:type="dxa"/>
                  </w:tcMar>
                  <w:vAlign w:val="center"/>
                </w:tcPr>
                <w:p w14:paraId="25D92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棒状，10mm</w:t>
                  </w:r>
                </w:p>
              </w:tc>
              <w:tc>
                <w:tcPr>
                  <w:tcW w:w="427" w:type="pct"/>
                  <w:tcBorders>
                    <w:tl2br w:val="nil"/>
                    <w:tr2bl w:val="nil"/>
                  </w:tcBorders>
                  <w:shd w:val="clear" w:color="auto" w:fill="auto"/>
                  <w:noWrap/>
                  <w:tcMar>
                    <w:top w:w="12" w:type="dxa"/>
                    <w:left w:w="12" w:type="dxa"/>
                    <w:right w:w="12" w:type="dxa"/>
                  </w:tcMar>
                  <w:vAlign w:val="center"/>
                </w:tcPr>
                <w:p w14:paraId="3A2D1E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327FD1DA">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5355A1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磁力搅拌子</w:t>
                  </w:r>
                  <w:r>
                    <w:rPr>
                      <w:rStyle w:val="46"/>
                      <w:rFonts w:hint="default" w:ascii="Times New Roman" w:hAnsi="Times New Roman" w:eastAsia="宋体" w:cs="Times New Roman"/>
                      <w:color w:val="auto"/>
                      <w:sz w:val="18"/>
                      <w:szCs w:val="18"/>
                      <w:lang w:bidi="ar"/>
                    </w:rPr>
                    <w:t>B150</w:t>
                  </w:r>
                </w:p>
              </w:tc>
              <w:tc>
                <w:tcPr>
                  <w:tcW w:w="2001" w:type="pct"/>
                  <w:tcBorders>
                    <w:tl2br w:val="nil"/>
                    <w:tr2bl w:val="nil"/>
                  </w:tcBorders>
                  <w:shd w:val="clear" w:color="auto" w:fill="auto"/>
                  <w:noWrap/>
                  <w:tcMar>
                    <w:top w:w="12" w:type="dxa"/>
                    <w:left w:w="12" w:type="dxa"/>
                    <w:right w:w="12" w:type="dxa"/>
                  </w:tcMar>
                  <w:vAlign w:val="center"/>
                </w:tcPr>
                <w:p w14:paraId="773B3B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Solarbio</w:t>
                  </w:r>
                </w:p>
              </w:tc>
              <w:tc>
                <w:tcPr>
                  <w:tcW w:w="946" w:type="pct"/>
                  <w:tcBorders>
                    <w:tl2br w:val="nil"/>
                    <w:tr2bl w:val="nil"/>
                  </w:tcBorders>
                  <w:shd w:val="clear" w:color="auto" w:fill="auto"/>
                  <w:noWrap/>
                  <w:tcMar>
                    <w:top w:w="12" w:type="dxa"/>
                    <w:left w:w="12" w:type="dxa"/>
                    <w:right w:w="12" w:type="dxa"/>
                  </w:tcMar>
                  <w:vAlign w:val="center"/>
                </w:tcPr>
                <w:p w14:paraId="30E0D9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棒状，15mm</w:t>
                  </w:r>
                </w:p>
              </w:tc>
              <w:tc>
                <w:tcPr>
                  <w:tcW w:w="427" w:type="pct"/>
                  <w:tcBorders>
                    <w:tl2br w:val="nil"/>
                    <w:tr2bl w:val="nil"/>
                  </w:tcBorders>
                  <w:shd w:val="clear" w:color="auto" w:fill="auto"/>
                  <w:noWrap/>
                  <w:tcMar>
                    <w:top w:w="12" w:type="dxa"/>
                    <w:left w:w="12" w:type="dxa"/>
                    <w:right w:w="12" w:type="dxa"/>
                  </w:tcMar>
                  <w:vAlign w:val="center"/>
                </w:tcPr>
                <w:p w14:paraId="703BC2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607DA7E1">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40E73E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磁力搅拌子</w:t>
                  </w:r>
                  <w:r>
                    <w:rPr>
                      <w:rStyle w:val="46"/>
                      <w:rFonts w:hint="default" w:ascii="Times New Roman" w:hAnsi="Times New Roman" w:eastAsia="宋体" w:cs="Times New Roman"/>
                      <w:color w:val="auto"/>
                      <w:sz w:val="18"/>
                      <w:szCs w:val="18"/>
                      <w:lang w:bidi="ar"/>
                    </w:rPr>
                    <w:t>A100</w:t>
                  </w:r>
                </w:p>
              </w:tc>
              <w:tc>
                <w:tcPr>
                  <w:tcW w:w="2001" w:type="pct"/>
                  <w:tcBorders>
                    <w:tl2br w:val="nil"/>
                    <w:tr2bl w:val="nil"/>
                  </w:tcBorders>
                  <w:shd w:val="clear" w:color="auto" w:fill="auto"/>
                  <w:noWrap/>
                  <w:tcMar>
                    <w:top w:w="12" w:type="dxa"/>
                    <w:left w:w="12" w:type="dxa"/>
                    <w:right w:w="12" w:type="dxa"/>
                  </w:tcMar>
                  <w:vAlign w:val="center"/>
                </w:tcPr>
                <w:p w14:paraId="33713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Solarbio</w:t>
                  </w:r>
                </w:p>
              </w:tc>
              <w:tc>
                <w:tcPr>
                  <w:tcW w:w="946" w:type="pct"/>
                  <w:tcBorders>
                    <w:tl2br w:val="nil"/>
                    <w:tr2bl w:val="nil"/>
                  </w:tcBorders>
                  <w:shd w:val="clear" w:color="auto" w:fill="auto"/>
                  <w:noWrap/>
                  <w:tcMar>
                    <w:top w:w="12" w:type="dxa"/>
                    <w:left w:w="12" w:type="dxa"/>
                    <w:right w:w="12" w:type="dxa"/>
                  </w:tcMar>
                  <w:vAlign w:val="center"/>
                </w:tcPr>
                <w:p w14:paraId="3157A8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弧形，10mm</w:t>
                  </w:r>
                </w:p>
              </w:tc>
              <w:tc>
                <w:tcPr>
                  <w:tcW w:w="427" w:type="pct"/>
                  <w:tcBorders>
                    <w:tl2br w:val="nil"/>
                    <w:tr2bl w:val="nil"/>
                  </w:tcBorders>
                  <w:shd w:val="clear" w:color="auto" w:fill="auto"/>
                  <w:noWrap/>
                  <w:tcMar>
                    <w:top w:w="12" w:type="dxa"/>
                    <w:left w:w="12" w:type="dxa"/>
                    <w:right w:w="12" w:type="dxa"/>
                  </w:tcMar>
                  <w:vAlign w:val="center"/>
                </w:tcPr>
                <w:p w14:paraId="498DE8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766FDC0D">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74C510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磁力搅拌子</w:t>
                  </w:r>
                  <w:r>
                    <w:rPr>
                      <w:rStyle w:val="46"/>
                      <w:rFonts w:hint="default" w:ascii="Times New Roman" w:hAnsi="Times New Roman" w:eastAsia="宋体" w:cs="Times New Roman"/>
                      <w:color w:val="auto"/>
                      <w:sz w:val="18"/>
                      <w:szCs w:val="18"/>
                      <w:lang w:bidi="ar"/>
                    </w:rPr>
                    <w:t>A200</w:t>
                  </w:r>
                </w:p>
              </w:tc>
              <w:tc>
                <w:tcPr>
                  <w:tcW w:w="2001" w:type="pct"/>
                  <w:tcBorders>
                    <w:tl2br w:val="nil"/>
                    <w:tr2bl w:val="nil"/>
                  </w:tcBorders>
                  <w:shd w:val="clear" w:color="auto" w:fill="auto"/>
                  <w:noWrap/>
                  <w:tcMar>
                    <w:top w:w="12" w:type="dxa"/>
                    <w:left w:w="12" w:type="dxa"/>
                    <w:right w:w="12" w:type="dxa"/>
                  </w:tcMar>
                  <w:vAlign w:val="center"/>
                </w:tcPr>
                <w:p w14:paraId="50E107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Solarbio</w:t>
                  </w:r>
                </w:p>
              </w:tc>
              <w:tc>
                <w:tcPr>
                  <w:tcW w:w="946" w:type="pct"/>
                  <w:tcBorders>
                    <w:tl2br w:val="nil"/>
                    <w:tr2bl w:val="nil"/>
                  </w:tcBorders>
                  <w:shd w:val="clear" w:color="auto" w:fill="auto"/>
                  <w:noWrap/>
                  <w:tcMar>
                    <w:top w:w="12" w:type="dxa"/>
                    <w:left w:w="12" w:type="dxa"/>
                    <w:right w:w="12" w:type="dxa"/>
                  </w:tcMar>
                  <w:vAlign w:val="center"/>
                </w:tcPr>
                <w:p w14:paraId="2E17A2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弧形，20mm</w:t>
                  </w:r>
                </w:p>
              </w:tc>
              <w:tc>
                <w:tcPr>
                  <w:tcW w:w="427" w:type="pct"/>
                  <w:tcBorders>
                    <w:tl2br w:val="nil"/>
                    <w:tr2bl w:val="nil"/>
                  </w:tcBorders>
                  <w:shd w:val="clear" w:color="auto" w:fill="auto"/>
                  <w:noWrap/>
                  <w:tcMar>
                    <w:top w:w="12" w:type="dxa"/>
                    <w:left w:w="12" w:type="dxa"/>
                    <w:right w:w="12" w:type="dxa"/>
                  </w:tcMar>
                  <w:vAlign w:val="center"/>
                </w:tcPr>
                <w:p w14:paraId="20F5A4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3DA7B43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60B74F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磁力搅拌子</w:t>
                  </w:r>
                  <w:r>
                    <w:rPr>
                      <w:rStyle w:val="46"/>
                      <w:rFonts w:hint="default" w:ascii="Times New Roman" w:hAnsi="Times New Roman" w:eastAsia="宋体" w:cs="Times New Roman"/>
                      <w:color w:val="auto"/>
                      <w:sz w:val="18"/>
                      <w:szCs w:val="18"/>
                      <w:lang w:bidi="ar"/>
                    </w:rPr>
                    <w:t>B250</w:t>
                  </w:r>
                </w:p>
              </w:tc>
              <w:tc>
                <w:tcPr>
                  <w:tcW w:w="2001" w:type="pct"/>
                  <w:tcBorders>
                    <w:tl2br w:val="nil"/>
                    <w:tr2bl w:val="nil"/>
                  </w:tcBorders>
                  <w:shd w:val="clear" w:color="auto" w:fill="auto"/>
                  <w:noWrap/>
                  <w:tcMar>
                    <w:top w:w="12" w:type="dxa"/>
                    <w:left w:w="12" w:type="dxa"/>
                    <w:right w:w="12" w:type="dxa"/>
                  </w:tcMar>
                  <w:vAlign w:val="center"/>
                </w:tcPr>
                <w:p w14:paraId="6D8911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Solarbio</w:t>
                  </w:r>
                </w:p>
              </w:tc>
              <w:tc>
                <w:tcPr>
                  <w:tcW w:w="946" w:type="pct"/>
                  <w:tcBorders>
                    <w:tl2br w:val="nil"/>
                    <w:tr2bl w:val="nil"/>
                  </w:tcBorders>
                  <w:shd w:val="clear" w:color="auto" w:fill="auto"/>
                  <w:noWrap/>
                  <w:tcMar>
                    <w:top w:w="12" w:type="dxa"/>
                    <w:left w:w="12" w:type="dxa"/>
                    <w:right w:w="12" w:type="dxa"/>
                  </w:tcMar>
                  <w:vAlign w:val="center"/>
                </w:tcPr>
                <w:p w14:paraId="30BC81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棒状，25mm</w:t>
                  </w:r>
                </w:p>
              </w:tc>
              <w:tc>
                <w:tcPr>
                  <w:tcW w:w="427" w:type="pct"/>
                  <w:tcBorders>
                    <w:tl2br w:val="nil"/>
                    <w:tr2bl w:val="nil"/>
                  </w:tcBorders>
                  <w:shd w:val="clear" w:color="auto" w:fill="auto"/>
                  <w:noWrap/>
                  <w:tcMar>
                    <w:top w:w="12" w:type="dxa"/>
                    <w:left w:w="12" w:type="dxa"/>
                    <w:right w:w="12" w:type="dxa"/>
                  </w:tcMar>
                  <w:vAlign w:val="center"/>
                </w:tcPr>
                <w:p w14:paraId="5BA758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2CC86B02">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03BA24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磁力搅拌子</w:t>
                  </w:r>
                  <w:r>
                    <w:rPr>
                      <w:rStyle w:val="46"/>
                      <w:rFonts w:hint="default" w:ascii="Times New Roman" w:hAnsi="Times New Roman" w:eastAsia="宋体" w:cs="Times New Roman"/>
                      <w:color w:val="auto"/>
                      <w:sz w:val="18"/>
                      <w:szCs w:val="18"/>
                      <w:lang w:bidi="ar"/>
                    </w:rPr>
                    <w:t>B275</w:t>
                  </w:r>
                </w:p>
              </w:tc>
              <w:tc>
                <w:tcPr>
                  <w:tcW w:w="2001" w:type="pct"/>
                  <w:tcBorders>
                    <w:tl2br w:val="nil"/>
                    <w:tr2bl w:val="nil"/>
                  </w:tcBorders>
                  <w:shd w:val="clear" w:color="auto" w:fill="auto"/>
                  <w:noWrap/>
                  <w:tcMar>
                    <w:top w:w="12" w:type="dxa"/>
                    <w:left w:w="12" w:type="dxa"/>
                    <w:right w:w="12" w:type="dxa"/>
                  </w:tcMar>
                  <w:vAlign w:val="center"/>
                </w:tcPr>
                <w:p w14:paraId="277985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Solarbio</w:t>
                  </w:r>
                </w:p>
              </w:tc>
              <w:tc>
                <w:tcPr>
                  <w:tcW w:w="946" w:type="pct"/>
                  <w:tcBorders>
                    <w:tl2br w:val="nil"/>
                    <w:tr2bl w:val="nil"/>
                  </w:tcBorders>
                  <w:shd w:val="clear" w:color="auto" w:fill="auto"/>
                  <w:noWrap/>
                  <w:tcMar>
                    <w:top w:w="12" w:type="dxa"/>
                    <w:left w:w="12" w:type="dxa"/>
                    <w:right w:w="12" w:type="dxa"/>
                  </w:tcMar>
                  <w:vAlign w:val="center"/>
                </w:tcPr>
                <w:p w14:paraId="432631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棒状，27.5mm</w:t>
                  </w:r>
                </w:p>
              </w:tc>
              <w:tc>
                <w:tcPr>
                  <w:tcW w:w="427" w:type="pct"/>
                  <w:tcBorders>
                    <w:tl2br w:val="nil"/>
                    <w:tr2bl w:val="nil"/>
                  </w:tcBorders>
                  <w:shd w:val="clear" w:color="auto" w:fill="auto"/>
                  <w:noWrap/>
                  <w:tcMar>
                    <w:top w:w="12" w:type="dxa"/>
                    <w:left w:w="12" w:type="dxa"/>
                    <w:right w:w="12" w:type="dxa"/>
                  </w:tcMar>
                  <w:vAlign w:val="center"/>
                </w:tcPr>
                <w:p w14:paraId="411FA9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5F051CAB">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45D810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磁力搅拌子</w:t>
                  </w:r>
                  <w:r>
                    <w:rPr>
                      <w:rStyle w:val="46"/>
                      <w:rFonts w:hint="default" w:ascii="Times New Roman" w:hAnsi="Times New Roman" w:eastAsia="宋体" w:cs="Times New Roman"/>
                      <w:color w:val="auto"/>
                      <w:sz w:val="18"/>
                      <w:szCs w:val="18"/>
                      <w:lang w:bidi="ar"/>
                    </w:rPr>
                    <w:t>B300</w:t>
                  </w:r>
                </w:p>
              </w:tc>
              <w:tc>
                <w:tcPr>
                  <w:tcW w:w="2001" w:type="pct"/>
                  <w:tcBorders>
                    <w:tl2br w:val="nil"/>
                    <w:tr2bl w:val="nil"/>
                  </w:tcBorders>
                  <w:shd w:val="clear" w:color="auto" w:fill="auto"/>
                  <w:noWrap/>
                  <w:tcMar>
                    <w:top w:w="12" w:type="dxa"/>
                    <w:left w:w="12" w:type="dxa"/>
                    <w:right w:w="12" w:type="dxa"/>
                  </w:tcMar>
                  <w:vAlign w:val="center"/>
                </w:tcPr>
                <w:p w14:paraId="690789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Solarbio</w:t>
                  </w:r>
                </w:p>
              </w:tc>
              <w:tc>
                <w:tcPr>
                  <w:tcW w:w="946" w:type="pct"/>
                  <w:tcBorders>
                    <w:tl2br w:val="nil"/>
                    <w:tr2bl w:val="nil"/>
                  </w:tcBorders>
                  <w:shd w:val="clear" w:color="auto" w:fill="auto"/>
                  <w:noWrap/>
                  <w:tcMar>
                    <w:top w:w="12" w:type="dxa"/>
                    <w:left w:w="12" w:type="dxa"/>
                    <w:right w:w="12" w:type="dxa"/>
                  </w:tcMar>
                  <w:vAlign w:val="center"/>
                </w:tcPr>
                <w:p w14:paraId="2A4DE4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棒状，30mm</w:t>
                  </w:r>
                </w:p>
              </w:tc>
              <w:tc>
                <w:tcPr>
                  <w:tcW w:w="427" w:type="pct"/>
                  <w:tcBorders>
                    <w:tl2br w:val="nil"/>
                    <w:tr2bl w:val="nil"/>
                  </w:tcBorders>
                  <w:shd w:val="clear" w:color="auto" w:fill="auto"/>
                  <w:noWrap/>
                  <w:tcMar>
                    <w:top w:w="12" w:type="dxa"/>
                    <w:left w:w="12" w:type="dxa"/>
                    <w:right w:w="12" w:type="dxa"/>
                  </w:tcMar>
                  <w:vAlign w:val="center"/>
                </w:tcPr>
                <w:p w14:paraId="5E8C5F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60CD80CE">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53934A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磁力搅拌子</w:t>
                  </w:r>
                  <w:r>
                    <w:rPr>
                      <w:rStyle w:val="46"/>
                      <w:rFonts w:hint="default" w:ascii="Times New Roman" w:hAnsi="Times New Roman" w:eastAsia="宋体" w:cs="Times New Roman"/>
                      <w:color w:val="auto"/>
                      <w:sz w:val="18"/>
                      <w:szCs w:val="18"/>
                      <w:lang w:bidi="ar"/>
                    </w:rPr>
                    <w:t>B350</w:t>
                  </w:r>
                </w:p>
              </w:tc>
              <w:tc>
                <w:tcPr>
                  <w:tcW w:w="2001" w:type="pct"/>
                  <w:tcBorders>
                    <w:tl2br w:val="nil"/>
                    <w:tr2bl w:val="nil"/>
                  </w:tcBorders>
                  <w:shd w:val="clear" w:color="auto" w:fill="auto"/>
                  <w:noWrap/>
                  <w:tcMar>
                    <w:top w:w="12" w:type="dxa"/>
                    <w:left w:w="12" w:type="dxa"/>
                    <w:right w:w="12" w:type="dxa"/>
                  </w:tcMar>
                  <w:vAlign w:val="center"/>
                </w:tcPr>
                <w:p w14:paraId="255DD5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Solarbio</w:t>
                  </w:r>
                </w:p>
              </w:tc>
              <w:tc>
                <w:tcPr>
                  <w:tcW w:w="946" w:type="pct"/>
                  <w:tcBorders>
                    <w:tl2br w:val="nil"/>
                    <w:tr2bl w:val="nil"/>
                  </w:tcBorders>
                  <w:shd w:val="clear" w:color="auto" w:fill="auto"/>
                  <w:noWrap/>
                  <w:tcMar>
                    <w:top w:w="12" w:type="dxa"/>
                    <w:left w:w="12" w:type="dxa"/>
                    <w:right w:w="12" w:type="dxa"/>
                  </w:tcMar>
                  <w:vAlign w:val="center"/>
                </w:tcPr>
                <w:p w14:paraId="13DE38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棒状，35mm</w:t>
                  </w:r>
                </w:p>
              </w:tc>
              <w:tc>
                <w:tcPr>
                  <w:tcW w:w="427" w:type="pct"/>
                  <w:tcBorders>
                    <w:tl2br w:val="nil"/>
                    <w:tr2bl w:val="nil"/>
                  </w:tcBorders>
                  <w:shd w:val="clear" w:color="auto" w:fill="auto"/>
                  <w:noWrap/>
                  <w:tcMar>
                    <w:top w:w="12" w:type="dxa"/>
                    <w:left w:w="12" w:type="dxa"/>
                    <w:right w:w="12" w:type="dxa"/>
                  </w:tcMar>
                  <w:vAlign w:val="center"/>
                </w:tcPr>
                <w:p w14:paraId="11ACB9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2D445354">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4AF810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磁力搅拌子</w:t>
                  </w:r>
                  <w:r>
                    <w:rPr>
                      <w:rStyle w:val="46"/>
                      <w:rFonts w:hint="default" w:ascii="Times New Roman" w:hAnsi="Times New Roman" w:eastAsia="宋体" w:cs="Times New Roman"/>
                      <w:color w:val="auto"/>
                      <w:sz w:val="18"/>
                      <w:szCs w:val="18"/>
                      <w:lang w:bidi="ar"/>
                    </w:rPr>
                    <w:t>A400</w:t>
                  </w:r>
                </w:p>
              </w:tc>
              <w:tc>
                <w:tcPr>
                  <w:tcW w:w="2001" w:type="pct"/>
                  <w:tcBorders>
                    <w:tl2br w:val="nil"/>
                    <w:tr2bl w:val="nil"/>
                  </w:tcBorders>
                  <w:shd w:val="clear" w:color="auto" w:fill="auto"/>
                  <w:noWrap/>
                  <w:tcMar>
                    <w:top w:w="12" w:type="dxa"/>
                    <w:left w:w="12" w:type="dxa"/>
                    <w:right w:w="12" w:type="dxa"/>
                  </w:tcMar>
                  <w:vAlign w:val="center"/>
                </w:tcPr>
                <w:p w14:paraId="089E18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Solarbio</w:t>
                  </w:r>
                </w:p>
              </w:tc>
              <w:tc>
                <w:tcPr>
                  <w:tcW w:w="946" w:type="pct"/>
                  <w:tcBorders>
                    <w:tl2br w:val="nil"/>
                    <w:tr2bl w:val="nil"/>
                  </w:tcBorders>
                  <w:shd w:val="clear" w:color="auto" w:fill="auto"/>
                  <w:noWrap/>
                  <w:tcMar>
                    <w:top w:w="12" w:type="dxa"/>
                    <w:left w:w="12" w:type="dxa"/>
                    <w:right w:w="12" w:type="dxa"/>
                  </w:tcMar>
                  <w:vAlign w:val="center"/>
                </w:tcPr>
                <w:p w14:paraId="37BBEB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弧形，40mm</w:t>
                  </w:r>
                </w:p>
              </w:tc>
              <w:tc>
                <w:tcPr>
                  <w:tcW w:w="427" w:type="pct"/>
                  <w:tcBorders>
                    <w:tl2br w:val="nil"/>
                    <w:tr2bl w:val="nil"/>
                  </w:tcBorders>
                  <w:shd w:val="clear" w:color="auto" w:fill="auto"/>
                  <w:noWrap/>
                  <w:tcMar>
                    <w:top w:w="12" w:type="dxa"/>
                    <w:left w:w="12" w:type="dxa"/>
                    <w:right w:w="12" w:type="dxa"/>
                  </w:tcMar>
                  <w:vAlign w:val="center"/>
                </w:tcPr>
                <w:p w14:paraId="2B0E0E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68262902">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2CFEC4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自动立式压力蒸汽灭菌器</w:t>
                  </w:r>
                </w:p>
              </w:tc>
              <w:tc>
                <w:tcPr>
                  <w:tcW w:w="2001" w:type="pct"/>
                  <w:tcBorders>
                    <w:tl2br w:val="nil"/>
                    <w:tr2bl w:val="nil"/>
                  </w:tcBorders>
                  <w:shd w:val="clear" w:color="auto" w:fill="auto"/>
                  <w:noWrap/>
                  <w:tcMar>
                    <w:top w:w="12" w:type="dxa"/>
                    <w:left w:w="12" w:type="dxa"/>
                    <w:right w:w="12" w:type="dxa"/>
                  </w:tcMar>
                  <w:vAlign w:val="center"/>
                </w:tcPr>
                <w:p w14:paraId="10CBB4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7B5EE0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DGL-50B</w:t>
                  </w:r>
                </w:p>
              </w:tc>
              <w:tc>
                <w:tcPr>
                  <w:tcW w:w="427" w:type="pct"/>
                  <w:tcBorders>
                    <w:tl2br w:val="nil"/>
                    <w:tr2bl w:val="nil"/>
                  </w:tcBorders>
                  <w:shd w:val="clear" w:color="auto" w:fill="auto"/>
                  <w:noWrap/>
                  <w:tcMar>
                    <w:top w:w="12" w:type="dxa"/>
                    <w:left w:w="12" w:type="dxa"/>
                    <w:right w:w="12" w:type="dxa"/>
                  </w:tcMar>
                  <w:vAlign w:val="center"/>
                </w:tcPr>
                <w:p w14:paraId="59AB62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kern w:val="0"/>
                      <w:sz w:val="18"/>
                      <w:szCs w:val="18"/>
                      <w:lang w:val="en-US" w:eastAsia="zh-CN" w:bidi="ar"/>
                    </w:rPr>
                    <w:t>2</w:t>
                  </w:r>
                </w:p>
              </w:tc>
            </w:tr>
            <w:tr w14:paraId="3F34CF61">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17A0FC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恒温水浴箱</w:t>
                  </w:r>
                </w:p>
              </w:tc>
              <w:tc>
                <w:tcPr>
                  <w:tcW w:w="2001" w:type="pct"/>
                  <w:tcBorders>
                    <w:tl2br w:val="nil"/>
                    <w:tr2bl w:val="nil"/>
                  </w:tcBorders>
                  <w:shd w:val="clear" w:color="auto" w:fill="auto"/>
                  <w:noWrap/>
                  <w:tcMar>
                    <w:top w:w="12" w:type="dxa"/>
                    <w:left w:w="12" w:type="dxa"/>
                    <w:right w:w="12" w:type="dxa"/>
                  </w:tcMar>
                  <w:vAlign w:val="center"/>
                </w:tcPr>
                <w:p w14:paraId="5CA411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761687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HH-600</w:t>
                  </w:r>
                </w:p>
              </w:tc>
              <w:tc>
                <w:tcPr>
                  <w:tcW w:w="427" w:type="pct"/>
                  <w:tcBorders>
                    <w:tl2br w:val="nil"/>
                    <w:tr2bl w:val="nil"/>
                  </w:tcBorders>
                  <w:shd w:val="clear" w:color="auto" w:fill="auto"/>
                  <w:noWrap/>
                  <w:tcMar>
                    <w:top w:w="12" w:type="dxa"/>
                    <w:left w:w="12" w:type="dxa"/>
                    <w:right w:w="12" w:type="dxa"/>
                  </w:tcMar>
                  <w:vAlign w:val="center"/>
                </w:tcPr>
                <w:p w14:paraId="4657C2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kern w:val="0"/>
                      <w:sz w:val="18"/>
                      <w:szCs w:val="18"/>
                      <w:lang w:val="en-US" w:eastAsia="zh-CN" w:bidi="ar"/>
                    </w:rPr>
                    <w:t>3</w:t>
                  </w:r>
                </w:p>
              </w:tc>
            </w:tr>
            <w:tr w14:paraId="20353656">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47AA88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干烤灭菌箱（50*60*70cm）</w:t>
                  </w:r>
                </w:p>
              </w:tc>
              <w:tc>
                <w:tcPr>
                  <w:tcW w:w="2001" w:type="pct"/>
                  <w:tcBorders>
                    <w:tl2br w:val="nil"/>
                    <w:tr2bl w:val="nil"/>
                  </w:tcBorders>
                  <w:shd w:val="clear" w:color="auto" w:fill="auto"/>
                  <w:noWrap/>
                  <w:tcMar>
                    <w:top w:w="12" w:type="dxa"/>
                    <w:left w:w="12" w:type="dxa"/>
                    <w:right w:w="12" w:type="dxa"/>
                  </w:tcMar>
                  <w:vAlign w:val="center"/>
                </w:tcPr>
                <w:p w14:paraId="510377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3927ED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101-3BS</w:t>
                  </w:r>
                </w:p>
              </w:tc>
              <w:tc>
                <w:tcPr>
                  <w:tcW w:w="427" w:type="pct"/>
                  <w:tcBorders>
                    <w:tl2br w:val="nil"/>
                    <w:tr2bl w:val="nil"/>
                  </w:tcBorders>
                  <w:shd w:val="clear" w:color="auto" w:fill="auto"/>
                  <w:noWrap/>
                  <w:tcMar>
                    <w:top w:w="12" w:type="dxa"/>
                    <w:left w:w="12" w:type="dxa"/>
                    <w:right w:w="12" w:type="dxa"/>
                  </w:tcMar>
                  <w:vAlign w:val="center"/>
                </w:tcPr>
                <w:p w14:paraId="4E147B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17CCE94">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1DAE55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超净工作台（1010*750*1600）</w:t>
                  </w:r>
                </w:p>
              </w:tc>
              <w:tc>
                <w:tcPr>
                  <w:tcW w:w="2001" w:type="pct"/>
                  <w:tcBorders>
                    <w:tl2br w:val="nil"/>
                    <w:tr2bl w:val="nil"/>
                  </w:tcBorders>
                  <w:shd w:val="clear" w:color="auto" w:fill="auto"/>
                  <w:noWrap/>
                  <w:tcMar>
                    <w:top w:w="12" w:type="dxa"/>
                    <w:left w:w="12" w:type="dxa"/>
                    <w:right w:w="12" w:type="dxa"/>
                  </w:tcMar>
                  <w:vAlign w:val="center"/>
                </w:tcPr>
                <w:p w14:paraId="412A51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苏州安泰空气技术有限公司</w:t>
                  </w:r>
                </w:p>
              </w:tc>
              <w:tc>
                <w:tcPr>
                  <w:tcW w:w="946" w:type="pct"/>
                  <w:tcBorders>
                    <w:tl2br w:val="nil"/>
                    <w:tr2bl w:val="nil"/>
                  </w:tcBorders>
                  <w:shd w:val="clear" w:color="auto" w:fill="auto"/>
                  <w:noWrap/>
                  <w:tcMar>
                    <w:top w:w="12" w:type="dxa"/>
                    <w:left w:w="12" w:type="dxa"/>
                    <w:right w:w="12" w:type="dxa"/>
                  </w:tcMar>
                  <w:vAlign w:val="center"/>
                </w:tcPr>
                <w:p w14:paraId="3CA1C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SW-CJ-1F</w:t>
                  </w:r>
                </w:p>
              </w:tc>
              <w:tc>
                <w:tcPr>
                  <w:tcW w:w="427" w:type="pct"/>
                  <w:tcBorders>
                    <w:tl2br w:val="nil"/>
                    <w:tr2bl w:val="nil"/>
                  </w:tcBorders>
                  <w:shd w:val="clear" w:color="auto" w:fill="auto"/>
                  <w:noWrap/>
                  <w:tcMar>
                    <w:top w:w="12" w:type="dxa"/>
                    <w:left w:w="12" w:type="dxa"/>
                    <w:right w:w="12" w:type="dxa"/>
                  </w:tcMar>
                  <w:vAlign w:val="center"/>
                </w:tcPr>
                <w:p w14:paraId="5B1A27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7B42F422">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750831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温浴箱（细胞房使用160*160*120cm）</w:t>
                  </w:r>
                </w:p>
              </w:tc>
              <w:tc>
                <w:tcPr>
                  <w:tcW w:w="2001" w:type="pct"/>
                  <w:tcBorders>
                    <w:tl2br w:val="nil"/>
                    <w:tr2bl w:val="nil"/>
                  </w:tcBorders>
                  <w:shd w:val="clear" w:color="auto" w:fill="auto"/>
                  <w:noWrap/>
                  <w:tcMar>
                    <w:top w:w="12" w:type="dxa"/>
                    <w:left w:w="12" w:type="dxa"/>
                    <w:right w:w="12" w:type="dxa"/>
                  </w:tcMar>
                  <w:vAlign w:val="center"/>
                </w:tcPr>
                <w:p w14:paraId="179A9F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703711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HH-1</w:t>
                  </w:r>
                </w:p>
              </w:tc>
              <w:tc>
                <w:tcPr>
                  <w:tcW w:w="427" w:type="pct"/>
                  <w:tcBorders>
                    <w:tl2br w:val="nil"/>
                    <w:tr2bl w:val="nil"/>
                  </w:tcBorders>
                  <w:shd w:val="clear" w:color="auto" w:fill="auto"/>
                  <w:noWrap/>
                  <w:tcMar>
                    <w:top w:w="12" w:type="dxa"/>
                    <w:left w:w="12" w:type="dxa"/>
                    <w:right w:w="12" w:type="dxa"/>
                  </w:tcMar>
                  <w:vAlign w:val="center"/>
                </w:tcPr>
                <w:p w14:paraId="0E9313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5660D3F">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0B3DE5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液氮罐1（大口径，储存细胞用）</w:t>
                  </w:r>
                </w:p>
              </w:tc>
              <w:tc>
                <w:tcPr>
                  <w:tcW w:w="2001" w:type="pct"/>
                  <w:tcBorders>
                    <w:tl2br w:val="nil"/>
                    <w:tr2bl w:val="nil"/>
                  </w:tcBorders>
                  <w:shd w:val="clear" w:color="auto" w:fill="auto"/>
                  <w:noWrap/>
                  <w:tcMar>
                    <w:top w:w="12" w:type="dxa"/>
                    <w:left w:w="12" w:type="dxa"/>
                    <w:right w:w="12" w:type="dxa"/>
                  </w:tcMar>
                  <w:vAlign w:val="center"/>
                </w:tcPr>
                <w:p w14:paraId="210FBB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四川盛杰低温设备制造股份有限公司</w:t>
                  </w:r>
                </w:p>
              </w:tc>
              <w:tc>
                <w:tcPr>
                  <w:tcW w:w="946" w:type="pct"/>
                  <w:tcBorders>
                    <w:tl2br w:val="nil"/>
                    <w:tr2bl w:val="nil"/>
                  </w:tcBorders>
                  <w:shd w:val="clear" w:color="auto" w:fill="auto"/>
                  <w:noWrap/>
                  <w:tcMar>
                    <w:top w:w="12" w:type="dxa"/>
                    <w:left w:w="12" w:type="dxa"/>
                    <w:right w:w="12" w:type="dxa"/>
                  </w:tcMar>
                  <w:vAlign w:val="center"/>
                </w:tcPr>
                <w:p w14:paraId="4DE852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YDS-30</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125F</w:t>
                  </w:r>
                </w:p>
              </w:tc>
              <w:tc>
                <w:tcPr>
                  <w:tcW w:w="427" w:type="pct"/>
                  <w:tcBorders>
                    <w:tl2br w:val="nil"/>
                    <w:tr2bl w:val="nil"/>
                  </w:tcBorders>
                  <w:shd w:val="clear" w:color="auto" w:fill="auto"/>
                  <w:noWrap/>
                  <w:tcMar>
                    <w:top w:w="12" w:type="dxa"/>
                    <w:left w:w="12" w:type="dxa"/>
                    <w:right w:w="12" w:type="dxa"/>
                  </w:tcMar>
                  <w:vAlign w:val="center"/>
                </w:tcPr>
                <w:p w14:paraId="6BFE82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98A541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6B4732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液氮罐2（小口径，备用液氮，定期向液氮罐1内添加液氮）</w:t>
                  </w:r>
                </w:p>
              </w:tc>
              <w:tc>
                <w:tcPr>
                  <w:tcW w:w="2001" w:type="pct"/>
                  <w:tcBorders>
                    <w:tl2br w:val="nil"/>
                    <w:tr2bl w:val="nil"/>
                  </w:tcBorders>
                  <w:shd w:val="clear" w:color="auto" w:fill="auto"/>
                  <w:noWrap/>
                  <w:tcMar>
                    <w:top w:w="12" w:type="dxa"/>
                    <w:left w:w="12" w:type="dxa"/>
                    <w:right w:w="12" w:type="dxa"/>
                  </w:tcMar>
                  <w:vAlign w:val="center"/>
                </w:tcPr>
                <w:p w14:paraId="218403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四川盛杰低温设备制造股份有限公司</w:t>
                  </w:r>
                </w:p>
              </w:tc>
              <w:tc>
                <w:tcPr>
                  <w:tcW w:w="946" w:type="pct"/>
                  <w:tcBorders>
                    <w:tl2br w:val="nil"/>
                    <w:tr2bl w:val="nil"/>
                  </w:tcBorders>
                  <w:shd w:val="clear" w:color="auto" w:fill="auto"/>
                  <w:noWrap/>
                  <w:tcMar>
                    <w:top w:w="12" w:type="dxa"/>
                    <w:left w:w="12" w:type="dxa"/>
                    <w:right w:w="12" w:type="dxa"/>
                  </w:tcMar>
                  <w:vAlign w:val="center"/>
                </w:tcPr>
                <w:p w14:paraId="4A015E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YDS-35</w:t>
                  </w:r>
                </w:p>
              </w:tc>
              <w:tc>
                <w:tcPr>
                  <w:tcW w:w="427" w:type="pct"/>
                  <w:tcBorders>
                    <w:tl2br w:val="nil"/>
                    <w:tr2bl w:val="nil"/>
                  </w:tcBorders>
                  <w:shd w:val="clear" w:color="auto" w:fill="auto"/>
                  <w:noWrap/>
                  <w:tcMar>
                    <w:top w:w="12" w:type="dxa"/>
                    <w:left w:w="12" w:type="dxa"/>
                    <w:right w:w="12" w:type="dxa"/>
                  </w:tcMar>
                  <w:vAlign w:val="center"/>
                </w:tcPr>
                <w:p w14:paraId="096EEF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E478581">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6C9A07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常温离心机1（细胞房用）</w:t>
                  </w:r>
                </w:p>
              </w:tc>
              <w:tc>
                <w:tcPr>
                  <w:tcW w:w="2001" w:type="pct"/>
                  <w:tcBorders>
                    <w:tl2br w:val="nil"/>
                    <w:tr2bl w:val="nil"/>
                  </w:tcBorders>
                  <w:shd w:val="clear" w:color="auto" w:fill="auto"/>
                  <w:noWrap/>
                  <w:tcMar>
                    <w:top w:w="12" w:type="dxa"/>
                    <w:left w:w="12" w:type="dxa"/>
                    <w:right w:w="12" w:type="dxa"/>
                  </w:tcMar>
                  <w:vAlign w:val="center"/>
                </w:tcPr>
                <w:p w14:paraId="7DF57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上海安亭科学仪器厂</w:t>
                  </w:r>
                </w:p>
              </w:tc>
              <w:tc>
                <w:tcPr>
                  <w:tcW w:w="946" w:type="pct"/>
                  <w:tcBorders>
                    <w:tl2br w:val="nil"/>
                    <w:tr2bl w:val="nil"/>
                  </w:tcBorders>
                  <w:shd w:val="clear" w:color="auto" w:fill="auto"/>
                  <w:noWrap/>
                  <w:tcMar>
                    <w:top w:w="12" w:type="dxa"/>
                    <w:left w:w="12" w:type="dxa"/>
                    <w:right w:w="12" w:type="dxa"/>
                  </w:tcMar>
                  <w:vAlign w:val="center"/>
                </w:tcPr>
                <w:p w14:paraId="4B489C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TDL-80-2b</w:t>
                  </w:r>
                </w:p>
              </w:tc>
              <w:tc>
                <w:tcPr>
                  <w:tcW w:w="427" w:type="pct"/>
                  <w:tcBorders>
                    <w:tl2br w:val="nil"/>
                    <w:tr2bl w:val="nil"/>
                  </w:tcBorders>
                  <w:shd w:val="clear" w:color="auto" w:fill="auto"/>
                  <w:noWrap/>
                  <w:tcMar>
                    <w:top w:w="12" w:type="dxa"/>
                    <w:left w:w="12" w:type="dxa"/>
                    <w:right w:w="12" w:type="dxa"/>
                  </w:tcMar>
                  <w:vAlign w:val="center"/>
                </w:tcPr>
                <w:p w14:paraId="76C826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06ABF5D">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65C594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移液器</w:t>
                  </w:r>
                </w:p>
              </w:tc>
              <w:tc>
                <w:tcPr>
                  <w:tcW w:w="2001" w:type="pct"/>
                  <w:tcBorders>
                    <w:tl2br w:val="nil"/>
                    <w:tr2bl w:val="nil"/>
                  </w:tcBorders>
                  <w:shd w:val="clear" w:color="auto" w:fill="auto"/>
                  <w:noWrap/>
                  <w:tcMar>
                    <w:top w:w="12" w:type="dxa"/>
                    <w:left w:w="12" w:type="dxa"/>
                    <w:right w:w="12" w:type="dxa"/>
                  </w:tcMar>
                  <w:vAlign w:val="center"/>
                </w:tcPr>
                <w:p w14:paraId="6576A0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德国Eppendorf 艾本德</w:t>
                  </w:r>
                </w:p>
              </w:tc>
              <w:tc>
                <w:tcPr>
                  <w:tcW w:w="946" w:type="pct"/>
                  <w:tcBorders>
                    <w:tl2br w:val="nil"/>
                    <w:tr2bl w:val="nil"/>
                  </w:tcBorders>
                  <w:shd w:val="clear" w:color="auto" w:fill="auto"/>
                  <w:noWrap/>
                  <w:tcMar>
                    <w:top w:w="12" w:type="dxa"/>
                    <w:left w:w="12" w:type="dxa"/>
                    <w:right w:w="12" w:type="dxa"/>
                  </w:tcMar>
                  <w:vAlign w:val="center"/>
                </w:tcPr>
                <w:p w14:paraId="091D1A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500-5000μl</w:t>
                  </w:r>
                </w:p>
              </w:tc>
              <w:tc>
                <w:tcPr>
                  <w:tcW w:w="427" w:type="pct"/>
                  <w:tcBorders>
                    <w:tl2br w:val="nil"/>
                    <w:tr2bl w:val="nil"/>
                  </w:tcBorders>
                  <w:shd w:val="clear" w:color="auto" w:fill="auto"/>
                  <w:noWrap/>
                  <w:tcMar>
                    <w:top w:w="12" w:type="dxa"/>
                    <w:left w:w="12" w:type="dxa"/>
                    <w:right w:w="12" w:type="dxa"/>
                  </w:tcMar>
                  <w:vAlign w:val="center"/>
                </w:tcPr>
                <w:p w14:paraId="2B0FAB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w:t>
                  </w:r>
                </w:p>
              </w:tc>
            </w:tr>
            <w:tr w14:paraId="7901CC5B">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3FD662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移液器</w:t>
                  </w:r>
                </w:p>
              </w:tc>
              <w:tc>
                <w:tcPr>
                  <w:tcW w:w="2001" w:type="pct"/>
                  <w:tcBorders>
                    <w:tl2br w:val="nil"/>
                    <w:tr2bl w:val="nil"/>
                  </w:tcBorders>
                  <w:shd w:val="clear" w:color="auto" w:fill="auto"/>
                  <w:noWrap/>
                  <w:tcMar>
                    <w:top w:w="12" w:type="dxa"/>
                    <w:left w:w="12" w:type="dxa"/>
                    <w:right w:w="12" w:type="dxa"/>
                  </w:tcMar>
                  <w:vAlign w:val="center"/>
                </w:tcPr>
                <w:p w14:paraId="155469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德国Eppendorf 艾本德</w:t>
                  </w:r>
                </w:p>
              </w:tc>
              <w:tc>
                <w:tcPr>
                  <w:tcW w:w="946" w:type="pct"/>
                  <w:tcBorders>
                    <w:tl2br w:val="nil"/>
                    <w:tr2bl w:val="nil"/>
                  </w:tcBorders>
                  <w:shd w:val="clear" w:color="auto" w:fill="auto"/>
                  <w:noWrap/>
                  <w:tcMar>
                    <w:top w:w="12" w:type="dxa"/>
                    <w:left w:w="12" w:type="dxa"/>
                    <w:right w:w="12" w:type="dxa"/>
                  </w:tcMar>
                  <w:vAlign w:val="center"/>
                </w:tcPr>
                <w:p w14:paraId="3016A3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100-1000μl</w:t>
                  </w:r>
                </w:p>
              </w:tc>
              <w:tc>
                <w:tcPr>
                  <w:tcW w:w="427" w:type="pct"/>
                  <w:tcBorders>
                    <w:tl2br w:val="nil"/>
                    <w:tr2bl w:val="nil"/>
                  </w:tcBorders>
                  <w:shd w:val="clear" w:color="auto" w:fill="auto"/>
                  <w:noWrap/>
                  <w:tcMar>
                    <w:top w:w="12" w:type="dxa"/>
                    <w:left w:w="12" w:type="dxa"/>
                    <w:right w:w="12" w:type="dxa"/>
                  </w:tcMar>
                  <w:vAlign w:val="center"/>
                </w:tcPr>
                <w:p w14:paraId="26F93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w:t>
                  </w:r>
                </w:p>
              </w:tc>
            </w:tr>
            <w:tr w14:paraId="3A74D4A0">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663EB0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移液器</w:t>
                  </w:r>
                </w:p>
              </w:tc>
              <w:tc>
                <w:tcPr>
                  <w:tcW w:w="2001" w:type="pct"/>
                  <w:tcBorders>
                    <w:tl2br w:val="nil"/>
                    <w:tr2bl w:val="nil"/>
                  </w:tcBorders>
                  <w:shd w:val="clear" w:color="auto" w:fill="auto"/>
                  <w:noWrap/>
                  <w:tcMar>
                    <w:top w:w="12" w:type="dxa"/>
                    <w:left w:w="12" w:type="dxa"/>
                    <w:right w:w="12" w:type="dxa"/>
                  </w:tcMar>
                  <w:vAlign w:val="center"/>
                </w:tcPr>
                <w:p w14:paraId="757A93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德国Eppendorf 艾本德</w:t>
                  </w:r>
                </w:p>
              </w:tc>
              <w:tc>
                <w:tcPr>
                  <w:tcW w:w="946" w:type="pct"/>
                  <w:tcBorders>
                    <w:tl2br w:val="nil"/>
                    <w:tr2bl w:val="nil"/>
                  </w:tcBorders>
                  <w:shd w:val="clear" w:color="auto" w:fill="auto"/>
                  <w:noWrap/>
                  <w:tcMar>
                    <w:top w:w="12" w:type="dxa"/>
                    <w:left w:w="12" w:type="dxa"/>
                    <w:right w:w="12" w:type="dxa"/>
                  </w:tcMar>
                  <w:vAlign w:val="center"/>
                </w:tcPr>
                <w:p w14:paraId="33AB5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0.5-10μl</w:t>
                  </w:r>
                </w:p>
              </w:tc>
              <w:tc>
                <w:tcPr>
                  <w:tcW w:w="427" w:type="pct"/>
                  <w:tcBorders>
                    <w:tl2br w:val="nil"/>
                    <w:tr2bl w:val="nil"/>
                  </w:tcBorders>
                  <w:shd w:val="clear" w:color="auto" w:fill="auto"/>
                  <w:noWrap/>
                  <w:tcMar>
                    <w:top w:w="12" w:type="dxa"/>
                    <w:left w:w="12" w:type="dxa"/>
                    <w:right w:w="12" w:type="dxa"/>
                  </w:tcMar>
                  <w:vAlign w:val="center"/>
                </w:tcPr>
                <w:p w14:paraId="0B9AD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w:t>
                  </w:r>
                </w:p>
              </w:tc>
            </w:tr>
            <w:tr w14:paraId="48AA97B3">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37E352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移液器</w:t>
                  </w:r>
                </w:p>
              </w:tc>
              <w:tc>
                <w:tcPr>
                  <w:tcW w:w="2001" w:type="pct"/>
                  <w:tcBorders>
                    <w:tl2br w:val="nil"/>
                    <w:tr2bl w:val="nil"/>
                  </w:tcBorders>
                  <w:shd w:val="clear" w:color="auto" w:fill="auto"/>
                  <w:noWrap/>
                  <w:tcMar>
                    <w:top w:w="12" w:type="dxa"/>
                    <w:left w:w="12" w:type="dxa"/>
                    <w:right w:w="12" w:type="dxa"/>
                  </w:tcMar>
                  <w:vAlign w:val="center"/>
                </w:tcPr>
                <w:p w14:paraId="360A9E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德国Eppendorf 艾本德</w:t>
                  </w:r>
                </w:p>
              </w:tc>
              <w:tc>
                <w:tcPr>
                  <w:tcW w:w="946" w:type="pct"/>
                  <w:tcBorders>
                    <w:tl2br w:val="nil"/>
                    <w:tr2bl w:val="nil"/>
                  </w:tcBorders>
                  <w:shd w:val="clear" w:color="auto" w:fill="auto"/>
                  <w:noWrap/>
                  <w:tcMar>
                    <w:top w:w="12" w:type="dxa"/>
                    <w:left w:w="12" w:type="dxa"/>
                    <w:right w:w="12" w:type="dxa"/>
                  </w:tcMar>
                  <w:vAlign w:val="center"/>
                </w:tcPr>
                <w:p w14:paraId="44FF93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2-20μl</w:t>
                  </w:r>
                </w:p>
              </w:tc>
              <w:tc>
                <w:tcPr>
                  <w:tcW w:w="427" w:type="pct"/>
                  <w:tcBorders>
                    <w:tl2br w:val="nil"/>
                    <w:tr2bl w:val="nil"/>
                  </w:tcBorders>
                  <w:shd w:val="clear" w:color="auto" w:fill="auto"/>
                  <w:noWrap/>
                  <w:tcMar>
                    <w:top w:w="12" w:type="dxa"/>
                    <w:left w:w="12" w:type="dxa"/>
                    <w:right w:w="12" w:type="dxa"/>
                  </w:tcMar>
                  <w:vAlign w:val="center"/>
                </w:tcPr>
                <w:p w14:paraId="5D52D6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w:t>
                  </w:r>
                </w:p>
              </w:tc>
            </w:tr>
            <w:tr w14:paraId="347B7E52">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2810B7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移液器</w:t>
                  </w:r>
                </w:p>
              </w:tc>
              <w:tc>
                <w:tcPr>
                  <w:tcW w:w="2001" w:type="pct"/>
                  <w:tcBorders>
                    <w:tl2br w:val="nil"/>
                    <w:tr2bl w:val="nil"/>
                  </w:tcBorders>
                  <w:shd w:val="clear" w:color="auto" w:fill="auto"/>
                  <w:noWrap/>
                  <w:tcMar>
                    <w:top w:w="12" w:type="dxa"/>
                    <w:left w:w="12" w:type="dxa"/>
                    <w:right w:w="12" w:type="dxa"/>
                  </w:tcMar>
                  <w:vAlign w:val="center"/>
                </w:tcPr>
                <w:p w14:paraId="5D3C40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德国Eppendorf 艾本德</w:t>
                  </w:r>
                </w:p>
              </w:tc>
              <w:tc>
                <w:tcPr>
                  <w:tcW w:w="946" w:type="pct"/>
                  <w:tcBorders>
                    <w:tl2br w:val="nil"/>
                    <w:tr2bl w:val="nil"/>
                  </w:tcBorders>
                  <w:shd w:val="clear" w:color="auto" w:fill="auto"/>
                  <w:noWrap/>
                  <w:tcMar>
                    <w:top w:w="12" w:type="dxa"/>
                    <w:left w:w="12" w:type="dxa"/>
                    <w:right w:w="12" w:type="dxa"/>
                  </w:tcMar>
                  <w:vAlign w:val="center"/>
                </w:tcPr>
                <w:p w14:paraId="55A4A5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10-100μl</w:t>
                  </w:r>
                </w:p>
              </w:tc>
              <w:tc>
                <w:tcPr>
                  <w:tcW w:w="427" w:type="pct"/>
                  <w:tcBorders>
                    <w:tl2br w:val="nil"/>
                    <w:tr2bl w:val="nil"/>
                  </w:tcBorders>
                  <w:shd w:val="clear" w:color="auto" w:fill="auto"/>
                  <w:noWrap/>
                  <w:tcMar>
                    <w:top w:w="12" w:type="dxa"/>
                    <w:left w:w="12" w:type="dxa"/>
                    <w:right w:w="12" w:type="dxa"/>
                  </w:tcMar>
                  <w:vAlign w:val="center"/>
                </w:tcPr>
                <w:p w14:paraId="5291A8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w:t>
                  </w:r>
                </w:p>
              </w:tc>
            </w:tr>
            <w:tr w14:paraId="679D9A1A">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304FDC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移液器</w:t>
                  </w:r>
                </w:p>
              </w:tc>
              <w:tc>
                <w:tcPr>
                  <w:tcW w:w="2001" w:type="pct"/>
                  <w:tcBorders>
                    <w:tl2br w:val="nil"/>
                    <w:tr2bl w:val="nil"/>
                  </w:tcBorders>
                  <w:shd w:val="clear" w:color="auto" w:fill="auto"/>
                  <w:noWrap/>
                  <w:tcMar>
                    <w:top w:w="12" w:type="dxa"/>
                    <w:left w:w="12" w:type="dxa"/>
                    <w:right w:w="12" w:type="dxa"/>
                  </w:tcMar>
                  <w:vAlign w:val="center"/>
                </w:tcPr>
                <w:p w14:paraId="09713A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德国Eppendorf 艾本德</w:t>
                  </w:r>
                </w:p>
              </w:tc>
              <w:tc>
                <w:tcPr>
                  <w:tcW w:w="946" w:type="pct"/>
                  <w:tcBorders>
                    <w:tl2br w:val="nil"/>
                    <w:tr2bl w:val="nil"/>
                  </w:tcBorders>
                  <w:shd w:val="clear" w:color="auto" w:fill="auto"/>
                  <w:noWrap/>
                  <w:tcMar>
                    <w:top w:w="12" w:type="dxa"/>
                    <w:left w:w="12" w:type="dxa"/>
                    <w:right w:w="12" w:type="dxa"/>
                  </w:tcMar>
                  <w:vAlign w:val="center"/>
                </w:tcPr>
                <w:p w14:paraId="0A6278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20-200μl</w:t>
                  </w:r>
                </w:p>
              </w:tc>
              <w:tc>
                <w:tcPr>
                  <w:tcW w:w="427" w:type="pct"/>
                  <w:tcBorders>
                    <w:tl2br w:val="nil"/>
                    <w:tr2bl w:val="nil"/>
                  </w:tcBorders>
                  <w:shd w:val="clear" w:color="auto" w:fill="auto"/>
                  <w:noWrap/>
                  <w:tcMar>
                    <w:top w:w="12" w:type="dxa"/>
                    <w:left w:w="12" w:type="dxa"/>
                    <w:right w:w="12" w:type="dxa"/>
                  </w:tcMar>
                  <w:vAlign w:val="center"/>
                </w:tcPr>
                <w:p w14:paraId="2ECD5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w:t>
                  </w:r>
                </w:p>
              </w:tc>
            </w:tr>
            <w:tr w14:paraId="25519A0A">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54FF5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移液器</w:t>
                  </w:r>
                </w:p>
              </w:tc>
              <w:tc>
                <w:tcPr>
                  <w:tcW w:w="2001" w:type="pct"/>
                  <w:tcBorders>
                    <w:tl2br w:val="nil"/>
                    <w:tr2bl w:val="nil"/>
                  </w:tcBorders>
                  <w:shd w:val="clear" w:color="auto" w:fill="auto"/>
                  <w:noWrap/>
                  <w:tcMar>
                    <w:top w:w="12" w:type="dxa"/>
                    <w:left w:w="12" w:type="dxa"/>
                    <w:right w:w="12" w:type="dxa"/>
                  </w:tcMar>
                  <w:vAlign w:val="center"/>
                </w:tcPr>
                <w:p w14:paraId="3B1081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德国Eppendorf 艾本德</w:t>
                  </w:r>
                </w:p>
              </w:tc>
              <w:tc>
                <w:tcPr>
                  <w:tcW w:w="946" w:type="pct"/>
                  <w:tcBorders>
                    <w:tl2br w:val="nil"/>
                    <w:tr2bl w:val="nil"/>
                  </w:tcBorders>
                  <w:shd w:val="clear" w:color="auto" w:fill="auto"/>
                  <w:noWrap/>
                  <w:tcMar>
                    <w:top w:w="12" w:type="dxa"/>
                    <w:left w:w="12" w:type="dxa"/>
                    <w:right w:w="12" w:type="dxa"/>
                  </w:tcMar>
                  <w:vAlign w:val="center"/>
                </w:tcPr>
                <w:p w14:paraId="35FA75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0.1-2.5μl</w:t>
                  </w:r>
                </w:p>
              </w:tc>
              <w:tc>
                <w:tcPr>
                  <w:tcW w:w="427" w:type="pct"/>
                  <w:tcBorders>
                    <w:tl2br w:val="nil"/>
                    <w:tr2bl w:val="nil"/>
                  </w:tcBorders>
                  <w:shd w:val="clear" w:color="auto" w:fill="auto"/>
                  <w:noWrap/>
                  <w:tcMar>
                    <w:top w:w="12" w:type="dxa"/>
                    <w:left w:w="12" w:type="dxa"/>
                    <w:right w:w="12" w:type="dxa"/>
                  </w:tcMar>
                  <w:vAlign w:val="center"/>
                </w:tcPr>
                <w:p w14:paraId="7CB3A7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w:t>
                  </w:r>
                </w:p>
              </w:tc>
            </w:tr>
            <w:tr w14:paraId="33510AA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170D1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CO2培养箱（×2）</w:t>
                  </w:r>
                </w:p>
              </w:tc>
              <w:tc>
                <w:tcPr>
                  <w:tcW w:w="2001" w:type="pct"/>
                  <w:tcBorders>
                    <w:tl2br w:val="nil"/>
                    <w:tr2bl w:val="nil"/>
                  </w:tcBorders>
                  <w:shd w:val="clear" w:color="auto" w:fill="auto"/>
                  <w:noWrap/>
                  <w:tcMar>
                    <w:top w:w="12" w:type="dxa"/>
                    <w:left w:w="12" w:type="dxa"/>
                    <w:right w:w="12" w:type="dxa"/>
                  </w:tcMar>
                  <w:vAlign w:val="center"/>
                </w:tcPr>
                <w:p w14:paraId="32D3CE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美国赛默飞Thermo</w:t>
                  </w:r>
                </w:p>
              </w:tc>
              <w:tc>
                <w:tcPr>
                  <w:tcW w:w="946" w:type="pct"/>
                  <w:tcBorders>
                    <w:tl2br w:val="nil"/>
                    <w:tr2bl w:val="nil"/>
                  </w:tcBorders>
                  <w:shd w:val="clear" w:color="auto" w:fill="auto"/>
                  <w:noWrap/>
                  <w:tcMar>
                    <w:top w:w="12" w:type="dxa"/>
                    <w:left w:w="12" w:type="dxa"/>
                    <w:right w:w="12" w:type="dxa"/>
                  </w:tcMar>
                  <w:vAlign w:val="center"/>
                </w:tcPr>
                <w:p w14:paraId="349F9D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311直热式</w:t>
                  </w:r>
                </w:p>
              </w:tc>
              <w:tc>
                <w:tcPr>
                  <w:tcW w:w="427" w:type="pct"/>
                  <w:tcBorders>
                    <w:tl2br w:val="nil"/>
                    <w:tr2bl w:val="nil"/>
                  </w:tcBorders>
                  <w:shd w:val="clear" w:color="auto" w:fill="auto"/>
                  <w:noWrap/>
                  <w:tcMar>
                    <w:top w:w="12" w:type="dxa"/>
                    <w:left w:w="12" w:type="dxa"/>
                    <w:right w:w="12" w:type="dxa"/>
                  </w:tcMar>
                  <w:vAlign w:val="center"/>
                </w:tcPr>
                <w:p w14:paraId="15020A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68999738">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2171DB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普通冰箱×4</w:t>
                  </w:r>
                </w:p>
              </w:tc>
              <w:tc>
                <w:tcPr>
                  <w:tcW w:w="2001" w:type="pct"/>
                  <w:tcBorders>
                    <w:tl2br w:val="nil"/>
                    <w:tr2bl w:val="nil"/>
                  </w:tcBorders>
                  <w:shd w:val="clear" w:color="auto" w:fill="auto"/>
                  <w:noWrap/>
                  <w:tcMar>
                    <w:top w:w="12" w:type="dxa"/>
                    <w:left w:w="12" w:type="dxa"/>
                    <w:right w:w="12" w:type="dxa"/>
                  </w:tcMar>
                  <w:vAlign w:val="center"/>
                </w:tcPr>
                <w:p w14:paraId="3A6169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海尔</w:t>
                  </w:r>
                </w:p>
              </w:tc>
              <w:tc>
                <w:tcPr>
                  <w:tcW w:w="946" w:type="pct"/>
                  <w:tcBorders>
                    <w:tl2br w:val="nil"/>
                    <w:tr2bl w:val="nil"/>
                  </w:tcBorders>
                  <w:shd w:val="clear" w:color="auto" w:fill="auto"/>
                  <w:noWrap/>
                  <w:tcMar>
                    <w:top w:w="12" w:type="dxa"/>
                    <w:left w:w="12" w:type="dxa"/>
                    <w:right w:w="12" w:type="dxa"/>
                  </w:tcMar>
                  <w:vAlign w:val="center"/>
                </w:tcPr>
                <w:p w14:paraId="219E33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BCD-182LTMPA</w:t>
                  </w:r>
                </w:p>
              </w:tc>
              <w:tc>
                <w:tcPr>
                  <w:tcW w:w="427" w:type="pct"/>
                  <w:tcBorders>
                    <w:tl2br w:val="nil"/>
                    <w:tr2bl w:val="nil"/>
                  </w:tcBorders>
                  <w:shd w:val="clear" w:color="auto" w:fill="auto"/>
                  <w:noWrap/>
                  <w:tcMar>
                    <w:top w:w="12" w:type="dxa"/>
                    <w:left w:w="12" w:type="dxa"/>
                    <w:right w:w="12" w:type="dxa"/>
                  </w:tcMar>
                  <w:vAlign w:val="center"/>
                </w:tcPr>
                <w:p w14:paraId="710FF3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w:t>
                  </w:r>
                </w:p>
              </w:tc>
            </w:tr>
            <w:tr w14:paraId="4293C70E">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6A3B8D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深低温冰箱*2</w:t>
                  </w:r>
                </w:p>
              </w:tc>
              <w:tc>
                <w:tcPr>
                  <w:tcW w:w="2001" w:type="pct"/>
                  <w:tcBorders>
                    <w:tl2br w:val="nil"/>
                    <w:tr2bl w:val="nil"/>
                  </w:tcBorders>
                  <w:shd w:val="clear" w:color="auto" w:fill="auto"/>
                  <w:noWrap/>
                  <w:tcMar>
                    <w:top w:w="12" w:type="dxa"/>
                    <w:left w:w="12" w:type="dxa"/>
                    <w:right w:w="12" w:type="dxa"/>
                  </w:tcMar>
                  <w:vAlign w:val="center"/>
                </w:tcPr>
                <w:p w14:paraId="702D2B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海尔</w:t>
                  </w:r>
                </w:p>
              </w:tc>
              <w:tc>
                <w:tcPr>
                  <w:tcW w:w="946" w:type="pct"/>
                  <w:tcBorders>
                    <w:tl2br w:val="nil"/>
                    <w:tr2bl w:val="nil"/>
                  </w:tcBorders>
                  <w:shd w:val="clear" w:color="auto" w:fill="auto"/>
                  <w:noWrap/>
                  <w:tcMar>
                    <w:top w:w="12" w:type="dxa"/>
                    <w:left w:w="12" w:type="dxa"/>
                    <w:right w:w="12" w:type="dxa"/>
                  </w:tcMar>
                  <w:vAlign w:val="center"/>
                </w:tcPr>
                <w:p w14:paraId="0A6BBE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DW-86L486</w:t>
                  </w:r>
                </w:p>
              </w:tc>
              <w:tc>
                <w:tcPr>
                  <w:tcW w:w="427" w:type="pct"/>
                  <w:tcBorders>
                    <w:tl2br w:val="nil"/>
                    <w:tr2bl w:val="nil"/>
                  </w:tcBorders>
                  <w:shd w:val="clear" w:color="auto" w:fill="auto"/>
                  <w:noWrap/>
                  <w:tcMar>
                    <w:top w:w="12" w:type="dxa"/>
                    <w:left w:w="12" w:type="dxa"/>
                    <w:right w:w="12" w:type="dxa"/>
                  </w:tcMar>
                  <w:vAlign w:val="center"/>
                </w:tcPr>
                <w:p w14:paraId="68BB75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453F8F61">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1B0019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制冰机 330*503*607</w:t>
                  </w:r>
                </w:p>
              </w:tc>
              <w:tc>
                <w:tcPr>
                  <w:tcW w:w="2001" w:type="pct"/>
                  <w:tcBorders>
                    <w:tl2br w:val="nil"/>
                    <w:tr2bl w:val="nil"/>
                  </w:tcBorders>
                  <w:shd w:val="clear" w:color="auto" w:fill="auto"/>
                  <w:noWrap/>
                  <w:tcMar>
                    <w:top w:w="12" w:type="dxa"/>
                    <w:left w:w="12" w:type="dxa"/>
                    <w:right w:w="12" w:type="dxa"/>
                  </w:tcMar>
                  <w:vAlign w:val="center"/>
                </w:tcPr>
                <w:p w14:paraId="599E1A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奈超电器有限公司</w:t>
                  </w:r>
                </w:p>
              </w:tc>
              <w:tc>
                <w:tcPr>
                  <w:tcW w:w="946" w:type="pct"/>
                  <w:tcBorders>
                    <w:tl2br w:val="nil"/>
                    <w:tr2bl w:val="nil"/>
                  </w:tcBorders>
                  <w:shd w:val="clear" w:color="auto" w:fill="auto"/>
                  <w:noWrap/>
                  <w:tcMar>
                    <w:top w:w="12" w:type="dxa"/>
                    <w:left w:w="12" w:type="dxa"/>
                    <w:right w:w="12" w:type="dxa"/>
                  </w:tcMar>
                  <w:vAlign w:val="center"/>
                </w:tcPr>
                <w:p w14:paraId="2A557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30kg实验室雪花制冰机</w:t>
                  </w:r>
                </w:p>
              </w:tc>
              <w:tc>
                <w:tcPr>
                  <w:tcW w:w="427" w:type="pct"/>
                  <w:tcBorders>
                    <w:tl2br w:val="nil"/>
                    <w:tr2bl w:val="nil"/>
                  </w:tcBorders>
                  <w:shd w:val="clear" w:color="auto" w:fill="auto"/>
                  <w:noWrap/>
                  <w:tcMar>
                    <w:top w:w="12" w:type="dxa"/>
                    <w:left w:w="12" w:type="dxa"/>
                    <w:right w:w="12" w:type="dxa"/>
                  </w:tcMar>
                  <w:vAlign w:val="center"/>
                </w:tcPr>
                <w:p w14:paraId="5BDF57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9B85283">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64F997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水平摇床</w:t>
                  </w:r>
                </w:p>
              </w:tc>
              <w:tc>
                <w:tcPr>
                  <w:tcW w:w="2001" w:type="pct"/>
                  <w:tcBorders>
                    <w:tl2br w:val="nil"/>
                    <w:tr2bl w:val="nil"/>
                  </w:tcBorders>
                  <w:shd w:val="clear" w:color="auto" w:fill="auto"/>
                  <w:noWrap/>
                  <w:tcMar>
                    <w:top w:w="12" w:type="dxa"/>
                    <w:left w:w="12" w:type="dxa"/>
                    <w:right w:w="12" w:type="dxa"/>
                  </w:tcMar>
                  <w:vAlign w:val="center"/>
                </w:tcPr>
                <w:p w14:paraId="620133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泰州诺米医疗科技有限公司生产</w:t>
                  </w:r>
                </w:p>
              </w:tc>
              <w:tc>
                <w:tcPr>
                  <w:tcW w:w="946" w:type="pct"/>
                  <w:tcBorders>
                    <w:tl2br w:val="nil"/>
                    <w:tr2bl w:val="nil"/>
                  </w:tcBorders>
                  <w:shd w:val="clear" w:color="auto" w:fill="auto"/>
                  <w:noWrap/>
                  <w:tcMar>
                    <w:top w:w="12" w:type="dxa"/>
                    <w:left w:w="12" w:type="dxa"/>
                    <w:right w:w="12" w:type="dxa"/>
                  </w:tcMar>
                  <w:vAlign w:val="center"/>
                </w:tcPr>
                <w:p w14:paraId="6AFD5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NSP-300大</w:t>
                  </w:r>
                </w:p>
              </w:tc>
              <w:tc>
                <w:tcPr>
                  <w:tcW w:w="427" w:type="pct"/>
                  <w:tcBorders>
                    <w:tl2br w:val="nil"/>
                    <w:tr2bl w:val="nil"/>
                  </w:tcBorders>
                  <w:shd w:val="clear" w:color="auto" w:fill="auto"/>
                  <w:noWrap/>
                  <w:tcMar>
                    <w:top w:w="12" w:type="dxa"/>
                    <w:left w:w="12" w:type="dxa"/>
                    <w:right w:w="12" w:type="dxa"/>
                  </w:tcMar>
                  <w:vAlign w:val="center"/>
                </w:tcPr>
                <w:p w14:paraId="35FEF3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CC5984B">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019189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深低温高速离心机</w:t>
                  </w:r>
                </w:p>
              </w:tc>
              <w:tc>
                <w:tcPr>
                  <w:tcW w:w="2001" w:type="pct"/>
                  <w:tcBorders>
                    <w:tl2br w:val="nil"/>
                    <w:tr2bl w:val="nil"/>
                  </w:tcBorders>
                  <w:shd w:val="clear" w:color="auto" w:fill="auto"/>
                  <w:noWrap/>
                  <w:tcMar>
                    <w:top w:w="12" w:type="dxa"/>
                    <w:left w:w="12" w:type="dxa"/>
                    <w:right w:w="12" w:type="dxa"/>
                  </w:tcMar>
                  <w:vAlign w:val="center"/>
                </w:tcPr>
                <w:p w14:paraId="614060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4F10A1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LC-LX-HLR210D</w:t>
                  </w:r>
                </w:p>
              </w:tc>
              <w:tc>
                <w:tcPr>
                  <w:tcW w:w="427" w:type="pct"/>
                  <w:tcBorders>
                    <w:tl2br w:val="nil"/>
                    <w:tr2bl w:val="nil"/>
                  </w:tcBorders>
                  <w:shd w:val="clear" w:color="auto" w:fill="auto"/>
                  <w:noWrap/>
                  <w:tcMar>
                    <w:top w:w="12" w:type="dxa"/>
                    <w:left w:w="12" w:type="dxa"/>
                    <w:right w:w="12" w:type="dxa"/>
                  </w:tcMar>
                  <w:vAlign w:val="center"/>
                </w:tcPr>
                <w:p w14:paraId="3349CA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888C0F1">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0636A5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深低温高速离心机</w:t>
                  </w:r>
                </w:p>
              </w:tc>
              <w:tc>
                <w:tcPr>
                  <w:tcW w:w="2001" w:type="pct"/>
                  <w:tcBorders>
                    <w:tl2br w:val="nil"/>
                    <w:tr2bl w:val="nil"/>
                  </w:tcBorders>
                  <w:shd w:val="clear" w:color="auto" w:fill="auto"/>
                  <w:noWrap/>
                  <w:tcMar>
                    <w:top w:w="12" w:type="dxa"/>
                    <w:left w:w="12" w:type="dxa"/>
                    <w:right w:w="12" w:type="dxa"/>
                  </w:tcMar>
                  <w:vAlign w:val="center"/>
                </w:tcPr>
                <w:p w14:paraId="31784A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76882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角转子9</w:t>
                  </w:r>
                </w:p>
              </w:tc>
              <w:tc>
                <w:tcPr>
                  <w:tcW w:w="427" w:type="pct"/>
                  <w:tcBorders>
                    <w:tl2br w:val="nil"/>
                    <w:tr2bl w:val="nil"/>
                  </w:tcBorders>
                  <w:shd w:val="clear" w:color="auto" w:fill="auto"/>
                  <w:noWrap/>
                  <w:tcMar>
                    <w:top w:w="12" w:type="dxa"/>
                    <w:left w:w="12" w:type="dxa"/>
                    <w:right w:w="12" w:type="dxa"/>
                  </w:tcMar>
                  <w:vAlign w:val="center"/>
                </w:tcPr>
                <w:p w14:paraId="5D2109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D24C615">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67CE4A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深低温高速离心机</w:t>
                  </w:r>
                </w:p>
              </w:tc>
              <w:tc>
                <w:tcPr>
                  <w:tcW w:w="2001" w:type="pct"/>
                  <w:tcBorders>
                    <w:tl2br w:val="nil"/>
                    <w:tr2bl w:val="nil"/>
                  </w:tcBorders>
                  <w:shd w:val="clear" w:color="auto" w:fill="auto"/>
                  <w:noWrap/>
                  <w:tcMar>
                    <w:top w:w="12" w:type="dxa"/>
                    <w:left w:w="12" w:type="dxa"/>
                    <w:right w:w="12" w:type="dxa"/>
                  </w:tcMar>
                  <w:vAlign w:val="center"/>
                </w:tcPr>
                <w:p w14:paraId="262236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685F80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角转子10</w:t>
                  </w:r>
                </w:p>
              </w:tc>
              <w:tc>
                <w:tcPr>
                  <w:tcW w:w="427" w:type="pct"/>
                  <w:tcBorders>
                    <w:tl2br w:val="nil"/>
                    <w:tr2bl w:val="nil"/>
                  </w:tcBorders>
                  <w:shd w:val="clear" w:color="auto" w:fill="auto"/>
                  <w:noWrap/>
                  <w:tcMar>
                    <w:top w:w="12" w:type="dxa"/>
                    <w:left w:w="12" w:type="dxa"/>
                    <w:right w:w="12" w:type="dxa"/>
                  </w:tcMar>
                  <w:vAlign w:val="center"/>
                </w:tcPr>
                <w:p w14:paraId="531206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64B7710">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727B02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深低温高速离心机</w:t>
                  </w:r>
                </w:p>
              </w:tc>
              <w:tc>
                <w:tcPr>
                  <w:tcW w:w="2001" w:type="pct"/>
                  <w:tcBorders>
                    <w:tl2br w:val="nil"/>
                    <w:tr2bl w:val="nil"/>
                  </w:tcBorders>
                  <w:shd w:val="clear" w:color="auto" w:fill="auto"/>
                  <w:noWrap/>
                  <w:tcMar>
                    <w:top w:w="12" w:type="dxa"/>
                    <w:left w:w="12" w:type="dxa"/>
                    <w:right w:w="12" w:type="dxa"/>
                  </w:tcMar>
                  <w:vAlign w:val="center"/>
                </w:tcPr>
                <w:p w14:paraId="25C311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459DCB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角转子3</w:t>
                  </w:r>
                </w:p>
              </w:tc>
              <w:tc>
                <w:tcPr>
                  <w:tcW w:w="427" w:type="pct"/>
                  <w:tcBorders>
                    <w:tl2br w:val="nil"/>
                    <w:tr2bl w:val="nil"/>
                  </w:tcBorders>
                  <w:shd w:val="clear" w:color="auto" w:fill="auto"/>
                  <w:noWrap/>
                  <w:tcMar>
                    <w:top w:w="12" w:type="dxa"/>
                    <w:left w:w="12" w:type="dxa"/>
                    <w:right w:w="12" w:type="dxa"/>
                  </w:tcMar>
                  <w:vAlign w:val="center"/>
                </w:tcPr>
                <w:p w14:paraId="46F367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B00C7FA">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38958E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酶标仪</w:t>
                  </w:r>
                </w:p>
              </w:tc>
              <w:tc>
                <w:tcPr>
                  <w:tcW w:w="2001" w:type="pct"/>
                  <w:tcBorders>
                    <w:tl2br w:val="nil"/>
                    <w:tr2bl w:val="nil"/>
                  </w:tcBorders>
                  <w:shd w:val="clear" w:color="auto" w:fill="auto"/>
                  <w:noWrap/>
                  <w:tcMar>
                    <w:top w:w="12" w:type="dxa"/>
                    <w:left w:w="12" w:type="dxa"/>
                    <w:right w:w="12" w:type="dxa"/>
                  </w:tcMar>
                  <w:vAlign w:val="center"/>
                </w:tcPr>
                <w:p w14:paraId="41C54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美国赛默飞Thermo</w:t>
                  </w:r>
                </w:p>
              </w:tc>
              <w:tc>
                <w:tcPr>
                  <w:tcW w:w="946" w:type="pct"/>
                  <w:tcBorders>
                    <w:tl2br w:val="nil"/>
                    <w:tr2bl w:val="nil"/>
                  </w:tcBorders>
                  <w:shd w:val="clear" w:color="auto" w:fill="auto"/>
                  <w:noWrap/>
                  <w:tcMar>
                    <w:top w:w="12" w:type="dxa"/>
                    <w:left w:w="12" w:type="dxa"/>
                    <w:right w:w="12" w:type="dxa"/>
                  </w:tcMar>
                  <w:vAlign w:val="center"/>
                </w:tcPr>
                <w:p w14:paraId="337D37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Thermo热电酶标仪Mutiskan sky全波长读数仪</w:t>
                  </w:r>
                </w:p>
              </w:tc>
              <w:tc>
                <w:tcPr>
                  <w:tcW w:w="427" w:type="pct"/>
                  <w:tcBorders>
                    <w:tl2br w:val="nil"/>
                    <w:tr2bl w:val="nil"/>
                  </w:tcBorders>
                  <w:shd w:val="clear" w:color="auto" w:fill="auto"/>
                  <w:noWrap/>
                  <w:tcMar>
                    <w:top w:w="12" w:type="dxa"/>
                    <w:left w:w="12" w:type="dxa"/>
                    <w:right w:w="12" w:type="dxa"/>
                  </w:tcMar>
                  <w:vAlign w:val="center"/>
                </w:tcPr>
                <w:p w14:paraId="7568AD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F15B7C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568356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金属浴恒温仪</w:t>
                  </w:r>
                </w:p>
              </w:tc>
              <w:tc>
                <w:tcPr>
                  <w:tcW w:w="2001" w:type="pct"/>
                  <w:tcBorders>
                    <w:tl2br w:val="nil"/>
                    <w:tr2bl w:val="nil"/>
                  </w:tcBorders>
                  <w:shd w:val="clear" w:color="auto" w:fill="auto"/>
                  <w:noWrap/>
                  <w:tcMar>
                    <w:top w:w="12" w:type="dxa"/>
                    <w:left w:w="12" w:type="dxa"/>
                    <w:right w:w="12" w:type="dxa"/>
                  </w:tcMar>
                  <w:vAlign w:val="center"/>
                </w:tcPr>
                <w:p w14:paraId="1C7207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上海沪析实业有限公司</w:t>
                  </w:r>
                </w:p>
              </w:tc>
              <w:tc>
                <w:tcPr>
                  <w:tcW w:w="946" w:type="pct"/>
                  <w:tcBorders>
                    <w:tl2br w:val="nil"/>
                    <w:tr2bl w:val="nil"/>
                  </w:tcBorders>
                  <w:shd w:val="clear" w:color="auto" w:fill="auto"/>
                  <w:noWrap/>
                  <w:tcMar>
                    <w:top w:w="12" w:type="dxa"/>
                    <w:left w:w="12" w:type="dxa"/>
                    <w:right w:w="12" w:type="dxa"/>
                  </w:tcMar>
                  <w:vAlign w:val="center"/>
                </w:tcPr>
                <w:p w14:paraId="5D94D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HX-20G2</w:t>
                  </w:r>
                </w:p>
              </w:tc>
              <w:tc>
                <w:tcPr>
                  <w:tcW w:w="427" w:type="pct"/>
                  <w:tcBorders>
                    <w:tl2br w:val="nil"/>
                    <w:tr2bl w:val="nil"/>
                  </w:tcBorders>
                  <w:shd w:val="clear" w:color="auto" w:fill="auto"/>
                  <w:noWrap/>
                  <w:tcMar>
                    <w:top w:w="12" w:type="dxa"/>
                    <w:left w:w="12" w:type="dxa"/>
                    <w:right w:w="12" w:type="dxa"/>
                  </w:tcMar>
                  <w:vAlign w:val="center"/>
                </w:tcPr>
                <w:p w14:paraId="427A99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234C274">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178DB1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金属浴恒温仪</w:t>
                  </w:r>
                </w:p>
              </w:tc>
              <w:tc>
                <w:tcPr>
                  <w:tcW w:w="2001" w:type="pct"/>
                  <w:tcBorders>
                    <w:tl2br w:val="nil"/>
                    <w:tr2bl w:val="nil"/>
                  </w:tcBorders>
                  <w:shd w:val="clear" w:color="auto" w:fill="auto"/>
                  <w:noWrap/>
                  <w:tcMar>
                    <w:top w:w="12" w:type="dxa"/>
                    <w:left w:w="12" w:type="dxa"/>
                    <w:right w:w="12" w:type="dxa"/>
                  </w:tcMar>
                  <w:vAlign w:val="center"/>
                </w:tcPr>
                <w:p w14:paraId="3ED17B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上海沪析实业有限公司</w:t>
                  </w:r>
                </w:p>
              </w:tc>
              <w:tc>
                <w:tcPr>
                  <w:tcW w:w="946" w:type="pct"/>
                  <w:tcBorders>
                    <w:tl2br w:val="nil"/>
                    <w:tr2bl w:val="nil"/>
                  </w:tcBorders>
                  <w:shd w:val="clear" w:color="auto" w:fill="auto"/>
                  <w:noWrap/>
                  <w:tcMar>
                    <w:top w:w="12" w:type="dxa"/>
                    <w:left w:w="12" w:type="dxa"/>
                    <w:right w:w="12" w:type="dxa"/>
                  </w:tcMar>
                  <w:vAlign w:val="center"/>
                </w:tcPr>
                <w:p w14:paraId="42199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需要选配模块：LC-C、LC-J</w:t>
                  </w:r>
                </w:p>
              </w:tc>
              <w:tc>
                <w:tcPr>
                  <w:tcW w:w="427" w:type="pct"/>
                  <w:tcBorders>
                    <w:tl2br w:val="nil"/>
                    <w:tr2bl w:val="nil"/>
                  </w:tcBorders>
                  <w:shd w:val="clear" w:color="auto" w:fill="auto"/>
                  <w:noWrap/>
                  <w:tcMar>
                    <w:top w:w="12" w:type="dxa"/>
                    <w:left w:w="12" w:type="dxa"/>
                    <w:right w:w="12" w:type="dxa"/>
                  </w:tcMar>
                  <w:vAlign w:val="center"/>
                </w:tcPr>
                <w:p w14:paraId="60AAD6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5BA6BD2">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3B24A5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电泳基础电源</w:t>
                  </w:r>
                </w:p>
              </w:tc>
              <w:tc>
                <w:tcPr>
                  <w:tcW w:w="2001" w:type="pct"/>
                  <w:tcBorders>
                    <w:tl2br w:val="nil"/>
                    <w:tr2bl w:val="nil"/>
                  </w:tcBorders>
                  <w:shd w:val="clear" w:color="auto" w:fill="auto"/>
                  <w:noWrap/>
                  <w:tcMar>
                    <w:top w:w="12" w:type="dxa"/>
                    <w:left w:w="12" w:type="dxa"/>
                    <w:right w:w="12" w:type="dxa"/>
                  </w:tcMar>
                  <w:vAlign w:val="center"/>
                </w:tcPr>
                <w:p w14:paraId="2C78B5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美国伯乐Bio-rad</w:t>
                  </w:r>
                </w:p>
              </w:tc>
              <w:tc>
                <w:tcPr>
                  <w:tcW w:w="946" w:type="pct"/>
                  <w:tcBorders>
                    <w:tl2br w:val="nil"/>
                    <w:tr2bl w:val="nil"/>
                  </w:tcBorders>
                  <w:shd w:val="clear" w:color="auto" w:fill="auto"/>
                  <w:noWrap/>
                  <w:tcMar>
                    <w:top w:w="12" w:type="dxa"/>
                    <w:left w:w="12" w:type="dxa"/>
                    <w:right w:w="12" w:type="dxa"/>
                  </w:tcMar>
                  <w:vAlign w:val="center"/>
                </w:tcPr>
                <w:p w14:paraId="7B7FD7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1645050</w:t>
                  </w:r>
                </w:p>
              </w:tc>
              <w:tc>
                <w:tcPr>
                  <w:tcW w:w="427" w:type="pct"/>
                  <w:tcBorders>
                    <w:tl2br w:val="nil"/>
                    <w:tr2bl w:val="nil"/>
                  </w:tcBorders>
                  <w:shd w:val="clear" w:color="auto" w:fill="auto"/>
                  <w:noWrap/>
                  <w:tcMar>
                    <w:top w:w="12" w:type="dxa"/>
                    <w:left w:w="12" w:type="dxa"/>
                    <w:right w:w="12" w:type="dxa"/>
                  </w:tcMar>
                  <w:vAlign w:val="center"/>
                </w:tcPr>
                <w:p w14:paraId="2F6310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6C0D3EF">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7D7734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另配灌胶架</w:t>
                  </w:r>
                </w:p>
              </w:tc>
              <w:tc>
                <w:tcPr>
                  <w:tcW w:w="2001" w:type="pct"/>
                  <w:tcBorders>
                    <w:tl2br w:val="nil"/>
                    <w:tr2bl w:val="nil"/>
                  </w:tcBorders>
                  <w:shd w:val="clear" w:color="auto" w:fill="auto"/>
                  <w:noWrap/>
                  <w:tcMar>
                    <w:top w:w="12" w:type="dxa"/>
                    <w:left w:w="12" w:type="dxa"/>
                    <w:right w:w="12" w:type="dxa"/>
                  </w:tcMar>
                  <w:vAlign w:val="center"/>
                </w:tcPr>
                <w:p w14:paraId="02DE0A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美国伯乐Bio-rad</w:t>
                  </w:r>
                </w:p>
              </w:tc>
              <w:tc>
                <w:tcPr>
                  <w:tcW w:w="946" w:type="pct"/>
                  <w:tcBorders>
                    <w:tl2br w:val="nil"/>
                    <w:tr2bl w:val="nil"/>
                  </w:tcBorders>
                  <w:shd w:val="clear" w:color="auto" w:fill="auto"/>
                  <w:noWrap/>
                  <w:tcMar>
                    <w:top w:w="12" w:type="dxa"/>
                    <w:left w:w="12" w:type="dxa"/>
                    <w:right w:w="12" w:type="dxa"/>
                  </w:tcMar>
                  <w:vAlign w:val="center"/>
                </w:tcPr>
                <w:p w14:paraId="033E26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1653303</w:t>
                  </w:r>
                </w:p>
              </w:tc>
              <w:tc>
                <w:tcPr>
                  <w:tcW w:w="427" w:type="pct"/>
                  <w:tcBorders>
                    <w:tl2br w:val="nil"/>
                    <w:tr2bl w:val="nil"/>
                  </w:tcBorders>
                  <w:shd w:val="clear" w:color="auto" w:fill="auto"/>
                  <w:noWrap/>
                  <w:tcMar>
                    <w:top w:w="12" w:type="dxa"/>
                    <w:left w:w="12" w:type="dxa"/>
                    <w:right w:w="12" w:type="dxa"/>
                  </w:tcMar>
                  <w:vAlign w:val="center"/>
                </w:tcPr>
                <w:p w14:paraId="563D15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FDB25B6">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1DAA3A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电泳芯灌胶架套件（含灌胶架+2*密封条+2*制胶架）</w:t>
                  </w:r>
                </w:p>
              </w:tc>
              <w:tc>
                <w:tcPr>
                  <w:tcW w:w="2001" w:type="pct"/>
                  <w:tcBorders>
                    <w:tl2br w:val="nil"/>
                    <w:tr2bl w:val="nil"/>
                  </w:tcBorders>
                  <w:shd w:val="clear" w:color="auto" w:fill="auto"/>
                  <w:noWrap/>
                  <w:tcMar>
                    <w:top w:w="12" w:type="dxa"/>
                    <w:left w:w="12" w:type="dxa"/>
                    <w:right w:w="12" w:type="dxa"/>
                  </w:tcMar>
                  <w:vAlign w:val="center"/>
                </w:tcPr>
                <w:p w14:paraId="512934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美国伯乐Bio-rad</w:t>
                  </w:r>
                </w:p>
              </w:tc>
              <w:tc>
                <w:tcPr>
                  <w:tcW w:w="946" w:type="pct"/>
                  <w:tcBorders>
                    <w:tl2br w:val="nil"/>
                    <w:tr2bl w:val="nil"/>
                  </w:tcBorders>
                  <w:shd w:val="clear" w:color="auto" w:fill="auto"/>
                  <w:noWrap/>
                  <w:tcMar>
                    <w:top w:w="12" w:type="dxa"/>
                    <w:left w:w="12" w:type="dxa"/>
                    <w:right w:w="12" w:type="dxa"/>
                  </w:tcMar>
                  <w:vAlign w:val="center"/>
                </w:tcPr>
                <w:p w14:paraId="1FE65C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1658001</w:t>
                  </w:r>
                </w:p>
              </w:tc>
              <w:tc>
                <w:tcPr>
                  <w:tcW w:w="427" w:type="pct"/>
                  <w:tcBorders>
                    <w:tl2br w:val="nil"/>
                    <w:tr2bl w:val="nil"/>
                  </w:tcBorders>
                  <w:shd w:val="clear" w:color="auto" w:fill="auto"/>
                  <w:noWrap/>
                  <w:tcMar>
                    <w:top w:w="12" w:type="dxa"/>
                    <w:left w:w="12" w:type="dxa"/>
                    <w:right w:w="12" w:type="dxa"/>
                  </w:tcMar>
                  <w:vAlign w:val="center"/>
                </w:tcPr>
                <w:p w14:paraId="22A672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455AE83">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703AF1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转印槽</w:t>
                  </w:r>
                </w:p>
              </w:tc>
              <w:tc>
                <w:tcPr>
                  <w:tcW w:w="2001" w:type="pct"/>
                  <w:tcBorders>
                    <w:tl2br w:val="nil"/>
                    <w:tr2bl w:val="nil"/>
                  </w:tcBorders>
                  <w:shd w:val="clear" w:color="auto" w:fill="auto"/>
                  <w:noWrap/>
                  <w:tcMar>
                    <w:top w:w="12" w:type="dxa"/>
                    <w:left w:w="12" w:type="dxa"/>
                    <w:right w:w="12" w:type="dxa"/>
                  </w:tcMar>
                  <w:vAlign w:val="center"/>
                </w:tcPr>
                <w:p w14:paraId="1F5088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美国伯乐Bio-rad</w:t>
                  </w:r>
                </w:p>
              </w:tc>
              <w:tc>
                <w:tcPr>
                  <w:tcW w:w="946" w:type="pct"/>
                  <w:tcBorders>
                    <w:tl2br w:val="nil"/>
                    <w:tr2bl w:val="nil"/>
                  </w:tcBorders>
                  <w:shd w:val="clear" w:color="auto" w:fill="auto"/>
                  <w:noWrap/>
                  <w:tcMar>
                    <w:top w:w="12" w:type="dxa"/>
                    <w:left w:w="12" w:type="dxa"/>
                    <w:right w:w="12" w:type="dxa"/>
                  </w:tcMar>
                  <w:vAlign w:val="center"/>
                </w:tcPr>
                <w:p w14:paraId="47743A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1703930</w:t>
                  </w:r>
                </w:p>
              </w:tc>
              <w:tc>
                <w:tcPr>
                  <w:tcW w:w="427" w:type="pct"/>
                  <w:tcBorders>
                    <w:tl2br w:val="nil"/>
                    <w:tr2bl w:val="nil"/>
                  </w:tcBorders>
                  <w:shd w:val="clear" w:color="auto" w:fill="auto"/>
                  <w:noWrap/>
                  <w:tcMar>
                    <w:top w:w="12" w:type="dxa"/>
                    <w:left w:w="12" w:type="dxa"/>
                    <w:right w:w="12" w:type="dxa"/>
                  </w:tcMar>
                  <w:vAlign w:val="center"/>
                </w:tcPr>
                <w:p w14:paraId="2D3089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4A4D898">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2D394C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另加转印电极芯</w:t>
                  </w:r>
                </w:p>
              </w:tc>
              <w:tc>
                <w:tcPr>
                  <w:tcW w:w="2001" w:type="pct"/>
                  <w:tcBorders>
                    <w:tl2br w:val="nil"/>
                    <w:tr2bl w:val="nil"/>
                  </w:tcBorders>
                  <w:shd w:val="clear" w:color="auto" w:fill="auto"/>
                  <w:noWrap/>
                  <w:tcMar>
                    <w:top w:w="12" w:type="dxa"/>
                    <w:left w:w="12" w:type="dxa"/>
                    <w:right w:w="12" w:type="dxa"/>
                  </w:tcMar>
                  <w:vAlign w:val="center"/>
                </w:tcPr>
                <w:p w14:paraId="4A4E13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美国伯乐Bio-rad</w:t>
                  </w:r>
                </w:p>
              </w:tc>
              <w:tc>
                <w:tcPr>
                  <w:tcW w:w="946" w:type="pct"/>
                  <w:tcBorders>
                    <w:tl2br w:val="nil"/>
                    <w:tr2bl w:val="nil"/>
                  </w:tcBorders>
                  <w:shd w:val="clear" w:color="auto" w:fill="auto"/>
                  <w:noWrap/>
                  <w:tcMar>
                    <w:top w:w="12" w:type="dxa"/>
                    <w:left w:w="12" w:type="dxa"/>
                    <w:right w:w="12" w:type="dxa"/>
                  </w:tcMar>
                  <w:vAlign w:val="center"/>
                </w:tcPr>
                <w:p w14:paraId="3D8A8D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1703930</w:t>
                  </w:r>
                </w:p>
              </w:tc>
              <w:tc>
                <w:tcPr>
                  <w:tcW w:w="427" w:type="pct"/>
                  <w:tcBorders>
                    <w:tl2br w:val="nil"/>
                    <w:tr2bl w:val="nil"/>
                  </w:tcBorders>
                  <w:shd w:val="clear" w:color="auto" w:fill="auto"/>
                  <w:noWrap/>
                  <w:tcMar>
                    <w:top w:w="12" w:type="dxa"/>
                    <w:left w:w="12" w:type="dxa"/>
                    <w:right w:w="12" w:type="dxa"/>
                  </w:tcMar>
                  <w:vAlign w:val="center"/>
                </w:tcPr>
                <w:p w14:paraId="26F236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AA82934">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7CDDB7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配套开胶器</w:t>
                  </w:r>
                </w:p>
              </w:tc>
              <w:tc>
                <w:tcPr>
                  <w:tcW w:w="2001" w:type="pct"/>
                  <w:tcBorders>
                    <w:tl2br w:val="nil"/>
                    <w:tr2bl w:val="nil"/>
                  </w:tcBorders>
                  <w:shd w:val="clear" w:color="auto" w:fill="auto"/>
                  <w:noWrap/>
                  <w:tcMar>
                    <w:top w:w="12" w:type="dxa"/>
                    <w:left w:w="12" w:type="dxa"/>
                    <w:right w:w="12" w:type="dxa"/>
                  </w:tcMar>
                  <w:vAlign w:val="center"/>
                </w:tcPr>
                <w:p w14:paraId="5DFE9E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美国伯乐Bio-rad</w:t>
                  </w:r>
                </w:p>
              </w:tc>
              <w:tc>
                <w:tcPr>
                  <w:tcW w:w="946" w:type="pct"/>
                  <w:tcBorders>
                    <w:tl2br w:val="nil"/>
                    <w:tr2bl w:val="nil"/>
                  </w:tcBorders>
                  <w:shd w:val="clear" w:color="auto" w:fill="auto"/>
                  <w:noWrap/>
                  <w:tcMar>
                    <w:top w:w="12" w:type="dxa"/>
                    <w:left w:w="12" w:type="dxa"/>
                    <w:right w:w="12" w:type="dxa"/>
                  </w:tcMar>
                  <w:vAlign w:val="center"/>
                </w:tcPr>
                <w:p w14:paraId="4D670B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1653320</w:t>
                  </w:r>
                </w:p>
              </w:tc>
              <w:tc>
                <w:tcPr>
                  <w:tcW w:w="427" w:type="pct"/>
                  <w:tcBorders>
                    <w:tl2br w:val="nil"/>
                    <w:tr2bl w:val="nil"/>
                  </w:tcBorders>
                  <w:shd w:val="clear" w:color="auto" w:fill="auto"/>
                  <w:noWrap/>
                  <w:tcMar>
                    <w:top w:w="12" w:type="dxa"/>
                    <w:left w:w="12" w:type="dxa"/>
                    <w:right w:w="12" w:type="dxa"/>
                  </w:tcMar>
                  <w:vAlign w:val="center"/>
                </w:tcPr>
                <w:p w14:paraId="286B73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0D87B81">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06CFA4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封口器</w:t>
                  </w:r>
                </w:p>
              </w:tc>
              <w:tc>
                <w:tcPr>
                  <w:tcW w:w="2001" w:type="pct"/>
                  <w:tcBorders>
                    <w:tl2br w:val="nil"/>
                    <w:tr2bl w:val="nil"/>
                  </w:tcBorders>
                  <w:shd w:val="clear" w:color="auto" w:fill="auto"/>
                  <w:noWrap/>
                  <w:tcMar>
                    <w:top w:w="12" w:type="dxa"/>
                    <w:left w:w="12" w:type="dxa"/>
                    <w:right w:w="12" w:type="dxa"/>
                  </w:tcMar>
                  <w:vAlign w:val="center"/>
                </w:tcPr>
                <w:p w14:paraId="439E9C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海义光包装设备制造有限公司</w:t>
                  </w:r>
                </w:p>
              </w:tc>
              <w:tc>
                <w:tcPr>
                  <w:tcW w:w="946" w:type="pct"/>
                  <w:tcBorders>
                    <w:tl2br w:val="nil"/>
                    <w:tr2bl w:val="nil"/>
                  </w:tcBorders>
                  <w:shd w:val="clear" w:color="auto" w:fill="auto"/>
                  <w:noWrap/>
                  <w:tcMar>
                    <w:top w:w="12" w:type="dxa"/>
                    <w:left w:w="12" w:type="dxa"/>
                    <w:right w:w="12" w:type="dxa"/>
                  </w:tcMar>
                  <w:vAlign w:val="center"/>
                </w:tcPr>
                <w:p w14:paraId="1402DF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FR-200A</w:t>
                  </w:r>
                </w:p>
              </w:tc>
              <w:tc>
                <w:tcPr>
                  <w:tcW w:w="427" w:type="pct"/>
                  <w:tcBorders>
                    <w:tl2br w:val="nil"/>
                    <w:tr2bl w:val="nil"/>
                  </w:tcBorders>
                  <w:shd w:val="clear" w:color="auto" w:fill="auto"/>
                  <w:noWrap/>
                  <w:tcMar>
                    <w:top w:w="12" w:type="dxa"/>
                    <w:left w:w="12" w:type="dxa"/>
                    <w:right w:w="12" w:type="dxa"/>
                  </w:tcMar>
                  <w:vAlign w:val="center"/>
                </w:tcPr>
                <w:p w14:paraId="1BFD17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A55614E">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78A146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恒温</w:t>
                  </w:r>
                  <w:r>
                    <w:rPr>
                      <w:rFonts w:hint="eastAsia" w:cs="Times New Roman"/>
                      <w:color w:val="auto"/>
                      <w:kern w:val="0"/>
                      <w:sz w:val="18"/>
                      <w:szCs w:val="18"/>
                      <w:lang w:eastAsia="zh-CN" w:bidi="ar"/>
                    </w:rPr>
                    <w:t>振荡</w:t>
                  </w:r>
                  <w:r>
                    <w:rPr>
                      <w:rFonts w:hint="default" w:ascii="Times New Roman" w:hAnsi="Times New Roman" w:eastAsia="宋体" w:cs="Times New Roman"/>
                      <w:color w:val="auto"/>
                      <w:kern w:val="0"/>
                      <w:sz w:val="18"/>
                      <w:szCs w:val="18"/>
                      <w:lang w:bidi="ar"/>
                    </w:rPr>
                    <w:t>培养箱</w:t>
                  </w:r>
                </w:p>
              </w:tc>
              <w:tc>
                <w:tcPr>
                  <w:tcW w:w="2001" w:type="pct"/>
                  <w:tcBorders>
                    <w:tl2br w:val="nil"/>
                    <w:tr2bl w:val="nil"/>
                  </w:tcBorders>
                  <w:shd w:val="clear" w:color="auto" w:fill="auto"/>
                  <w:noWrap/>
                  <w:tcMar>
                    <w:top w:w="12" w:type="dxa"/>
                    <w:left w:w="12" w:type="dxa"/>
                    <w:right w:w="12" w:type="dxa"/>
                  </w:tcMar>
                  <w:vAlign w:val="center"/>
                </w:tcPr>
                <w:p w14:paraId="04A6EF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上海一恒</w:t>
                  </w:r>
                </w:p>
              </w:tc>
              <w:tc>
                <w:tcPr>
                  <w:tcW w:w="946" w:type="pct"/>
                  <w:tcBorders>
                    <w:tl2br w:val="nil"/>
                    <w:tr2bl w:val="nil"/>
                  </w:tcBorders>
                  <w:shd w:val="clear" w:color="auto" w:fill="auto"/>
                  <w:noWrap/>
                  <w:tcMar>
                    <w:top w:w="12" w:type="dxa"/>
                    <w:left w:w="12" w:type="dxa"/>
                    <w:right w:w="12" w:type="dxa"/>
                  </w:tcMar>
                  <w:vAlign w:val="center"/>
                </w:tcPr>
                <w:p w14:paraId="59F754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恒温振荡器THZ-98C（温控4～65℃）</w:t>
                  </w:r>
                </w:p>
              </w:tc>
              <w:tc>
                <w:tcPr>
                  <w:tcW w:w="427" w:type="pct"/>
                  <w:tcBorders>
                    <w:tl2br w:val="nil"/>
                    <w:tr2bl w:val="nil"/>
                  </w:tcBorders>
                  <w:shd w:val="clear" w:color="auto" w:fill="auto"/>
                  <w:noWrap/>
                  <w:tcMar>
                    <w:top w:w="12" w:type="dxa"/>
                    <w:left w:w="12" w:type="dxa"/>
                    <w:right w:w="12" w:type="dxa"/>
                  </w:tcMar>
                  <w:vAlign w:val="center"/>
                </w:tcPr>
                <w:p w14:paraId="7D0729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B011A78">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2FAF3A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凝胶成像系统</w:t>
                  </w:r>
                </w:p>
              </w:tc>
              <w:tc>
                <w:tcPr>
                  <w:tcW w:w="2001" w:type="pct"/>
                  <w:tcBorders>
                    <w:tl2br w:val="nil"/>
                    <w:tr2bl w:val="nil"/>
                  </w:tcBorders>
                  <w:shd w:val="clear" w:color="auto" w:fill="auto"/>
                  <w:noWrap/>
                  <w:tcMar>
                    <w:top w:w="12" w:type="dxa"/>
                    <w:left w:w="12" w:type="dxa"/>
                    <w:right w:w="12" w:type="dxa"/>
                  </w:tcMar>
                  <w:vAlign w:val="center"/>
                </w:tcPr>
                <w:p w14:paraId="31E5EB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上海天能科技技术服务中心</w:t>
                  </w:r>
                </w:p>
              </w:tc>
              <w:tc>
                <w:tcPr>
                  <w:tcW w:w="946" w:type="pct"/>
                  <w:tcBorders>
                    <w:tl2br w:val="nil"/>
                    <w:tr2bl w:val="nil"/>
                  </w:tcBorders>
                  <w:shd w:val="clear" w:color="auto" w:fill="auto"/>
                  <w:noWrap/>
                  <w:tcMar>
                    <w:top w:w="12" w:type="dxa"/>
                    <w:left w:w="12" w:type="dxa"/>
                    <w:right w:w="12" w:type="dxa"/>
                  </w:tcMar>
                  <w:vAlign w:val="center"/>
                </w:tcPr>
                <w:p w14:paraId="0FA5D0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ChemiDoc XRS</w:t>
                  </w:r>
                </w:p>
              </w:tc>
              <w:tc>
                <w:tcPr>
                  <w:tcW w:w="427" w:type="pct"/>
                  <w:tcBorders>
                    <w:tl2br w:val="nil"/>
                    <w:tr2bl w:val="nil"/>
                  </w:tcBorders>
                  <w:shd w:val="clear" w:color="auto" w:fill="auto"/>
                  <w:noWrap/>
                  <w:tcMar>
                    <w:top w:w="12" w:type="dxa"/>
                    <w:left w:w="12" w:type="dxa"/>
                    <w:right w:w="12" w:type="dxa"/>
                  </w:tcMar>
                  <w:vAlign w:val="center"/>
                </w:tcPr>
                <w:p w14:paraId="0BF52B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7D9C423">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48945F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小型手持组织均质分散乳化匀浆机+通用单立柱支架</w:t>
                  </w:r>
                </w:p>
              </w:tc>
              <w:tc>
                <w:tcPr>
                  <w:tcW w:w="2001" w:type="pct"/>
                  <w:tcBorders>
                    <w:tl2br w:val="nil"/>
                    <w:tr2bl w:val="nil"/>
                  </w:tcBorders>
                  <w:shd w:val="clear" w:color="auto" w:fill="auto"/>
                  <w:noWrap/>
                  <w:tcMar>
                    <w:top w:w="12" w:type="dxa"/>
                    <w:left w:w="12" w:type="dxa"/>
                    <w:right w:w="12" w:type="dxa"/>
                  </w:tcMar>
                  <w:vAlign w:val="center"/>
                </w:tcPr>
                <w:p w14:paraId="1FE504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上海沪析实业有限公司</w:t>
                  </w:r>
                </w:p>
              </w:tc>
              <w:tc>
                <w:tcPr>
                  <w:tcW w:w="946" w:type="pct"/>
                  <w:tcBorders>
                    <w:tl2br w:val="nil"/>
                    <w:tr2bl w:val="nil"/>
                  </w:tcBorders>
                  <w:shd w:val="clear" w:color="auto" w:fill="auto"/>
                  <w:noWrap/>
                  <w:tcMar>
                    <w:top w:w="12" w:type="dxa"/>
                    <w:left w:w="12" w:type="dxa"/>
                    <w:right w:w="12" w:type="dxa"/>
                  </w:tcMar>
                  <w:vAlign w:val="center"/>
                </w:tcPr>
                <w:p w14:paraId="492DC1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沪析HR-6/6B/10B实验室</w:t>
                  </w:r>
                </w:p>
              </w:tc>
              <w:tc>
                <w:tcPr>
                  <w:tcW w:w="427" w:type="pct"/>
                  <w:tcBorders>
                    <w:tl2br w:val="nil"/>
                    <w:tr2bl w:val="nil"/>
                  </w:tcBorders>
                  <w:shd w:val="clear" w:color="auto" w:fill="auto"/>
                  <w:noWrap/>
                  <w:tcMar>
                    <w:top w:w="12" w:type="dxa"/>
                    <w:left w:w="12" w:type="dxa"/>
                    <w:right w:w="12" w:type="dxa"/>
                  </w:tcMar>
                  <w:vAlign w:val="center"/>
                </w:tcPr>
                <w:p w14:paraId="05F2EB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769AA25">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682B89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混匀机</w:t>
                  </w:r>
                </w:p>
              </w:tc>
              <w:tc>
                <w:tcPr>
                  <w:tcW w:w="2001" w:type="pct"/>
                  <w:tcBorders>
                    <w:tl2br w:val="nil"/>
                    <w:tr2bl w:val="nil"/>
                  </w:tcBorders>
                  <w:shd w:val="clear" w:color="auto" w:fill="auto"/>
                  <w:noWrap/>
                  <w:tcMar>
                    <w:top w:w="12" w:type="dxa"/>
                    <w:left w:w="12" w:type="dxa"/>
                    <w:right w:w="12" w:type="dxa"/>
                  </w:tcMar>
                  <w:vAlign w:val="center"/>
                </w:tcPr>
                <w:p w14:paraId="1586C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上海仪电科学仪器股份有限公司（上海精密科学仪器有限公司雷磁仪器厂）</w:t>
                  </w:r>
                </w:p>
              </w:tc>
              <w:tc>
                <w:tcPr>
                  <w:tcW w:w="946" w:type="pct"/>
                  <w:tcBorders>
                    <w:tl2br w:val="nil"/>
                    <w:tr2bl w:val="nil"/>
                  </w:tcBorders>
                  <w:shd w:val="clear" w:color="auto" w:fill="auto"/>
                  <w:noWrap/>
                  <w:tcMar>
                    <w:top w:w="12" w:type="dxa"/>
                    <w:left w:w="12" w:type="dxa"/>
                    <w:right w:w="12" w:type="dxa"/>
                  </w:tcMar>
                  <w:vAlign w:val="center"/>
                </w:tcPr>
                <w:p w14:paraId="333911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上海雷磁漩涡混匀仪HY-2</w:t>
                  </w:r>
                  <w:r>
                    <w:rPr>
                      <w:rFonts w:hint="eastAsia" w:cs="Times New Roman"/>
                      <w:color w:val="auto"/>
                      <w:kern w:val="0"/>
                      <w:sz w:val="18"/>
                      <w:szCs w:val="18"/>
                      <w:lang w:eastAsia="zh-CN" w:bidi="ar"/>
                    </w:rPr>
                    <w:t>漩涡振荡器</w:t>
                  </w:r>
                </w:p>
              </w:tc>
              <w:tc>
                <w:tcPr>
                  <w:tcW w:w="427" w:type="pct"/>
                  <w:tcBorders>
                    <w:tl2br w:val="nil"/>
                    <w:tr2bl w:val="nil"/>
                  </w:tcBorders>
                  <w:shd w:val="clear" w:color="auto" w:fill="auto"/>
                  <w:noWrap/>
                  <w:tcMar>
                    <w:top w:w="12" w:type="dxa"/>
                    <w:left w:w="12" w:type="dxa"/>
                    <w:right w:w="12" w:type="dxa"/>
                  </w:tcMar>
                  <w:vAlign w:val="center"/>
                </w:tcPr>
                <w:p w14:paraId="7C7CA6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D91C63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5D2FE9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混匀机配件</w:t>
                  </w:r>
                </w:p>
              </w:tc>
              <w:tc>
                <w:tcPr>
                  <w:tcW w:w="2001" w:type="pct"/>
                  <w:tcBorders>
                    <w:tl2br w:val="nil"/>
                    <w:tr2bl w:val="nil"/>
                  </w:tcBorders>
                  <w:shd w:val="clear" w:color="auto" w:fill="auto"/>
                  <w:noWrap/>
                  <w:tcMar>
                    <w:top w:w="12" w:type="dxa"/>
                    <w:left w:w="12" w:type="dxa"/>
                    <w:right w:w="12" w:type="dxa"/>
                  </w:tcMar>
                  <w:vAlign w:val="center"/>
                </w:tcPr>
                <w:p w14:paraId="1B2CA2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上海仪电科学仪器股份有限公司（上海精密科学仪器有限公司雷磁仪器厂）</w:t>
                  </w:r>
                </w:p>
              </w:tc>
              <w:tc>
                <w:tcPr>
                  <w:tcW w:w="946" w:type="pct"/>
                  <w:tcBorders>
                    <w:tl2br w:val="nil"/>
                    <w:tr2bl w:val="nil"/>
                  </w:tcBorders>
                  <w:shd w:val="clear" w:color="auto" w:fill="auto"/>
                  <w:noWrap/>
                  <w:tcMar>
                    <w:top w:w="12" w:type="dxa"/>
                    <w:left w:w="12" w:type="dxa"/>
                    <w:right w:w="12" w:type="dxa"/>
                  </w:tcMar>
                  <w:vAlign w:val="center"/>
                </w:tcPr>
                <w:p w14:paraId="01C3F5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平板垫片+12孔/12mm</w:t>
                  </w:r>
                </w:p>
              </w:tc>
              <w:tc>
                <w:tcPr>
                  <w:tcW w:w="427" w:type="pct"/>
                  <w:tcBorders>
                    <w:tl2br w:val="nil"/>
                    <w:tr2bl w:val="nil"/>
                  </w:tcBorders>
                  <w:shd w:val="clear" w:color="auto" w:fill="auto"/>
                  <w:noWrap/>
                  <w:tcMar>
                    <w:top w:w="12" w:type="dxa"/>
                    <w:left w:w="12" w:type="dxa"/>
                    <w:right w:w="12" w:type="dxa"/>
                  </w:tcMar>
                  <w:vAlign w:val="center"/>
                </w:tcPr>
                <w:p w14:paraId="3AEC1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990532C">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32FBB0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kern w:val="0"/>
                      <w:sz w:val="18"/>
                      <w:szCs w:val="18"/>
                      <w:lang w:bidi="ar"/>
                    </w:rPr>
                    <w:t>生物安全柜</w:t>
                  </w:r>
                </w:p>
              </w:tc>
              <w:tc>
                <w:tcPr>
                  <w:tcW w:w="2001" w:type="pct"/>
                  <w:tcBorders>
                    <w:tl2br w:val="nil"/>
                    <w:tr2bl w:val="nil"/>
                  </w:tcBorders>
                  <w:shd w:val="clear" w:color="auto" w:fill="auto"/>
                  <w:noWrap/>
                  <w:tcMar>
                    <w:top w:w="12" w:type="dxa"/>
                    <w:left w:w="12" w:type="dxa"/>
                    <w:right w:w="12" w:type="dxa"/>
                  </w:tcMar>
                  <w:vAlign w:val="center"/>
                </w:tcPr>
                <w:p w14:paraId="325277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苏珀</w:t>
                  </w:r>
                </w:p>
              </w:tc>
              <w:tc>
                <w:tcPr>
                  <w:tcW w:w="946" w:type="pct"/>
                  <w:tcBorders>
                    <w:tl2br w:val="nil"/>
                    <w:tr2bl w:val="nil"/>
                  </w:tcBorders>
                  <w:shd w:val="clear" w:color="auto" w:fill="auto"/>
                  <w:noWrap/>
                  <w:tcMar>
                    <w:top w:w="12" w:type="dxa"/>
                    <w:left w:w="12" w:type="dxa"/>
                    <w:right w:w="12" w:type="dxa"/>
                  </w:tcMar>
                  <w:vAlign w:val="center"/>
                </w:tcPr>
                <w:p w14:paraId="18E749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BSC-800ⅡA2</w:t>
                  </w:r>
                </w:p>
              </w:tc>
              <w:tc>
                <w:tcPr>
                  <w:tcW w:w="427" w:type="pct"/>
                  <w:tcBorders>
                    <w:tl2br w:val="nil"/>
                    <w:tr2bl w:val="nil"/>
                  </w:tcBorders>
                  <w:shd w:val="clear" w:color="auto" w:fill="auto"/>
                  <w:noWrap/>
                  <w:tcMar>
                    <w:top w:w="12" w:type="dxa"/>
                    <w:left w:w="12" w:type="dxa"/>
                    <w:right w:w="12" w:type="dxa"/>
                  </w:tcMar>
                  <w:vAlign w:val="center"/>
                </w:tcPr>
                <w:p w14:paraId="70585A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sz w:val="18"/>
                      <w:szCs w:val="18"/>
                      <w:lang w:eastAsia="zh-CN"/>
                    </w:rPr>
                  </w:pPr>
                  <w:r>
                    <w:rPr>
                      <w:rFonts w:hint="eastAsia" w:cs="Times New Roman"/>
                      <w:color w:val="auto"/>
                      <w:kern w:val="0"/>
                      <w:sz w:val="18"/>
                      <w:szCs w:val="18"/>
                      <w:lang w:val="en-US" w:eastAsia="zh-CN" w:bidi="ar"/>
                    </w:rPr>
                    <w:t>2</w:t>
                  </w:r>
                </w:p>
              </w:tc>
            </w:tr>
            <w:tr w14:paraId="7756420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2EF4CA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超微量核酸分析仪</w:t>
                  </w:r>
                </w:p>
              </w:tc>
              <w:tc>
                <w:tcPr>
                  <w:tcW w:w="2001" w:type="pct"/>
                  <w:tcBorders>
                    <w:tl2br w:val="nil"/>
                    <w:tr2bl w:val="nil"/>
                  </w:tcBorders>
                  <w:shd w:val="clear" w:color="auto" w:fill="auto"/>
                  <w:noWrap/>
                  <w:tcMar>
                    <w:top w:w="12" w:type="dxa"/>
                    <w:left w:w="12" w:type="dxa"/>
                    <w:right w:w="12" w:type="dxa"/>
                  </w:tcMar>
                  <w:vAlign w:val="center"/>
                </w:tcPr>
                <w:p w14:paraId="6F8566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美国赛默飞Thermo</w:t>
                  </w:r>
                </w:p>
              </w:tc>
              <w:tc>
                <w:tcPr>
                  <w:tcW w:w="946" w:type="pct"/>
                  <w:tcBorders>
                    <w:tl2br w:val="nil"/>
                    <w:tr2bl w:val="nil"/>
                  </w:tcBorders>
                  <w:shd w:val="clear" w:color="auto" w:fill="auto"/>
                  <w:noWrap/>
                  <w:tcMar>
                    <w:top w:w="12" w:type="dxa"/>
                    <w:left w:w="12" w:type="dxa"/>
                    <w:right w:w="12" w:type="dxa"/>
                  </w:tcMar>
                  <w:vAlign w:val="center"/>
                </w:tcPr>
                <w:p w14:paraId="58DD34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nanodrop one</w:t>
                  </w:r>
                </w:p>
              </w:tc>
              <w:tc>
                <w:tcPr>
                  <w:tcW w:w="427" w:type="pct"/>
                  <w:tcBorders>
                    <w:tl2br w:val="nil"/>
                    <w:tr2bl w:val="nil"/>
                  </w:tcBorders>
                  <w:shd w:val="clear" w:color="auto" w:fill="auto"/>
                  <w:noWrap/>
                  <w:tcMar>
                    <w:top w:w="12" w:type="dxa"/>
                    <w:left w:w="12" w:type="dxa"/>
                    <w:right w:w="12" w:type="dxa"/>
                  </w:tcMar>
                  <w:vAlign w:val="center"/>
                </w:tcPr>
                <w:p w14:paraId="1D8870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6DA61F5">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7780CE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掌式离心机</w:t>
                  </w:r>
                </w:p>
              </w:tc>
              <w:tc>
                <w:tcPr>
                  <w:tcW w:w="2001" w:type="pct"/>
                  <w:tcBorders>
                    <w:tl2br w:val="nil"/>
                    <w:tr2bl w:val="nil"/>
                  </w:tcBorders>
                  <w:shd w:val="clear" w:color="auto" w:fill="auto"/>
                  <w:noWrap/>
                  <w:tcMar>
                    <w:top w:w="12" w:type="dxa"/>
                    <w:left w:w="12" w:type="dxa"/>
                    <w:right w:w="12" w:type="dxa"/>
                  </w:tcMar>
                  <w:vAlign w:val="center"/>
                </w:tcPr>
                <w:p w14:paraId="476A67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1B1399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LC-Mini-12k</w:t>
                  </w:r>
                </w:p>
              </w:tc>
              <w:tc>
                <w:tcPr>
                  <w:tcW w:w="427" w:type="pct"/>
                  <w:tcBorders>
                    <w:tl2br w:val="nil"/>
                    <w:tr2bl w:val="nil"/>
                  </w:tcBorders>
                  <w:shd w:val="clear" w:color="auto" w:fill="auto"/>
                  <w:noWrap/>
                  <w:tcMar>
                    <w:top w:w="12" w:type="dxa"/>
                    <w:left w:w="12" w:type="dxa"/>
                    <w:right w:w="12" w:type="dxa"/>
                  </w:tcMar>
                  <w:vAlign w:val="center"/>
                </w:tcPr>
                <w:p w14:paraId="20304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BB1BAEF">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722100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PCR仪</w:t>
                  </w:r>
                </w:p>
              </w:tc>
              <w:tc>
                <w:tcPr>
                  <w:tcW w:w="2001" w:type="pct"/>
                  <w:tcBorders>
                    <w:tl2br w:val="nil"/>
                    <w:tr2bl w:val="nil"/>
                  </w:tcBorders>
                  <w:shd w:val="clear" w:color="auto" w:fill="auto"/>
                  <w:noWrap/>
                  <w:tcMar>
                    <w:top w:w="12" w:type="dxa"/>
                    <w:left w:w="12" w:type="dxa"/>
                    <w:right w:w="12" w:type="dxa"/>
                  </w:tcMar>
                  <w:vAlign w:val="center"/>
                </w:tcPr>
                <w:p w14:paraId="4A2DEA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北京大龙</w:t>
                  </w:r>
                </w:p>
              </w:tc>
              <w:tc>
                <w:tcPr>
                  <w:tcW w:w="946" w:type="pct"/>
                  <w:tcBorders>
                    <w:tl2br w:val="nil"/>
                    <w:tr2bl w:val="nil"/>
                  </w:tcBorders>
                  <w:shd w:val="clear" w:color="auto" w:fill="auto"/>
                  <w:noWrap/>
                  <w:tcMar>
                    <w:top w:w="12" w:type="dxa"/>
                    <w:left w:w="12" w:type="dxa"/>
                    <w:right w:w="12" w:type="dxa"/>
                  </w:tcMar>
                  <w:vAlign w:val="center"/>
                </w:tcPr>
                <w:p w14:paraId="74CC4F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TC1000-G梯度扩增仪</w:t>
                  </w:r>
                </w:p>
              </w:tc>
              <w:tc>
                <w:tcPr>
                  <w:tcW w:w="427" w:type="pct"/>
                  <w:tcBorders>
                    <w:tl2br w:val="nil"/>
                    <w:tr2bl w:val="nil"/>
                  </w:tcBorders>
                  <w:shd w:val="clear" w:color="auto" w:fill="auto"/>
                  <w:noWrap/>
                  <w:tcMar>
                    <w:top w:w="12" w:type="dxa"/>
                    <w:left w:w="12" w:type="dxa"/>
                    <w:right w:w="12" w:type="dxa"/>
                  </w:tcMar>
                  <w:vAlign w:val="center"/>
                </w:tcPr>
                <w:p w14:paraId="624BEC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A5323F1">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448457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甩板器</w:t>
                  </w:r>
                </w:p>
              </w:tc>
              <w:tc>
                <w:tcPr>
                  <w:tcW w:w="2001" w:type="pct"/>
                  <w:tcBorders>
                    <w:tl2br w:val="nil"/>
                    <w:tr2bl w:val="nil"/>
                  </w:tcBorders>
                  <w:shd w:val="clear" w:color="auto" w:fill="auto"/>
                  <w:noWrap/>
                  <w:tcMar>
                    <w:top w:w="12" w:type="dxa"/>
                    <w:left w:w="12" w:type="dxa"/>
                    <w:right w:w="12" w:type="dxa"/>
                  </w:tcMar>
                  <w:vAlign w:val="center"/>
                </w:tcPr>
                <w:p w14:paraId="15001E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上海沪析</w:t>
                  </w:r>
                </w:p>
              </w:tc>
              <w:tc>
                <w:tcPr>
                  <w:tcW w:w="946" w:type="pct"/>
                  <w:tcBorders>
                    <w:tl2br w:val="nil"/>
                    <w:tr2bl w:val="nil"/>
                  </w:tcBorders>
                  <w:shd w:val="clear" w:color="auto" w:fill="auto"/>
                  <w:noWrap/>
                  <w:tcMar>
                    <w:top w:w="12" w:type="dxa"/>
                    <w:left w:w="12" w:type="dxa"/>
                    <w:right w:w="12" w:type="dxa"/>
                  </w:tcMar>
                  <w:vAlign w:val="center"/>
                </w:tcPr>
                <w:p w14:paraId="268FBD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HL-25W</w:t>
                  </w:r>
                </w:p>
              </w:tc>
              <w:tc>
                <w:tcPr>
                  <w:tcW w:w="427" w:type="pct"/>
                  <w:tcBorders>
                    <w:tl2br w:val="nil"/>
                    <w:tr2bl w:val="nil"/>
                  </w:tcBorders>
                  <w:shd w:val="clear" w:color="auto" w:fill="auto"/>
                  <w:noWrap/>
                  <w:tcMar>
                    <w:top w:w="12" w:type="dxa"/>
                    <w:left w:w="12" w:type="dxa"/>
                    <w:right w:w="12" w:type="dxa"/>
                  </w:tcMar>
                  <w:vAlign w:val="center"/>
                </w:tcPr>
                <w:p w14:paraId="25CB0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65FC14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45BEA6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实时荧光定量PCR仪</w:t>
                  </w:r>
                </w:p>
              </w:tc>
              <w:tc>
                <w:tcPr>
                  <w:tcW w:w="2001" w:type="pct"/>
                  <w:tcBorders>
                    <w:tl2br w:val="nil"/>
                    <w:tr2bl w:val="nil"/>
                  </w:tcBorders>
                  <w:shd w:val="clear" w:color="auto" w:fill="auto"/>
                  <w:noWrap/>
                  <w:tcMar>
                    <w:top w:w="12" w:type="dxa"/>
                    <w:left w:w="12" w:type="dxa"/>
                    <w:right w:w="12" w:type="dxa"/>
                  </w:tcMar>
                  <w:vAlign w:val="center"/>
                </w:tcPr>
                <w:p w14:paraId="167F61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美国ROCH罗氏</w:t>
                  </w:r>
                </w:p>
              </w:tc>
              <w:tc>
                <w:tcPr>
                  <w:tcW w:w="946" w:type="pct"/>
                  <w:tcBorders>
                    <w:tl2br w:val="nil"/>
                    <w:tr2bl w:val="nil"/>
                  </w:tcBorders>
                  <w:shd w:val="clear" w:color="auto" w:fill="auto"/>
                  <w:noWrap/>
                  <w:tcMar>
                    <w:top w:w="12" w:type="dxa"/>
                    <w:left w:w="12" w:type="dxa"/>
                    <w:right w:w="12" w:type="dxa"/>
                  </w:tcMar>
                  <w:vAlign w:val="center"/>
                </w:tcPr>
                <w:p w14:paraId="2B2ED2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lightCycler 480Ⅱ</w:t>
                  </w:r>
                </w:p>
              </w:tc>
              <w:tc>
                <w:tcPr>
                  <w:tcW w:w="427" w:type="pct"/>
                  <w:tcBorders>
                    <w:tl2br w:val="nil"/>
                    <w:tr2bl w:val="nil"/>
                  </w:tcBorders>
                  <w:shd w:val="clear" w:color="auto" w:fill="auto"/>
                  <w:noWrap/>
                  <w:tcMar>
                    <w:top w:w="12" w:type="dxa"/>
                    <w:left w:w="12" w:type="dxa"/>
                    <w:right w:w="12" w:type="dxa"/>
                  </w:tcMar>
                  <w:vAlign w:val="center"/>
                </w:tcPr>
                <w:p w14:paraId="2FC7D8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B2836C2">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223AAA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倒置免疫荧光显微镜</w:t>
                  </w:r>
                </w:p>
              </w:tc>
              <w:tc>
                <w:tcPr>
                  <w:tcW w:w="2001" w:type="pct"/>
                  <w:tcBorders>
                    <w:tl2br w:val="nil"/>
                    <w:tr2bl w:val="nil"/>
                  </w:tcBorders>
                  <w:shd w:val="clear" w:color="auto" w:fill="auto"/>
                  <w:noWrap/>
                  <w:tcMar>
                    <w:top w:w="12" w:type="dxa"/>
                    <w:left w:w="12" w:type="dxa"/>
                    <w:right w:w="12" w:type="dxa"/>
                  </w:tcMar>
                  <w:vAlign w:val="center"/>
                </w:tcPr>
                <w:p w14:paraId="2A42A7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德国徕卡</w:t>
                  </w:r>
                </w:p>
              </w:tc>
              <w:tc>
                <w:tcPr>
                  <w:tcW w:w="946" w:type="pct"/>
                  <w:tcBorders>
                    <w:tl2br w:val="nil"/>
                    <w:tr2bl w:val="nil"/>
                  </w:tcBorders>
                  <w:shd w:val="clear" w:color="auto" w:fill="auto"/>
                  <w:noWrap/>
                  <w:tcMar>
                    <w:top w:w="12" w:type="dxa"/>
                    <w:left w:w="12" w:type="dxa"/>
                    <w:right w:w="12" w:type="dxa"/>
                  </w:tcMar>
                  <w:vAlign w:val="center"/>
                </w:tcPr>
                <w:p w14:paraId="60CFCA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DMi8</w:t>
                  </w:r>
                </w:p>
              </w:tc>
              <w:tc>
                <w:tcPr>
                  <w:tcW w:w="427" w:type="pct"/>
                  <w:tcBorders>
                    <w:tl2br w:val="nil"/>
                    <w:tr2bl w:val="nil"/>
                  </w:tcBorders>
                  <w:shd w:val="clear" w:color="auto" w:fill="auto"/>
                  <w:noWrap/>
                  <w:tcMar>
                    <w:top w:w="12" w:type="dxa"/>
                    <w:left w:w="12" w:type="dxa"/>
                    <w:right w:w="12" w:type="dxa"/>
                  </w:tcMar>
                  <w:vAlign w:val="center"/>
                </w:tcPr>
                <w:p w14:paraId="5B43F4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8916316">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477DB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激光共聚焦显微镜</w:t>
                  </w:r>
                </w:p>
              </w:tc>
              <w:tc>
                <w:tcPr>
                  <w:tcW w:w="2001" w:type="pct"/>
                  <w:tcBorders>
                    <w:tl2br w:val="nil"/>
                    <w:tr2bl w:val="nil"/>
                  </w:tcBorders>
                  <w:shd w:val="clear" w:color="auto" w:fill="auto"/>
                  <w:noWrap/>
                  <w:tcMar>
                    <w:top w:w="12" w:type="dxa"/>
                    <w:left w:w="12" w:type="dxa"/>
                    <w:right w:w="12" w:type="dxa"/>
                  </w:tcMar>
                  <w:vAlign w:val="center"/>
                </w:tcPr>
                <w:p w14:paraId="41208F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德国蔡司ZEISS</w:t>
                  </w:r>
                </w:p>
              </w:tc>
              <w:tc>
                <w:tcPr>
                  <w:tcW w:w="946" w:type="pct"/>
                  <w:tcBorders>
                    <w:tl2br w:val="nil"/>
                    <w:tr2bl w:val="nil"/>
                  </w:tcBorders>
                  <w:shd w:val="clear" w:color="auto" w:fill="auto"/>
                  <w:noWrap/>
                  <w:tcMar>
                    <w:top w:w="12" w:type="dxa"/>
                    <w:left w:w="12" w:type="dxa"/>
                    <w:right w:w="12" w:type="dxa"/>
                  </w:tcMar>
                  <w:vAlign w:val="center"/>
                </w:tcPr>
                <w:p w14:paraId="3D6E48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LSM800</w:t>
                  </w:r>
                </w:p>
              </w:tc>
              <w:tc>
                <w:tcPr>
                  <w:tcW w:w="427" w:type="pct"/>
                  <w:tcBorders>
                    <w:tl2br w:val="nil"/>
                    <w:tr2bl w:val="nil"/>
                  </w:tcBorders>
                  <w:shd w:val="clear" w:color="auto" w:fill="auto"/>
                  <w:noWrap/>
                  <w:tcMar>
                    <w:top w:w="12" w:type="dxa"/>
                    <w:left w:w="12" w:type="dxa"/>
                    <w:right w:w="12" w:type="dxa"/>
                  </w:tcMar>
                  <w:vAlign w:val="center"/>
                </w:tcPr>
                <w:p w14:paraId="2EB66D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E98844D">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0B512C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倒置生物显微镜</w:t>
                  </w:r>
                </w:p>
              </w:tc>
              <w:tc>
                <w:tcPr>
                  <w:tcW w:w="2001" w:type="pct"/>
                  <w:tcBorders>
                    <w:tl2br w:val="nil"/>
                    <w:tr2bl w:val="nil"/>
                  </w:tcBorders>
                  <w:shd w:val="clear" w:color="auto" w:fill="auto"/>
                  <w:noWrap/>
                  <w:tcMar>
                    <w:top w:w="12" w:type="dxa"/>
                    <w:left w:w="12" w:type="dxa"/>
                    <w:right w:w="12" w:type="dxa"/>
                  </w:tcMar>
                  <w:vAlign w:val="center"/>
                </w:tcPr>
                <w:p w14:paraId="3B8314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上海光学仪器一厂</w:t>
                  </w:r>
                </w:p>
              </w:tc>
              <w:tc>
                <w:tcPr>
                  <w:tcW w:w="946" w:type="pct"/>
                  <w:tcBorders>
                    <w:tl2br w:val="nil"/>
                    <w:tr2bl w:val="nil"/>
                  </w:tcBorders>
                  <w:shd w:val="clear" w:color="auto" w:fill="auto"/>
                  <w:noWrap/>
                  <w:tcMar>
                    <w:top w:w="12" w:type="dxa"/>
                    <w:left w:w="12" w:type="dxa"/>
                    <w:right w:w="12" w:type="dxa"/>
                  </w:tcMar>
                  <w:vAlign w:val="center"/>
                </w:tcPr>
                <w:p w14:paraId="4FC8D2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37XF-PC</w:t>
                  </w:r>
                </w:p>
              </w:tc>
              <w:tc>
                <w:tcPr>
                  <w:tcW w:w="427" w:type="pct"/>
                  <w:tcBorders>
                    <w:tl2br w:val="nil"/>
                    <w:tr2bl w:val="nil"/>
                  </w:tcBorders>
                  <w:shd w:val="clear" w:color="auto" w:fill="auto"/>
                  <w:noWrap/>
                  <w:tcMar>
                    <w:top w:w="12" w:type="dxa"/>
                    <w:left w:w="12" w:type="dxa"/>
                    <w:right w:w="12" w:type="dxa"/>
                  </w:tcMar>
                  <w:vAlign w:val="center"/>
                </w:tcPr>
                <w:p w14:paraId="0A80F9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D1523A8">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033DAB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水平电泳仪电源</w:t>
                  </w:r>
                </w:p>
              </w:tc>
              <w:tc>
                <w:tcPr>
                  <w:tcW w:w="2001" w:type="pct"/>
                  <w:tcBorders>
                    <w:tl2br w:val="nil"/>
                    <w:tr2bl w:val="nil"/>
                  </w:tcBorders>
                  <w:shd w:val="clear" w:color="auto" w:fill="auto"/>
                  <w:noWrap/>
                  <w:tcMar>
                    <w:top w:w="12" w:type="dxa"/>
                    <w:left w:w="12" w:type="dxa"/>
                    <w:right w:w="12" w:type="dxa"/>
                  </w:tcMar>
                  <w:vAlign w:val="center"/>
                </w:tcPr>
                <w:p w14:paraId="2411E8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北京六一</w:t>
                  </w:r>
                </w:p>
              </w:tc>
              <w:tc>
                <w:tcPr>
                  <w:tcW w:w="946" w:type="pct"/>
                  <w:tcBorders>
                    <w:tl2br w:val="nil"/>
                    <w:tr2bl w:val="nil"/>
                  </w:tcBorders>
                  <w:shd w:val="clear" w:color="auto" w:fill="auto"/>
                  <w:noWrap/>
                  <w:tcMar>
                    <w:top w:w="12" w:type="dxa"/>
                    <w:left w:w="12" w:type="dxa"/>
                    <w:right w:w="12" w:type="dxa"/>
                  </w:tcMar>
                  <w:vAlign w:val="center"/>
                </w:tcPr>
                <w:p w14:paraId="251065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DYY-6D</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6</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600V(1V)     4</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600mA(1mA)</w:t>
                  </w:r>
                </w:p>
              </w:tc>
              <w:tc>
                <w:tcPr>
                  <w:tcW w:w="427" w:type="pct"/>
                  <w:tcBorders>
                    <w:tl2br w:val="nil"/>
                    <w:tr2bl w:val="nil"/>
                  </w:tcBorders>
                  <w:shd w:val="clear" w:color="auto" w:fill="auto"/>
                  <w:noWrap/>
                  <w:tcMar>
                    <w:top w:w="12" w:type="dxa"/>
                    <w:left w:w="12" w:type="dxa"/>
                    <w:right w:w="12" w:type="dxa"/>
                  </w:tcMar>
                  <w:vAlign w:val="center"/>
                </w:tcPr>
                <w:p w14:paraId="354AC1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39E074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473E9B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琼脂糖水平电泳槽</w:t>
                  </w:r>
                </w:p>
              </w:tc>
              <w:tc>
                <w:tcPr>
                  <w:tcW w:w="2001" w:type="pct"/>
                  <w:tcBorders>
                    <w:tl2br w:val="nil"/>
                    <w:tr2bl w:val="nil"/>
                  </w:tcBorders>
                  <w:shd w:val="clear" w:color="auto" w:fill="auto"/>
                  <w:noWrap/>
                  <w:tcMar>
                    <w:top w:w="12" w:type="dxa"/>
                    <w:left w:w="12" w:type="dxa"/>
                    <w:right w:w="12" w:type="dxa"/>
                  </w:tcMar>
                  <w:vAlign w:val="center"/>
                </w:tcPr>
                <w:p w14:paraId="7C7339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北京六一</w:t>
                  </w:r>
                </w:p>
              </w:tc>
              <w:tc>
                <w:tcPr>
                  <w:tcW w:w="946" w:type="pct"/>
                  <w:tcBorders>
                    <w:tl2br w:val="nil"/>
                    <w:tr2bl w:val="nil"/>
                  </w:tcBorders>
                  <w:shd w:val="clear" w:color="auto" w:fill="auto"/>
                  <w:noWrap/>
                  <w:tcMar>
                    <w:top w:w="12" w:type="dxa"/>
                    <w:left w:w="12" w:type="dxa"/>
                    <w:right w:w="12" w:type="dxa"/>
                  </w:tcMar>
                  <w:vAlign w:val="center"/>
                </w:tcPr>
                <w:p w14:paraId="457AFC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DYCP-31DN</w:t>
                  </w:r>
                </w:p>
              </w:tc>
              <w:tc>
                <w:tcPr>
                  <w:tcW w:w="427" w:type="pct"/>
                  <w:tcBorders>
                    <w:tl2br w:val="nil"/>
                    <w:tr2bl w:val="nil"/>
                  </w:tcBorders>
                  <w:shd w:val="clear" w:color="auto" w:fill="auto"/>
                  <w:noWrap/>
                  <w:tcMar>
                    <w:top w:w="12" w:type="dxa"/>
                    <w:left w:w="12" w:type="dxa"/>
                    <w:right w:w="12" w:type="dxa"/>
                  </w:tcMar>
                  <w:vAlign w:val="center"/>
                </w:tcPr>
                <w:p w14:paraId="509F6D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130F656">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0576F6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紫外分析仪紫外透射切胶台</w:t>
                  </w:r>
                </w:p>
              </w:tc>
              <w:tc>
                <w:tcPr>
                  <w:tcW w:w="2001" w:type="pct"/>
                  <w:tcBorders>
                    <w:tl2br w:val="nil"/>
                    <w:tr2bl w:val="nil"/>
                  </w:tcBorders>
                  <w:shd w:val="clear" w:color="auto" w:fill="auto"/>
                  <w:noWrap/>
                  <w:tcMar>
                    <w:top w:w="12" w:type="dxa"/>
                    <w:left w:w="12" w:type="dxa"/>
                    <w:right w:w="12" w:type="dxa"/>
                  </w:tcMar>
                  <w:vAlign w:val="center"/>
                </w:tcPr>
                <w:p w14:paraId="1469B3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北京六一</w:t>
                  </w:r>
                </w:p>
              </w:tc>
              <w:tc>
                <w:tcPr>
                  <w:tcW w:w="946" w:type="pct"/>
                  <w:tcBorders>
                    <w:tl2br w:val="nil"/>
                    <w:tr2bl w:val="nil"/>
                  </w:tcBorders>
                  <w:shd w:val="clear" w:color="auto" w:fill="auto"/>
                  <w:noWrap/>
                  <w:tcMar>
                    <w:top w:w="12" w:type="dxa"/>
                    <w:left w:w="12" w:type="dxa"/>
                    <w:right w:w="12" w:type="dxa"/>
                  </w:tcMar>
                  <w:vAlign w:val="center"/>
                </w:tcPr>
                <w:p w14:paraId="1479A3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WD-9403B</w:t>
                  </w:r>
                </w:p>
              </w:tc>
              <w:tc>
                <w:tcPr>
                  <w:tcW w:w="427" w:type="pct"/>
                  <w:tcBorders>
                    <w:tl2br w:val="nil"/>
                    <w:tr2bl w:val="nil"/>
                  </w:tcBorders>
                  <w:shd w:val="clear" w:color="auto" w:fill="auto"/>
                  <w:noWrap/>
                  <w:tcMar>
                    <w:top w:w="12" w:type="dxa"/>
                    <w:left w:w="12" w:type="dxa"/>
                    <w:right w:w="12" w:type="dxa"/>
                  </w:tcMar>
                  <w:vAlign w:val="center"/>
                </w:tcPr>
                <w:p w14:paraId="453902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0AB69CB">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7BD067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常温高速离心机</w:t>
                  </w:r>
                </w:p>
              </w:tc>
              <w:tc>
                <w:tcPr>
                  <w:tcW w:w="2001" w:type="pct"/>
                  <w:tcBorders>
                    <w:tl2br w:val="nil"/>
                    <w:tr2bl w:val="nil"/>
                  </w:tcBorders>
                  <w:shd w:val="clear" w:color="auto" w:fill="auto"/>
                  <w:noWrap/>
                  <w:tcMar>
                    <w:top w:w="12" w:type="dxa"/>
                    <w:left w:w="12" w:type="dxa"/>
                    <w:right w:w="12" w:type="dxa"/>
                  </w:tcMar>
                  <w:vAlign w:val="center"/>
                </w:tcPr>
                <w:p w14:paraId="6188DA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湖南湘仪</w:t>
                  </w:r>
                </w:p>
              </w:tc>
              <w:tc>
                <w:tcPr>
                  <w:tcW w:w="946" w:type="pct"/>
                  <w:tcBorders>
                    <w:tl2br w:val="nil"/>
                    <w:tr2bl w:val="nil"/>
                  </w:tcBorders>
                  <w:shd w:val="clear" w:color="auto" w:fill="auto"/>
                  <w:noWrap/>
                  <w:tcMar>
                    <w:top w:w="12" w:type="dxa"/>
                    <w:left w:w="12" w:type="dxa"/>
                    <w:right w:w="12" w:type="dxa"/>
                  </w:tcMar>
                  <w:vAlign w:val="center"/>
                </w:tcPr>
                <w:p w14:paraId="53257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H1850</w:t>
                  </w:r>
                </w:p>
              </w:tc>
              <w:tc>
                <w:tcPr>
                  <w:tcW w:w="427" w:type="pct"/>
                  <w:tcBorders>
                    <w:tl2br w:val="nil"/>
                    <w:tr2bl w:val="nil"/>
                  </w:tcBorders>
                  <w:shd w:val="clear" w:color="auto" w:fill="auto"/>
                  <w:noWrap/>
                  <w:tcMar>
                    <w:top w:w="12" w:type="dxa"/>
                    <w:left w:w="12" w:type="dxa"/>
                    <w:right w:w="12" w:type="dxa"/>
                  </w:tcMar>
                  <w:vAlign w:val="center"/>
                </w:tcPr>
                <w:p w14:paraId="5D9AD2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F1649B0">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7EA870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四维旋转混合仪</w:t>
                  </w:r>
                </w:p>
              </w:tc>
              <w:tc>
                <w:tcPr>
                  <w:tcW w:w="2001" w:type="pct"/>
                  <w:tcBorders>
                    <w:tl2br w:val="nil"/>
                    <w:tr2bl w:val="nil"/>
                  </w:tcBorders>
                  <w:shd w:val="clear" w:color="auto" w:fill="auto"/>
                  <w:noWrap/>
                  <w:tcMar>
                    <w:top w:w="12" w:type="dxa"/>
                    <w:left w:w="12" w:type="dxa"/>
                    <w:right w:w="12" w:type="dxa"/>
                  </w:tcMar>
                  <w:vAlign w:val="center"/>
                </w:tcPr>
                <w:p w14:paraId="1A384C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海门其林贝尔</w:t>
                  </w:r>
                </w:p>
              </w:tc>
              <w:tc>
                <w:tcPr>
                  <w:tcW w:w="946" w:type="pct"/>
                  <w:tcBorders>
                    <w:tl2br w:val="nil"/>
                    <w:tr2bl w:val="nil"/>
                  </w:tcBorders>
                  <w:shd w:val="clear" w:color="auto" w:fill="auto"/>
                  <w:noWrap/>
                  <w:tcMar>
                    <w:top w:w="12" w:type="dxa"/>
                    <w:left w:w="12" w:type="dxa"/>
                    <w:right w:w="12" w:type="dxa"/>
                  </w:tcMar>
                  <w:vAlign w:val="center"/>
                </w:tcPr>
                <w:p w14:paraId="53CC38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BE-1100</w:t>
                  </w:r>
                </w:p>
              </w:tc>
              <w:tc>
                <w:tcPr>
                  <w:tcW w:w="427" w:type="pct"/>
                  <w:tcBorders>
                    <w:tl2br w:val="nil"/>
                    <w:tr2bl w:val="nil"/>
                  </w:tcBorders>
                  <w:shd w:val="clear" w:color="auto" w:fill="auto"/>
                  <w:noWrap/>
                  <w:tcMar>
                    <w:top w:w="12" w:type="dxa"/>
                    <w:left w:w="12" w:type="dxa"/>
                    <w:right w:w="12" w:type="dxa"/>
                  </w:tcMar>
                  <w:vAlign w:val="center"/>
                </w:tcPr>
                <w:p w14:paraId="5FEF0D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1A36A60">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375220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kern w:val="0"/>
                      <w:sz w:val="18"/>
                      <w:szCs w:val="18"/>
                      <w:lang w:bidi="ar"/>
                    </w:rPr>
                    <w:t>生物安全柜（细胞房用）</w:t>
                  </w:r>
                </w:p>
              </w:tc>
              <w:tc>
                <w:tcPr>
                  <w:tcW w:w="2001" w:type="pct"/>
                  <w:tcBorders>
                    <w:tl2br w:val="nil"/>
                    <w:tr2bl w:val="nil"/>
                  </w:tcBorders>
                  <w:shd w:val="clear" w:color="auto" w:fill="auto"/>
                  <w:noWrap/>
                  <w:tcMar>
                    <w:top w:w="12" w:type="dxa"/>
                    <w:left w:w="12" w:type="dxa"/>
                    <w:right w:w="12" w:type="dxa"/>
                  </w:tcMar>
                  <w:vAlign w:val="center"/>
                </w:tcPr>
                <w:p w14:paraId="46DDF4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苏珀</w:t>
                  </w:r>
                </w:p>
              </w:tc>
              <w:tc>
                <w:tcPr>
                  <w:tcW w:w="946" w:type="pct"/>
                  <w:tcBorders>
                    <w:tl2br w:val="nil"/>
                    <w:tr2bl w:val="nil"/>
                  </w:tcBorders>
                  <w:shd w:val="clear" w:color="auto" w:fill="auto"/>
                  <w:noWrap/>
                  <w:tcMar>
                    <w:top w:w="12" w:type="dxa"/>
                    <w:left w:w="12" w:type="dxa"/>
                    <w:right w:w="12" w:type="dxa"/>
                  </w:tcMar>
                  <w:vAlign w:val="center"/>
                </w:tcPr>
                <w:p w14:paraId="66D306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BHC-1300IIA2</w:t>
                  </w:r>
                </w:p>
              </w:tc>
              <w:tc>
                <w:tcPr>
                  <w:tcW w:w="427" w:type="pct"/>
                  <w:tcBorders>
                    <w:tl2br w:val="nil"/>
                    <w:tr2bl w:val="nil"/>
                  </w:tcBorders>
                  <w:shd w:val="clear" w:color="auto" w:fill="auto"/>
                  <w:noWrap/>
                  <w:tcMar>
                    <w:top w:w="12" w:type="dxa"/>
                    <w:left w:w="12" w:type="dxa"/>
                    <w:right w:w="12" w:type="dxa"/>
                  </w:tcMar>
                  <w:vAlign w:val="center"/>
                </w:tcPr>
                <w:p w14:paraId="5C995E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C1E7D5B">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5AABAB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发光检测仪</w:t>
                  </w:r>
                </w:p>
              </w:tc>
              <w:tc>
                <w:tcPr>
                  <w:tcW w:w="2001" w:type="pct"/>
                  <w:tcBorders>
                    <w:tl2br w:val="nil"/>
                    <w:tr2bl w:val="nil"/>
                  </w:tcBorders>
                  <w:shd w:val="clear" w:color="auto" w:fill="auto"/>
                  <w:noWrap/>
                  <w:tcMar>
                    <w:top w:w="12" w:type="dxa"/>
                    <w:left w:w="12" w:type="dxa"/>
                    <w:right w:w="12" w:type="dxa"/>
                  </w:tcMar>
                  <w:vAlign w:val="center"/>
                </w:tcPr>
                <w:p w14:paraId="14C0BD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eastAsia" w:cs="Times New Roman"/>
                      <w:color w:val="auto"/>
                      <w:kern w:val="0"/>
                      <w:sz w:val="18"/>
                      <w:szCs w:val="18"/>
                      <w:lang w:eastAsia="zh-CN" w:bidi="ar"/>
                    </w:rPr>
                    <w:t>忻州原平</w:t>
                  </w:r>
                  <w:r>
                    <w:rPr>
                      <w:rFonts w:hint="default" w:ascii="Times New Roman" w:hAnsi="Times New Roman" w:eastAsia="宋体" w:cs="Times New Roman"/>
                      <w:color w:val="auto"/>
                      <w:kern w:val="0"/>
                      <w:sz w:val="18"/>
                      <w:szCs w:val="18"/>
                      <w:lang w:bidi="ar"/>
                    </w:rPr>
                    <w:t>皓</w:t>
                  </w:r>
                </w:p>
              </w:tc>
              <w:tc>
                <w:tcPr>
                  <w:tcW w:w="946" w:type="pct"/>
                  <w:tcBorders>
                    <w:tl2br w:val="nil"/>
                    <w:tr2bl w:val="nil"/>
                  </w:tcBorders>
                  <w:shd w:val="clear" w:color="auto" w:fill="auto"/>
                  <w:noWrap/>
                  <w:tcMar>
                    <w:top w:w="12" w:type="dxa"/>
                    <w:left w:w="12" w:type="dxa"/>
                    <w:right w:w="12" w:type="dxa"/>
                  </w:tcMar>
                  <w:vAlign w:val="center"/>
                </w:tcPr>
                <w:p w14:paraId="18EDD1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LumiPro管型发光检测仪</w:t>
                  </w:r>
                </w:p>
              </w:tc>
              <w:tc>
                <w:tcPr>
                  <w:tcW w:w="427" w:type="pct"/>
                  <w:tcBorders>
                    <w:tl2br w:val="nil"/>
                    <w:tr2bl w:val="nil"/>
                  </w:tcBorders>
                  <w:shd w:val="clear" w:color="auto" w:fill="auto"/>
                  <w:noWrap/>
                  <w:tcMar>
                    <w:top w:w="12" w:type="dxa"/>
                    <w:left w:w="12" w:type="dxa"/>
                    <w:right w:w="12" w:type="dxa"/>
                  </w:tcMar>
                  <w:vAlign w:val="center"/>
                </w:tcPr>
                <w:p w14:paraId="0F1C04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02D8C5B">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583FBB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超声波细胞破碎仪</w:t>
                  </w:r>
                </w:p>
              </w:tc>
              <w:tc>
                <w:tcPr>
                  <w:tcW w:w="2001" w:type="pct"/>
                  <w:tcBorders>
                    <w:tl2br w:val="nil"/>
                    <w:tr2bl w:val="nil"/>
                  </w:tcBorders>
                  <w:shd w:val="clear" w:color="auto" w:fill="auto"/>
                  <w:noWrap/>
                  <w:tcMar>
                    <w:top w:w="12" w:type="dxa"/>
                    <w:left w:w="12" w:type="dxa"/>
                    <w:right w:w="12" w:type="dxa"/>
                  </w:tcMar>
                  <w:vAlign w:val="center"/>
                </w:tcPr>
                <w:p w14:paraId="5FEF7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美国SONICS</w:t>
                  </w:r>
                </w:p>
              </w:tc>
              <w:tc>
                <w:tcPr>
                  <w:tcW w:w="946" w:type="pct"/>
                  <w:tcBorders>
                    <w:tl2br w:val="nil"/>
                    <w:tr2bl w:val="nil"/>
                  </w:tcBorders>
                  <w:shd w:val="clear" w:color="auto" w:fill="auto"/>
                  <w:noWrap/>
                  <w:tcMar>
                    <w:top w:w="12" w:type="dxa"/>
                    <w:left w:w="12" w:type="dxa"/>
                    <w:right w:w="12" w:type="dxa"/>
                  </w:tcMar>
                  <w:vAlign w:val="center"/>
                </w:tcPr>
                <w:p w14:paraId="6D800C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VCX800</w:t>
                  </w:r>
                </w:p>
              </w:tc>
              <w:tc>
                <w:tcPr>
                  <w:tcW w:w="427" w:type="pct"/>
                  <w:tcBorders>
                    <w:tl2br w:val="nil"/>
                    <w:tr2bl w:val="nil"/>
                  </w:tcBorders>
                  <w:shd w:val="clear" w:color="auto" w:fill="auto"/>
                  <w:noWrap/>
                  <w:tcMar>
                    <w:top w:w="12" w:type="dxa"/>
                    <w:left w:w="12" w:type="dxa"/>
                    <w:right w:w="12" w:type="dxa"/>
                  </w:tcMar>
                  <w:vAlign w:val="center"/>
                </w:tcPr>
                <w:p w14:paraId="05078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C198BA1">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4E948A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动物房用电子秤</w:t>
                  </w:r>
                </w:p>
              </w:tc>
              <w:tc>
                <w:tcPr>
                  <w:tcW w:w="2001" w:type="pct"/>
                  <w:tcBorders>
                    <w:tl2br w:val="nil"/>
                    <w:tr2bl w:val="nil"/>
                  </w:tcBorders>
                  <w:shd w:val="clear" w:color="auto" w:fill="auto"/>
                  <w:noWrap/>
                  <w:tcMar>
                    <w:top w:w="12" w:type="dxa"/>
                    <w:left w:w="12" w:type="dxa"/>
                    <w:right w:w="12" w:type="dxa"/>
                  </w:tcMar>
                  <w:vAlign w:val="center"/>
                </w:tcPr>
                <w:p w14:paraId="61C49D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189C20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TD2002A</w:t>
                  </w:r>
                </w:p>
              </w:tc>
              <w:tc>
                <w:tcPr>
                  <w:tcW w:w="427" w:type="pct"/>
                  <w:tcBorders>
                    <w:tl2br w:val="nil"/>
                    <w:tr2bl w:val="nil"/>
                  </w:tcBorders>
                  <w:shd w:val="clear" w:color="auto" w:fill="auto"/>
                  <w:noWrap/>
                  <w:tcMar>
                    <w:top w:w="12" w:type="dxa"/>
                    <w:left w:w="12" w:type="dxa"/>
                    <w:right w:w="12" w:type="dxa"/>
                  </w:tcMar>
                  <w:vAlign w:val="center"/>
                </w:tcPr>
                <w:p w14:paraId="6CF9D3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4E86833">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442AA8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大鼠笼</w:t>
                  </w:r>
                </w:p>
              </w:tc>
              <w:tc>
                <w:tcPr>
                  <w:tcW w:w="2001" w:type="pct"/>
                  <w:tcBorders>
                    <w:tl2br w:val="nil"/>
                    <w:tr2bl w:val="nil"/>
                  </w:tcBorders>
                  <w:shd w:val="clear" w:color="auto" w:fill="auto"/>
                  <w:noWrap/>
                  <w:tcMar>
                    <w:top w:w="12" w:type="dxa"/>
                    <w:left w:w="12" w:type="dxa"/>
                    <w:right w:w="12" w:type="dxa"/>
                  </w:tcMar>
                  <w:vAlign w:val="center"/>
                </w:tcPr>
                <w:p w14:paraId="365341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泽雅科教</w:t>
                  </w:r>
                </w:p>
              </w:tc>
              <w:tc>
                <w:tcPr>
                  <w:tcW w:w="946" w:type="pct"/>
                  <w:tcBorders>
                    <w:tl2br w:val="nil"/>
                    <w:tr2bl w:val="nil"/>
                  </w:tcBorders>
                  <w:shd w:val="clear" w:color="auto" w:fill="auto"/>
                  <w:noWrap/>
                  <w:tcMar>
                    <w:top w:w="12" w:type="dxa"/>
                    <w:left w:w="12" w:type="dxa"/>
                    <w:right w:w="12" w:type="dxa"/>
                  </w:tcMar>
                  <w:vAlign w:val="center"/>
                </w:tcPr>
                <w:p w14:paraId="565BAD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CR1</w:t>
                  </w:r>
                </w:p>
              </w:tc>
              <w:tc>
                <w:tcPr>
                  <w:tcW w:w="427" w:type="pct"/>
                  <w:tcBorders>
                    <w:tl2br w:val="nil"/>
                    <w:tr2bl w:val="nil"/>
                  </w:tcBorders>
                  <w:shd w:val="clear" w:color="auto" w:fill="auto"/>
                  <w:noWrap/>
                  <w:tcMar>
                    <w:top w:w="12" w:type="dxa"/>
                    <w:left w:w="12" w:type="dxa"/>
                    <w:right w:w="12" w:type="dxa"/>
                  </w:tcMar>
                  <w:vAlign w:val="center"/>
                </w:tcPr>
                <w:p w14:paraId="226532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773486A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203DA4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鼠笼架</w:t>
                  </w:r>
                </w:p>
              </w:tc>
              <w:tc>
                <w:tcPr>
                  <w:tcW w:w="2001" w:type="pct"/>
                  <w:tcBorders>
                    <w:tl2br w:val="nil"/>
                    <w:tr2bl w:val="nil"/>
                  </w:tcBorders>
                  <w:shd w:val="clear" w:color="auto" w:fill="auto"/>
                  <w:noWrap/>
                  <w:tcMar>
                    <w:top w:w="12" w:type="dxa"/>
                    <w:left w:w="12" w:type="dxa"/>
                    <w:right w:w="12" w:type="dxa"/>
                  </w:tcMar>
                  <w:vAlign w:val="center"/>
                </w:tcPr>
                <w:p w14:paraId="5771EE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泽雅科教</w:t>
                  </w:r>
                </w:p>
              </w:tc>
              <w:tc>
                <w:tcPr>
                  <w:tcW w:w="946" w:type="pct"/>
                  <w:tcBorders>
                    <w:tl2br w:val="nil"/>
                    <w:tr2bl w:val="nil"/>
                  </w:tcBorders>
                  <w:shd w:val="clear" w:color="auto" w:fill="auto"/>
                  <w:noWrap/>
                  <w:tcMar>
                    <w:top w:w="12" w:type="dxa"/>
                    <w:left w:w="12" w:type="dxa"/>
                    <w:right w:w="12" w:type="dxa"/>
                  </w:tcMar>
                  <w:vAlign w:val="center"/>
                </w:tcPr>
                <w:p w14:paraId="0A9975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W1</w:t>
                  </w:r>
                </w:p>
              </w:tc>
              <w:tc>
                <w:tcPr>
                  <w:tcW w:w="427" w:type="pct"/>
                  <w:tcBorders>
                    <w:tl2br w:val="nil"/>
                    <w:tr2bl w:val="nil"/>
                  </w:tcBorders>
                  <w:shd w:val="clear" w:color="auto" w:fill="auto"/>
                  <w:noWrap/>
                  <w:tcMar>
                    <w:top w:w="12" w:type="dxa"/>
                    <w:left w:w="12" w:type="dxa"/>
                    <w:right w:w="12" w:type="dxa"/>
                  </w:tcMar>
                  <w:vAlign w:val="center"/>
                </w:tcPr>
                <w:p w14:paraId="2AF031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92988A2">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3987D9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灌胃针</w:t>
                  </w:r>
                </w:p>
              </w:tc>
              <w:tc>
                <w:tcPr>
                  <w:tcW w:w="2001" w:type="pct"/>
                  <w:tcBorders>
                    <w:tl2br w:val="nil"/>
                    <w:tr2bl w:val="nil"/>
                  </w:tcBorders>
                  <w:shd w:val="clear" w:color="auto" w:fill="auto"/>
                  <w:noWrap/>
                  <w:tcMar>
                    <w:top w:w="12" w:type="dxa"/>
                    <w:left w:w="12" w:type="dxa"/>
                    <w:right w:w="12" w:type="dxa"/>
                  </w:tcMar>
                  <w:vAlign w:val="center"/>
                </w:tcPr>
                <w:p w14:paraId="04F7D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泽雅科教</w:t>
                  </w:r>
                </w:p>
              </w:tc>
              <w:tc>
                <w:tcPr>
                  <w:tcW w:w="946" w:type="pct"/>
                  <w:tcBorders>
                    <w:tl2br w:val="nil"/>
                    <w:tr2bl w:val="nil"/>
                  </w:tcBorders>
                  <w:shd w:val="clear" w:color="auto" w:fill="auto"/>
                  <w:noWrap/>
                  <w:tcMar>
                    <w:top w:w="12" w:type="dxa"/>
                    <w:left w:w="12" w:type="dxa"/>
                    <w:right w:w="12" w:type="dxa"/>
                  </w:tcMar>
                  <w:vAlign w:val="center"/>
                </w:tcPr>
                <w:p w14:paraId="57B619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全套</w:t>
                  </w:r>
                </w:p>
              </w:tc>
              <w:tc>
                <w:tcPr>
                  <w:tcW w:w="427" w:type="pct"/>
                  <w:tcBorders>
                    <w:tl2br w:val="nil"/>
                    <w:tr2bl w:val="nil"/>
                  </w:tcBorders>
                  <w:shd w:val="clear" w:color="auto" w:fill="auto"/>
                  <w:noWrap/>
                  <w:tcMar>
                    <w:top w:w="12" w:type="dxa"/>
                    <w:left w:w="12" w:type="dxa"/>
                    <w:right w:w="12" w:type="dxa"/>
                  </w:tcMar>
                  <w:vAlign w:val="center"/>
                </w:tcPr>
                <w:p w14:paraId="33C581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F3B3E68">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4F12FB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小鼠、大鼠气体麻醉机</w:t>
                  </w:r>
                </w:p>
              </w:tc>
              <w:tc>
                <w:tcPr>
                  <w:tcW w:w="2001" w:type="pct"/>
                  <w:tcBorders>
                    <w:tl2br w:val="nil"/>
                    <w:tr2bl w:val="nil"/>
                  </w:tcBorders>
                  <w:shd w:val="clear" w:color="auto" w:fill="auto"/>
                  <w:noWrap/>
                  <w:tcMar>
                    <w:top w:w="12" w:type="dxa"/>
                    <w:left w:w="12" w:type="dxa"/>
                    <w:right w:w="12" w:type="dxa"/>
                  </w:tcMar>
                  <w:vAlign w:val="center"/>
                </w:tcPr>
                <w:p w14:paraId="5CAAD8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上海玉研科学仪器有限公司</w:t>
                  </w:r>
                </w:p>
              </w:tc>
              <w:tc>
                <w:tcPr>
                  <w:tcW w:w="946" w:type="pct"/>
                  <w:tcBorders>
                    <w:tl2br w:val="nil"/>
                    <w:tr2bl w:val="nil"/>
                  </w:tcBorders>
                  <w:shd w:val="clear" w:color="auto" w:fill="auto"/>
                  <w:noWrap/>
                  <w:tcMar>
                    <w:top w:w="12" w:type="dxa"/>
                    <w:left w:w="12" w:type="dxa"/>
                    <w:right w:w="12" w:type="dxa"/>
                  </w:tcMar>
                  <w:vAlign w:val="center"/>
                </w:tcPr>
                <w:p w14:paraId="40C846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ABS型（主机为原装进口）</w:t>
                  </w:r>
                </w:p>
              </w:tc>
              <w:tc>
                <w:tcPr>
                  <w:tcW w:w="427" w:type="pct"/>
                  <w:tcBorders>
                    <w:tl2br w:val="nil"/>
                    <w:tr2bl w:val="nil"/>
                  </w:tcBorders>
                  <w:shd w:val="clear" w:color="auto" w:fill="auto"/>
                  <w:noWrap/>
                  <w:tcMar>
                    <w:top w:w="12" w:type="dxa"/>
                    <w:left w:w="12" w:type="dxa"/>
                    <w:right w:w="12" w:type="dxa"/>
                  </w:tcMar>
                  <w:vAlign w:val="center"/>
                </w:tcPr>
                <w:p w14:paraId="7DE34D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2D15BDD">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191AD2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大小鼠固定板</w:t>
                  </w:r>
                </w:p>
              </w:tc>
              <w:tc>
                <w:tcPr>
                  <w:tcW w:w="2001" w:type="pct"/>
                  <w:tcBorders>
                    <w:tl2br w:val="nil"/>
                    <w:tr2bl w:val="nil"/>
                  </w:tcBorders>
                  <w:shd w:val="clear" w:color="auto" w:fill="auto"/>
                  <w:noWrap/>
                  <w:tcMar>
                    <w:top w:w="12" w:type="dxa"/>
                    <w:left w:w="12" w:type="dxa"/>
                    <w:right w:w="12" w:type="dxa"/>
                  </w:tcMar>
                  <w:vAlign w:val="center"/>
                </w:tcPr>
                <w:p w14:paraId="4C7903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丰硕实验器材</w:t>
                  </w:r>
                </w:p>
              </w:tc>
              <w:tc>
                <w:tcPr>
                  <w:tcW w:w="946" w:type="pct"/>
                  <w:tcBorders>
                    <w:tl2br w:val="nil"/>
                    <w:tr2bl w:val="nil"/>
                  </w:tcBorders>
                  <w:shd w:val="clear" w:color="auto" w:fill="auto"/>
                  <w:noWrap/>
                  <w:tcMar>
                    <w:top w:w="12" w:type="dxa"/>
                    <w:left w:w="12" w:type="dxa"/>
                    <w:right w:w="12" w:type="dxa"/>
                  </w:tcMar>
                  <w:vAlign w:val="center"/>
                </w:tcPr>
                <w:p w14:paraId="475019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JPB-M2</w:t>
                  </w:r>
                </w:p>
              </w:tc>
              <w:tc>
                <w:tcPr>
                  <w:tcW w:w="427" w:type="pct"/>
                  <w:tcBorders>
                    <w:tl2br w:val="nil"/>
                    <w:tr2bl w:val="nil"/>
                  </w:tcBorders>
                  <w:shd w:val="clear" w:color="auto" w:fill="auto"/>
                  <w:noWrap/>
                  <w:tcMar>
                    <w:top w:w="12" w:type="dxa"/>
                    <w:left w:w="12" w:type="dxa"/>
                    <w:right w:w="12" w:type="dxa"/>
                  </w:tcMar>
                  <w:vAlign w:val="center"/>
                </w:tcPr>
                <w:p w14:paraId="38E7D6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8F7F38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23F9C4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小动物手术器械一套</w:t>
                  </w:r>
                </w:p>
              </w:tc>
              <w:tc>
                <w:tcPr>
                  <w:tcW w:w="2001" w:type="pct"/>
                  <w:tcBorders>
                    <w:tl2br w:val="nil"/>
                    <w:tr2bl w:val="nil"/>
                  </w:tcBorders>
                  <w:shd w:val="clear" w:color="auto" w:fill="auto"/>
                  <w:noWrap/>
                  <w:tcMar>
                    <w:top w:w="12" w:type="dxa"/>
                    <w:left w:w="12" w:type="dxa"/>
                    <w:right w:w="12" w:type="dxa"/>
                  </w:tcMar>
                  <w:vAlign w:val="center"/>
                </w:tcPr>
                <w:p w14:paraId="4A8B19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丰硕实验器材</w:t>
                  </w:r>
                </w:p>
              </w:tc>
              <w:tc>
                <w:tcPr>
                  <w:tcW w:w="946" w:type="pct"/>
                  <w:tcBorders>
                    <w:tl2br w:val="nil"/>
                    <w:tr2bl w:val="nil"/>
                  </w:tcBorders>
                  <w:shd w:val="clear" w:color="auto" w:fill="auto"/>
                  <w:noWrap/>
                  <w:tcMar>
                    <w:top w:w="12" w:type="dxa"/>
                    <w:left w:w="12" w:type="dxa"/>
                    <w:right w:w="12" w:type="dxa"/>
                  </w:tcMar>
                  <w:vAlign w:val="center"/>
                </w:tcPr>
                <w:p w14:paraId="328F2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全套</w:t>
                  </w:r>
                </w:p>
              </w:tc>
              <w:tc>
                <w:tcPr>
                  <w:tcW w:w="427" w:type="pct"/>
                  <w:tcBorders>
                    <w:tl2br w:val="nil"/>
                    <w:tr2bl w:val="nil"/>
                  </w:tcBorders>
                  <w:shd w:val="clear" w:color="auto" w:fill="auto"/>
                  <w:noWrap/>
                  <w:tcMar>
                    <w:top w:w="12" w:type="dxa"/>
                    <w:left w:w="12" w:type="dxa"/>
                    <w:right w:w="12" w:type="dxa"/>
                  </w:tcMar>
                  <w:vAlign w:val="center"/>
                </w:tcPr>
                <w:p w14:paraId="4F5292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0A12294">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065F31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手术灯</w:t>
                  </w:r>
                </w:p>
              </w:tc>
              <w:tc>
                <w:tcPr>
                  <w:tcW w:w="2001" w:type="pct"/>
                  <w:tcBorders>
                    <w:tl2br w:val="nil"/>
                    <w:tr2bl w:val="nil"/>
                  </w:tcBorders>
                  <w:shd w:val="clear" w:color="auto" w:fill="auto"/>
                  <w:noWrap/>
                  <w:tcMar>
                    <w:top w:w="12" w:type="dxa"/>
                    <w:left w:w="12" w:type="dxa"/>
                    <w:right w:w="12" w:type="dxa"/>
                  </w:tcMar>
                  <w:vAlign w:val="center"/>
                </w:tcPr>
                <w:p w14:paraId="58303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思睿教学仪器</w:t>
                  </w:r>
                </w:p>
              </w:tc>
              <w:tc>
                <w:tcPr>
                  <w:tcW w:w="946" w:type="pct"/>
                  <w:tcBorders>
                    <w:tl2br w:val="nil"/>
                    <w:tr2bl w:val="nil"/>
                  </w:tcBorders>
                  <w:shd w:val="clear" w:color="auto" w:fill="auto"/>
                  <w:noWrap/>
                  <w:tcMar>
                    <w:top w:w="12" w:type="dxa"/>
                    <w:left w:w="12" w:type="dxa"/>
                    <w:right w:w="12" w:type="dxa"/>
                  </w:tcMar>
                  <w:vAlign w:val="center"/>
                </w:tcPr>
                <w:p w14:paraId="4EE50A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全套</w:t>
                  </w:r>
                </w:p>
              </w:tc>
              <w:tc>
                <w:tcPr>
                  <w:tcW w:w="427" w:type="pct"/>
                  <w:tcBorders>
                    <w:tl2br w:val="nil"/>
                    <w:tr2bl w:val="nil"/>
                  </w:tcBorders>
                  <w:shd w:val="clear" w:color="auto" w:fill="auto"/>
                  <w:noWrap/>
                  <w:tcMar>
                    <w:top w:w="12" w:type="dxa"/>
                    <w:left w:w="12" w:type="dxa"/>
                    <w:right w:w="12" w:type="dxa"/>
                  </w:tcMar>
                  <w:vAlign w:val="center"/>
                </w:tcPr>
                <w:p w14:paraId="2061E2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E5E0A9D">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3C30E6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恒温装置</w:t>
                  </w:r>
                </w:p>
              </w:tc>
              <w:tc>
                <w:tcPr>
                  <w:tcW w:w="2001" w:type="pct"/>
                  <w:tcBorders>
                    <w:tl2br w:val="nil"/>
                    <w:tr2bl w:val="nil"/>
                  </w:tcBorders>
                  <w:shd w:val="clear" w:color="auto" w:fill="auto"/>
                  <w:noWrap/>
                  <w:tcMar>
                    <w:top w:w="12" w:type="dxa"/>
                    <w:left w:w="12" w:type="dxa"/>
                    <w:right w:w="12" w:type="dxa"/>
                  </w:tcMar>
                  <w:vAlign w:val="center"/>
                </w:tcPr>
                <w:p w14:paraId="652FC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思睿教学仪器</w:t>
                  </w:r>
                </w:p>
              </w:tc>
              <w:tc>
                <w:tcPr>
                  <w:tcW w:w="946" w:type="pct"/>
                  <w:tcBorders>
                    <w:tl2br w:val="nil"/>
                    <w:tr2bl w:val="nil"/>
                  </w:tcBorders>
                  <w:shd w:val="clear" w:color="auto" w:fill="auto"/>
                  <w:noWrap/>
                  <w:tcMar>
                    <w:top w:w="12" w:type="dxa"/>
                    <w:left w:w="12" w:type="dxa"/>
                    <w:right w:w="12" w:type="dxa"/>
                  </w:tcMar>
                  <w:vAlign w:val="center"/>
                </w:tcPr>
                <w:p w14:paraId="3B2493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全套</w:t>
                  </w:r>
                </w:p>
              </w:tc>
              <w:tc>
                <w:tcPr>
                  <w:tcW w:w="427" w:type="pct"/>
                  <w:tcBorders>
                    <w:tl2br w:val="nil"/>
                    <w:tr2bl w:val="nil"/>
                  </w:tcBorders>
                  <w:shd w:val="clear" w:color="auto" w:fill="auto"/>
                  <w:noWrap/>
                  <w:tcMar>
                    <w:top w:w="12" w:type="dxa"/>
                    <w:left w:w="12" w:type="dxa"/>
                    <w:right w:w="12" w:type="dxa"/>
                  </w:tcMar>
                  <w:vAlign w:val="center"/>
                </w:tcPr>
                <w:p w14:paraId="0F1DDA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5494BA2">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623B68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血管夹</w:t>
                  </w:r>
                </w:p>
              </w:tc>
              <w:tc>
                <w:tcPr>
                  <w:tcW w:w="2001" w:type="pct"/>
                  <w:tcBorders>
                    <w:tl2br w:val="nil"/>
                    <w:tr2bl w:val="nil"/>
                  </w:tcBorders>
                  <w:shd w:val="clear" w:color="auto" w:fill="auto"/>
                  <w:noWrap/>
                  <w:tcMar>
                    <w:top w:w="12" w:type="dxa"/>
                    <w:left w:w="12" w:type="dxa"/>
                    <w:right w:w="12" w:type="dxa"/>
                  </w:tcMar>
                  <w:vAlign w:val="center"/>
                </w:tcPr>
                <w:p w14:paraId="62F198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思睿教学仪器</w:t>
                  </w:r>
                </w:p>
              </w:tc>
              <w:tc>
                <w:tcPr>
                  <w:tcW w:w="946" w:type="pct"/>
                  <w:tcBorders>
                    <w:tl2br w:val="nil"/>
                    <w:tr2bl w:val="nil"/>
                  </w:tcBorders>
                  <w:shd w:val="clear" w:color="auto" w:fill="auto"/>
                  <w:noWrap/>
                  <w:tcMar>
                    <w:top w:w="12" w:type="dxa"/>
                    <w:left w:w="12" w:type="dxa"/>
                    <w:right w:w="12" w:type="dxa"/>
                  </w:tcMar>
                  <w:vAlign w:val="center"/>
                </w:tcPr>
                <w:p w14:paraId="7E46CC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小号*5 中号*5</w:t>
                  </w:r>
                </w:p>
              </w:tc>
              <w:tc>
                <w:tcPr>
                  <w:tcW w:w="427" w:type="pct"/>
                  <w:tcBorders>
                    <w:tl2br w:val="nil"/>
                    <w:tr2bl w:val="nil"/>
                  </w:tcBorders>
                  <w:shd w:val="clear" w:color="auto" w:fill="auto"/>
                  <w:noWrap/>
                  <w:tcMar>
                    <w:top w:w="12" w:type="dxa"/>
                    <w:left w:w="12" w:type="dxa"/>
                    <w:right w:w="12" w:type="dxa"/>
                  </w:tcMar>
                  <w:vAlign w:val="center"/>
                </w:tcPr>
                <w:p w14:paraId="27230F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D318F16">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0C0B1E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大鼠尾静脉注射固定器</w:t>
                  </w:r>
                </w:p>
              </w:tc>
              <w:tc>
                <w:tcPr>
                  <w:tcW w:w="2001" w:type="pct"/>
                  <w:tcBorders>
                    <w:tl2br w:val="nil"/>
                    <w:tr2bl w:val="nil"/>
                  </w:tcBorders>
                  <w:shd w:val="clear" w:color="auto" w:fill="auto"/>
                  <w:noWrap/>
                  <w:tcMar>
                    <w:top w:w="12" w:type="dxa"/>
                    <w:left w:w="12" w:type="dxa"/>
                    <w:right w:w="12" w:type="dxa"/>
                  </w:tcMar>
                  <w:vAlign w:val="center"/>
                </w:tcPr>
                <w:p w14:paraId="24BC2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中科生命</w:t>
                  </w:r>
                </w:p>
              </w:tc>
              <w:tc>
                <w:tcPr>
                  <w:tcW w:w="946" w:type="pct"/>
                  <w:tcBorders>
                    <w:tl2br w:val="nil"/>
                    <w:tr2bl w:val="nil"/>
                  </w:tcBorders>
                  <w:shd w:val="clear" w:color="auto" w:fill="auto"/>
                  <w:noWrap/>
                  <w:tcMar>
                    <w:top w:w="12" w:type="dxa"/>
                    <w:left w:w="12" w:type="dxa"/>
                    <w:right w:w="12" w:type="dxa"/>
                  </w:tcMar>
                  <w:vAlign w:val="center"/>
                </w:tcPr>
                <w:p w14:paraId="41776E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筒+架150</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300g</w:t>
                  </w:r>
                </w:p>
              </w:tc>
              <w:tc>
                <w:tcPr>
                  <w:tcW w:w="427" w:type="pct"/>
                  <w:tcBorders>
                    <w:tl2br w:val="nil"/>
                    <w:tr2bl w:val="nil"/>
                  </w:tcBorders>
                  <w:shd w:val="clear" w:color="auto" w:fill="auto"/>
                  <w:noWrap/>
                  <w:tcMar>
                    <w:top w:w="12" w:type="dxa"/>
                    <w:left w:w="12" w:type="dxa"/>
                    <w:right w:w="12" w:type="dxa"/>
                  </w:tcMar>
                  <w:vAlign w:val="center"/>
                </w:tcPr>
                <w:p w14:paraId="30FA71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7D84B56">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055BBE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小鼠笼</w:t>
                  </w:r>
                </w:p>
              </w:tc>
              <w:tc>
                <w:tcPr>
                  <w:tcW w:w="2001" w:type="pct"/>
                  <w:tcBorders>
                    <w:tl2br w:val="nil"/>
                    <w:tr2bl w:val="nil"/>
                  </w:tcBorders>
                  <w:shd w:val="clear" w:color="auto" w:fill="auto"/>
                  <w:noWrap/>
                  <w:tcMar>
                    <w:top w:w="12" w:type="dxa"/>
                    <w:left w:w="12" w:type="dxa"/>
                    <w:right w:w="12" w:type="dxa"/>
                  </w:tcMar>
                  <w:vAlign w:val="center"/>
                </w:tcPr>
                <w:p w14:paraId="4CCA87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泽雅科教</w:t>
                  </w:r>
                </w:p>
              </w:tc>
              <w:tc>
                <w:tcPr>
                  <w:tcW w:w="946" w:type="pct"/>
                  <w:tcBorders>
                    <w:tl2br w:val="nil"/>
                    <w:tr2bl w:val="nil"/>
                  </w:tcBorders>
                  <w:shd w:val="clear" w:color="auto" w:fill="auto"/>
                  <w:noWrap/>
                  <w:tcMar>
                    <w:top w:w="12" w:type="dxa"/>
                    <w:left w:w="12" w:type="dxa"/>
                    <w:right w:w="12" w:type="dxa"/>
                  </w:tcMar>
                  <w:vAlign w:val="center"/>
                </w:tcPr>
                <w:p w14:paraId="2D7866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CMJI</w:t>
                  </w:r>
                </w:p>
              </w:tc>
              <w:tc>
                <w:tcPr>
                  <w:tcW w:w="427" w:type="pct"/>
                  <w:tcBorders>
                    <w:tl2br w:val="nil"/>
                    <w:tr2bl w:val="nil"/>
                  </w:tcBorders>
                  <w:shd w:val="clear" w:color="auto" w:fill="auto"/>
                  <w:noWrap/>
                  <w:tcMar>
                    <w:top w:w="12" w:type="dxa"/>
                    <w:left w:w="12" w:type="dxa"/>
                    <w:right w:w="12" w:type="dxa"/>
                  </w:tcMar>
                  <w:vAlign w:val="center"/>
                </w:tcPr>
                <w:p w14:paraId="724AD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638E25A8">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079669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小鼠尾静脉注射固定器</w:t>
                  </w:r>
                </w:p>
              </w:tc>
              <w:tc>
                <w:tcPr>
                  <w:tcW w:w="2001" w:type="pct"/>
                  <w:tcBorders>
                    <w:tl2br w:val="nil"/>
                    <w:tr2bl w:val="nil"/>
                  </w:tcBorders>
                  <w:shd w:val="clear" w:color="auto" w:fill="auto"/>
                  <w:noWrap/>
                  <w:tcMar>
                    <w:top w:w="12" w:type="dxa"/>
                    <w:left w:w="12" w:type="dxa"/>
                    <w:right w:w="12" w:type="dxa"/>
                  </w:tcMar>
                  <w:vAlign w:val="center"/>
                </w:tcPr>
                <w:p w14:paraId="21DF5E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思睿教学仪器</w:t>
                  </w:r>
                </w:p>
              </w:tc>
              <w:tc>
                <w:tcPr>
                  <w:tcW w:w="946" w:type="pct"/>
                  <w:tcBorders>
                    <w:tl2br w:val="nil"/>
                    <w:tr2bl w:val="nil"/>
                  </w:tcBorders>
                  <w:shd w:val="clear" w:color="auto" w:fill="auto"/>
                  <w:noWrap/>
                  <w:tcMar>
                    <w:top w:w="12" w:type="dxa"/>
                    <w:left w:w="12" w:type="dxa"/>
                    <w:right w:w="12" w:type="dxa"/>
                  </w:tcMar>
                  <w:vAlign w:val="center"/>
                </w:tcPr>
                <w:p w14:paraId="6E2DD2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20g</w:t>
                  </w:r>
                </w:p>
              </w:tc>
              <w:tc>
                <w:tcPr>
                  <w:tcW w:w="427" w:type="pct"/>
                  <w:tcBorders>
                    <w:tl2br w:val="nil"/>
                    <w:tr2bl w:val="nil"/>
                  </w:tcBorders>
                  <w:shd w:val="clear" w:color="auto" w:fill="auto"/>
                  <w:noWrap/>
                  <w:tcMar>
                    <w:top w:w="12" w:type="dxa"/>
                    <w:left w:w="12" w:type="dxa"/>
                    <w:right w:w="12" w:type="dxa"/>
                  </w:tcMar>
                  <w:vAlign w:val="center"/>
                </w:tcPr>
                <w:p w14:paraId="3F6C18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B746A5D">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3F296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小动物呼吸机</w:t>
                  </w:r>
                </w:p>
              </w:tc>
              <w:tc>
                <w:tcPr>
                  <w:tcW w:w="2001" w:type="pct"/>
                  <w:tcBorders>
                    <w:tl2br w:val="nil"/>
                    <w:tr2bl w:val="nil"/>
                  </w:tcBorders>
                  <w:shd w:val="clear" w:color="auto" w:fill="auto"/>
                  <w:noWrap/>
                  <w:tcMar>
                    <w:top w:w="12" w:type="dxa"/>
                    <w:left w:w="12" w:type="dxa"/>
                    <w:right w:w="12" w:type="dxa"/>
                  </w:tcMar>
                  <w:vAlign w:val="center"/>
                </w:tcPr>
                <w:p w14:paraId="4CD5CC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美国CWE 型号</w:t>
                  </w:r>
                </w:p>
              </w:tc>
              <w:tc>
                <w:tcPr>
                  <w:tcW w:w="946" w:type="pct"/>
                  <w:tcBorders>
                    <w:tl2br w:val="nil"/>
                    <w:tr2bl w:val="nil"/>
                  </w:tcBorders>
                  <w:shd w:val="clear" w:color="auto" w:fill="auto"/>
                  <w:noWrap/>
                  <w:tcMar>
                    <w:top w:w="12" w:type="dxa"/>
                    <w:left w:w="12" w:type="dxa"/>
                    <w:right w:w="12" w:type="dxa"/>
                  </w:tcMar>
                  <w:vAlign w:val="center"/>
                </w:tcPr>
                <w:p w14:paraId="7D03D8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SAR-1000型（主机为原装进口）</w:t>
                  </w:r>
                </w:p>
              </w:tc>
              <w:tc>
                <w:tcPr>
                  <w:tcW w:w="427" w:type="pct"/>
                  <w:tcBorders>
                    <w:tl2br w:val="nil"/>
                    <w:tr2bl w:val="nil"/>
                  </w:tcBorders>
                  <w:shd w:val="clear" w:color="auto" w:fill="auto"/>
                  <w:noWrap/>
                  <w:tcMar>
                    <w:top w:w="12" w:type="dxa"/>
                    <w:left w:w="12" w:type="dxa"/>
                    <w:right w:w="12" w:type="dxa"/>
                  </w:tcMar>
                  <w:vAlign w:val="center"/>
                </w:tcPr>
                <w:p w14:paraId="1C962F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7C3D184">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510558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脱水缸套件</w:t>
                  </w:r>
                </w:p>
              </w:tc>
              <w:tc>
                <w:tcPr>
                  <w:tcW w:w="2001" w:type="pct"/>
                  <w:tcBorders>
                    <w:tl2br w:val="nil"/>
                    <w:tr2bl w:val="nil"/>
                  </w:tcBorders>
                  <w:shd w:val="clear" w:color="auto" w:fill="auto"/>
                  <w:noWrap/>
                  <w:tcMar>
                    <w:top w:w="12" w:type="dxa"/>
                    <w:left w:w="12" w:type="dxa"/>
                    <w:right w:w="12" w:type="dxa"/>
                  </w:tcMar>
                  <w:vAlign w:val="center"/>
                </w:tcPr>
                <w:p w14:paraId="742B3C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旺达实验器材</w:t>
                  </w:r>
                </w:p>
              </w:tc>
              <w:tc>
                <w:tcPr>
                  <w:tcW w:w="946" w:type="pct"/>
                  <w:tcBorders>
                    <w:tl2br w:val="nil"/>
                    <w:tr2bl w:val="nil"/>
                  </w:tcBorders>
                  <w:shd w:val="clear" w:color="auto" w:fill="auto"/>
                  <w:noWrap/>
                  <w:tcMar>
                    <w:top w:w="12" w:type="dxa"/>
                    <w:left w:w="12" w:type="dxa"/>
                    <w:right w:w="12" w:type="dxa"/>
                  </w:tcMar>
                  <w:vAlign w:val="center"/>
                </w:tcPr>
                <w:p w14:paraId="163E01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12*15</w:t>
                  </w:r>
                </w:p>
              </w:tc>
              <w:tc>
                <w:tcPr>
                  <w:tcW w:w="427" w:type="pct"/>
                  <w:tcBorders>
                    <w:tl2br w:val="nil"/>
                    <w:tr2bl w:val="nil"/>
                  </w:tcBorders>
                  <w:shd w:val="clear" w:color="auto" w:fill="auto"/>
                  <w:noWrap/>
                  <w:tcMar>
                    <w:top w:w="12" w:type="dxa"/>
                    <w:left w:w="12" w:type="dxa"/>
                    <w:right w:w="12" w:type="dxa"/>
                  </w:tcMar>
                  <w:vAlign w:val="center"/>
                </w:tcPr>
                <w:p w14:paraId="2E7B4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11</w:t>
                  </w:r>
                </w:p>
              </w:tc>
            </w:tr>
            <w:tr w14:paraId="72980B73">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2DCF3A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脱水提篮套件</w:t>
                  </w:r>
                </w:p>
              </w:tc>
              <w:tc>
                <w:tcPr>
                  <w:tcW w:w="2001" w:type="pct"/>
                  <w:tcBorders>
                    <w:tl2br w:val="nil"/>
                    <w:tr2bl w:val="nil"/>
                  </w:tcBorders>
                  <w:shd w:val="clear" w:color="auto" w:fill="auto"/>
                  <w:noWrap/>
                  <w:tcMar>
                    <w:top w:w="12" w:type="dxa"/>
                    <w:left w:w="12" w:type="dxa"/>
                    <w:right w:w="12" w:type="dxa"/>
                  </w:tcMar>
                  <w:vAlign w:val="center"/>
                </w:tcPr>
                <w:p w14:paraId="34504E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旺达实验器材</w:t>
                  </w:r>
                </w:p>
              </w:tc>
              <w:tc>
                <w:tcPr>
                  <w:tcW w:w="946" w:type="pct"/>
                  <w:tcBorders>
                    <w:tl2br w:val="nil"/>
                    <w:tr2bl w:val="nil"/>
                  </w:tcBorders>
                  <w:shd w:val="clear" w:color="auto" w:fill="auto"/>
                  <w:noWrap/>
                  <w:tcMar>
                    <w:top w:w="12" w:type="dxa"/>
                    <w:left w:w="12" w:type="dxa"/>
                    <w:right w:w="12" w:type="dxa"/>
                  </w:tcMar>
                  <w:vAlign w:val="center"/>
                </w:tcPr>
                <w:p w14:paraId="6A6920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16格2cm 4层</w:t>
                  </w:r>
                </w:p>
              </w:tc>
              <w:tc>
                <w:tcPr>
                  <w:tcW w:w="427" w:type="pct"/>
                  <w:tcBorders>
                    <w:tl2br w:val="nil"/>
                    <w:tr2bl w:val="nil"/>
                  </w:tcBorders>
                  <w:shd w:val="clear" w:color="auto" w:fill="auto"/>
                  <w:noWrap/>
                  <w:tcMar>
                    <w:top w:w="12" w:type="dxa"/>
                    <w:left w:w="12" w:type="dxa"/>
                    <w:right w:w="12" w:type="dxa"/>
                  </w:tcMar>
                  <w:vAlign w:val="center"/>
                </w:tcPr>
                <w:p w14:paraId="269DE2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5F069CD8">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49E922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蜡块用小温箱</w:t>
                  </w:r>
                </w:p>
              </w:tc>
              <w:tc>
                <w:tcPr>
                  <w:tcW w:w="2001" w:type="pct"/>
                  <w:tcBorders>
                    <w:tl2br w:val="nil"/>
                    <w:tr2bl w:val="nil"/>
                  </w:tcBorders>
                  <w:shd w:val="clear" w:color="auto" w:fill="auto"/>
                  <w:noWrap/>
                  <w:tcMar>
                    <w:top w:w="12" w:type="dxa"/>
                    <w:left w:w="12" w:type="dxa"/>
                    <w:right w:w="12" w:type="dxa"/>
                  </w:tcMar>
                  <w:vAlign w:val="center"/>
                </w:tcPr>
                <w:p w14:paraId="3BD87F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上海力辰邦西仪器科技有限公司</w:t>
                  </w:r>
                </w:p>
              </w:tc>
              <w:tc>
                <w:tcPr>
                  <w:tcW w:w="946" w:type="pct"/>
                  <w:tcBorders>
                    <w:tl2br w:val="nil"/>
                    <w:tr2bl w:val="nil"/>
                  </w:tcBorders>
                  <w:shd w:val="clear" w:color="auto" w:fill="auto"/>
                  <w:noWrap/>
                  <w:tcMar>
                    <w:top w:w="12" w:type="dxa"/>
                    <w:left w:w="12" w:type="dxa"/>
                    <w:right w:w="12" w:type="dxa"/>
                  </w:tcMar>
                  <w:vAlign w:val="center"/>
                </w:tcPr>
                <w:p w14:paraId="59C940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101-0BS</w:t>
                  </w:r>
                </w:p>
              </w:tc>
              <w:tc>
                <w:tcPr>
                  <w:tcW w:w="427" w:type="pct"/>
                  <w:tcBorders>
                    <w:tl2br w:val="nil"/>
                    <w:tr2bl w:val="nil"/>
                  </w:tcBorders>
                  <w:shd w:val="clear" w:color="auto" w:fill="auto"/>
                  <w:noWrap/>
                  <w:tcMar>
                    <w:top w:w="12" w:type="dxa"/>
                    <w:left w:w="12" w:type="dxa"/>
                    <w:right w:w="12" w:type="dxa"/>
                  </w:tcMar>
                  <w:vAlign w:val="center"/>
                </w:tcPr>
                <w:p w14:paraId="3DD8E3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376BACE">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326455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蜡块模具</w:t>
                  </w:r>
                </w:p>
              </w:tc>
              <w:tc>
                <w:tcPr>
                  <w:tcW w:w="2001" w:type="pct"/>
                  <w:tcBorders>
                    <w:tl2br w:val="nil"/>
                    <w:tr2bl w:val="nil"/>
                  </w:tcBorders>
                  <w:shd w:val="clear" w:color="auto" w:fill="auto"/>
                  <w:noWrap/>
                  <w:tcMar>
                    <w:top w:w="12" w:type="dxa"/>
                    <w:left w:w="12" w:type="dxa"/>
                    <w:right w:w="12" w:type="dxa"/>
                  </w:tcMar>
                  <w:vAlign w:val="center"/>
                </w:tcPr>
                <w:p w14:paraId="287D36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旺达实验器材</w:t>
                  </w:r>
                </w:p>
              </w:tc>
              <w:tc>
                <w:tcPr>
                  <w:tcW w:w="946" w:type="pct"/>
                  <w:tcBorders>
                    <w:tl2br w:val="nil"/>
                    <w:tr2bl w:val="nil"/>
                  </w:tcBorders>
                  <w:shd w:val="clear" w:color="auto" w:fill="auto"/>
                  <w:noWrap/>
                  <w:tcMar>
                    <w:top w:w="12" w:type="dxa"/>
                    <w:left w:w="12" w:type="dxa"/>
                    <w:right w:w="12" w:type="dxa"/>
                  </w:tcMar>
                  <w:vAlign w:val="center"/>
                </w:tcPr>
                <w:p w14:paraId="13EC16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铜三角板式10孔</w:t>
                  </w:r>
                </w:p>
              </w:tc>
              <w:tc>
                <w:tcPr>
                  <w:tcW w:w="427" w:type="pct"/>
                  <w:tcBorders>
                    <w:tl2br w:val="nil"/>
                    <w:tr2bl w:val="nil"/>
                  </w:tcBorders>
                  <w:shd w:val="clear" w:color="auto" w:fill="auto"/>
                  <w:noWrap/>
                  <w:tcMar>
                    <w:top w:w="12" w:type="dxa"/>
                    <w:left w:w="12" w:type="dxa"/>
                    <w:right w:w="12" w:type="dxa"/>
                  </w:tcMar>
                  <w:vAlign w:val="center"/>
                </w:tcPr>
                <w:p w14:paraId="25D468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w:t>
                  </w:r>
                </w:p>
              </w:tc>
            </w:tr>
            <w:tr w14:paraId="6E367517">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449CC3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病理切片机</w:t>
                  </w:r>
                </w:p>
              </w:tc>
              <w:tc>
                <w:tcPr>
                  <w:tcW w:w="2001" w:type="pct"/>
                  <w:tcBorders>
                    <w:tl2br w:val="nil"/>
                    <w:tr2bl w:val="nil"/>
                  </w:tcBorders>
                  <w:shd w:val="clear" w:color="auto" w:fill="auto"/>
                  <w:noWrap/>
                  <w:tcMar>
                    <w:top w:w="12" w:type="dxa"/>
                    <w:left w:w="12" w:type="dxa"/>
                    <w:right w:w="12" w:type="dxa"/>
                  </w:tcMar>
                  <w:vAlign w:val="center"/>
                </w:tcPr>
                <w:p w14:paraId="3CDEDF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金华科迪</w:t>
                  </w:r>
                </w:p>
              </w:tc>
              <w:tc>
                <w:tcPr>
                  <w:tcW w:w="946" w:type="pct"/>
                  <w:tcBorders>
                    <w:tl2br w:val="nil"/>
                    <w:tr2bl w:val="nil"/>
                  </w:tcBorders>
                  <w:shd w:val="clear" w:color="auto" w:fill="auto"/>
                  <w:noWrap/>
                  <w:tcMar>
                    <w:top w:w="12" w:type="dxa"/>
                    <w:left w:w="12" w:type="dxa"/>
                    <w:right w:w="12" w:type="dxa"/>
                  </w:tcMar>
                  <w:vAlign w:val="center"/>
                </w:tcPr>
                <w:p w14:paraId="454892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KD202A石蜡切片机</w:t>
                  </w:r>
                </w:p>
              </w:tc>
              <w:tc>
                <w:tcPr>
                  <w:tcW w:w="427" w:type="pct"/>
                  <w:tcBorders>
                    <w:tl2br w:val="nil"/>
                    <w:tr2bl w:val="nil"/>
                  </w:tcBorders>
                  <w:shd w:val="clear" w:color="auto" w:fill="auto"/>
                  <w:noWrap/>
                  <w:tcMar>
                    <w:top w:w="12" w:type="dxa"/>
                    <w:left w:w="12" w:type="dxa"/>
                    <w:right w:w="12" w:type="dxa"/>
                  </w:tcMar>
                  <w:vAlign w:val="center"/>
                </w:tcPr>
                <w:p w14:paraId="7CBAAB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0330469">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09DD77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摊片机漂片仪</w:t>
                  </w:r>
                </w:p>
              </w:tc>
              <w:tc>
                <w:tcPr>
                  <w:tcW w:w="2001" w:type="pct"/>
                  <w:tcBorders>
                    <w:tl2br w:val="nil"/>
                    <w:tr2bl w:val="nil"/>
                  </w:tcBorders>
                  <w:shd w:val="clear" w:color="auto" w:fill="auto"/>
                  <w:noWrap/>
                  <w:tcMar>
                    <w:top w:w="12" w:type="dxa"/>
                    <w:left w:w="12" w:type="dxa"/>
                    <w:right w:w="12" w:type="dxa"/>
                  </w:tcMar>
                  <w:vAlign w:val="center"/>
                </w:tcPr>
                <w:p w14:paraId="23DDC1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华海</w:t>
                  </w:r>
                </w:p>
              </w:tc>
              <w:tc>
                <w:tcPr>
                  <w:tcW w:w="946" w:type="pct"/>
                  <w:tcBorders>
                    <w:tl2br w:val="nil"/>
                    <w:tr2bl w:val="nil"/>
                  </w:tcBorders>
                  <w:shd w:val="clear" w:color="auto" w:fill="auto"/>
                  <w:noWrap/>
                  <w:tcMar>
                    <w:top w:w="12" w:type="dxa"/>
                    <w:left w:w="12" w:type="dxa"/>
                    <w:right w:w="12" w:type="dxa"/>
                  </w:tcMar>
                  <w:vAlign w:val="center"/>
                </w:tcPr>
                <w:p w14:paraId="72CF3E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TPJ-A</w:t>
                  </w:r>
                </w:p>
              </w:tc>
              <w:tc>
                <w:tcPr>
                  <w:tcW w:w="427" w:type="pct"/>
                  <w:tcBorders>
                    <w:tl2br w:val="nil"/>
                    <w:tr2bl w:val="nil"/>
                  </w:tcBorders>
                  <w:shd w:val="clear" w:color="auto" w:fill="auto"/>
                  <w:noWrap/>
                  <w:tcMar>
                    <w:top w:w="12" w:type="dxa"/>
                    <w:left w:w="12" w:type="dxa"/>
                    <w:right w:w="12" w:type="dxa"/>
                  </w:tcMar>
                  <w:vAlign w:val="center"/>
                </w:tcPr>
                <w:p w14:paraId="6862A7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E829ACD">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7068A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组合式染色缸</w:t>
                  </w:r>
                </w:p>
              </w:tc>
              <w:tc>
                <w:tcPr>
                  <w:tcW w:w="2001" w:type="pct"/>
                  <w:tcBorders>
                    <w:tl2br w:val="nil"/>
                    <w:tr2bl w:val="nil"/>
                  </w:tcBorders>
                  <w:shd w:val="clear" w:color="auto" w:fill="auto"/>
                  <w:noWrap/>
                  <w:tcMar>
                    <w:top w:w="12" w:type="dxa"/>
                    <w:left w:w="12" w:type="dxa"/>
                    <w:right w:w="12" w:type="dxa"/>
                  </w:tcMar>
                  <w:vAlign w:val="center"/>
                </w:tcPr>
                <w:p w14:paraId="52184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旺达实验器材</w:t>
                  </w:r>
                </w:p>
              </w:tc>
              <w:tc>
                <w:tcPr>
                  <w:tcW w:w="946" w:type="pct"/>
                  <w:tcBorders>
                    <w:tl2br w:val="nil"/>
                    <w:tr2bl w:val="nil"/>
                  </w:tcBorders>
                  <w:shd w:val="clear" w:color="auto" w:fill="auto"/>
                  <w:noWrap/>
                  <w:tcMar>
                    <w:top w:w="12" w:type="dxa"/>
                    <w:left w:w="12" w:type="dxa"/>
                    <w:right w:w="12" w:type="dxa"/>
                  </w:tcMar>
                  <w:vAlign w:val="center"/>
                </w:tcPr>
                <w:p w14:paraId="604DBF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组合式染色缸</w:t>
                  </w:r>
                </w:p>
              </w:tc>
              <w:tc>
                <w:tcPr>
                  <w:tcW w:w="427" w:type="pct"/>
                  <w:tcBorders>
                    <w:tl2br w:val="nil"/>
                    <w:tr2bl w:val="nil"/>
                  </w:tcBorders>
                  <w:shd w:val="clear" w:color="auto" w:fill="auto"/>
                  <w:noWrap/>
                  <w:tcMar>
                    <w:top w:w="12" w:type="dxa"/>
                    <w:left w:w="12" w:type="dxa"/>
                    <w:right w:w="12" w:type="dxa"/>
                  </w:tcMar>
                  <w:vAlign w:val="center"/>
                </w:tcPr>
                <w:p w14:paraId="668293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B04787F">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03E395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免疫组化笔</w:t>
                  </w:r>
                </w:p>
              </w:tc>
              <w:tc>
                <w:tcPr>
                  <w:tcW w:w="2001" w:type="pct"/>
                  <w:tcBorders>
                    <w:tl2br w:val="nil"/>
                    <w:tr2bl w:val="nil"/>
                  </w:tcBorders>
                  <w:shd w:val="clear" w:color="auto" w:fill="auto"/>
                  <w:noWrap/>
                  <w:tcMar>
                    <w:top w:w="12" w:type="dxa"/>
                    <w:left w:w="12" w:type="dxa"/>
                    <w:right w:w="12" w:type="dxa"/>
                  </w:tcMar>
                  <w:vAlign w:val="center"/>
                </w:tcPr>
                <w:p w14:paraId="596742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上海生工</w:t>
                  </w:r>
                </w:p>
              </w:tc>
              <w:tc>
                <w:tcPr>
                  <w:tcW w:w="946" w:type="pct"/>
                  <w:tcBorders>
                    <w:tl2br w:val="nil"/>
                    <w:tr2bl w:val="nil"/>
                  </w:tcBorders>
                  <w:shd w:val="clear" w:color="auto" w:fill="auto"/>
                  <w:noWrap/>
                  <w:tcMar>
                    <w:top w:w="12" w:type="dxa"/>
                    <w:left w:w="12" w:type="dxa"/>
                    <w:right w:w="12" w:type="dxa"/>
                  </w:tcMar>
                  <w:vAlign w:val="center"/>
                </w:tcPr>
                <w:p w14:paraId="1D2453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免疫组化笔E678004</w:t>
                  </w:r>
                </w:p>
              </w:tc>
              <w:tc>
                <w:tcPr>
                  <w:tcW w:w="427" w:type="pct"/>
                  <w:tcBorders>
                    <w:tl2br w:val="nil"/>
                    <w:tr2bl w:val="nil"/>
                  </w:tcBorders>
                  <w:shd w:val="clear" w:color="auto" w:fill="auto"/>
                  <w:noWrap/>
                  <w:tcMar>
                    <w:top w:w="12" w:type="dxa"/>
                    <w:left w:w="12" w:type="dxa"/>
                    <w:right w:w="12" w:type="dxa"/>
                  </w:tcMar>
                  <w:vAlign w:val="center"/>
                </w:tcPr>
                <w:p w14:paraId="0FAB7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C67BBD5">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514F95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湿盒</w:t>
                  </w:r>
                </w:p>
              </w:tc>
              <w:tc>
                <w:tcPr>
                  <w:tcW w:w="2001" w:type="pct"/>
                  <w:tcBorders>
                    <w:tl2br w:val="nil"/>
                    <w:tr2bl w:val="nil"/>
                  </w:tcBorders>
                  <w:shd w:val="clear" w:color="auto" w:fill="auto"/>
                  <w:noWrap/>
                  <w:tcMar>
                    <w:top w:w="12" w:type="dxa"/>
                    <w:left w:w="12" w:type="dxa"/>
                    <w:right w:w="12" w:type="dxa"/>
                  </w:tcMar>
                  <w:vAlign w:val="center"/>
                </w:tcPr>
                <w:p w14:paraId="5C99A5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上海雷布斯</w:t>
                  </w:r>
                </w:p>
              </w:tc>
              <w:tc>
                <w:tcPr>
                  <w:tcW w:w="946" w:type="pct"/>
                  <w:tcBorders>
                    <w:tl2br w:val="nil"/>
                    <w:tr2bl w:val="nil"/>
                  </w:tcBorders>
                  <w:shd w:val="clear" w:color="auto" w:fill="auto"/>
                  <w:noWrap/>
                  <w:tcMar>
                    <w:top w:w="12" w:type="dxa"/>
                    <w:left w:w="12" w:type="dxa"/>
                    <w:right w:w="12" w:type="dxa"/>
                  </w:tcMar>
                  <w:vAlign w:val="center"/>
                </w:tcPr>
                <w:p w14:paraId="009427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免疫组织化学湿盒</w:t>
                  </w:r>
                </w:p>
              </w:tc>
              <w:tc>
                <w:tcPr>
                  <w:tcW w:w="427" w:type="pct"/>
                  <w:tcBorders>
                    <w:tl2br w:val="nil"/>
                    <w:tr2bl w:val="nil"/>
                  </w:tcBorders>
                  <w:shd w:val="clear" w:color="auto" w:fill="auto"/>
                  <w:noWrap/>
                  <w:tcMar>
                    <w:top w:w="12" w:type="dxa"/>
                    <w:left w:w="12" w:type="dxa"/>
                    <w:right w:w="12" w:type="dxa"/>
                  </w:tcMar>
                  <w:vAlign w:val="center"/>
                </w:tcPr>
                <w:p w14:paraId="0893B4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w:t>
                  </w:r>
                </w:p>
              </w:tc>
            </w:tr>
            <w:tr w14:paraId="002B4D1B">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64" w:hRule="atLeast"/>
              </w:trPr>
              <w:tc>
                <w:tcPr>
                  <w:tcW w:w="1624" w:type="pct"/>
                  <w:tcBorders>
                    <w:tl2br w:val="nil"/>
                    <w:tr2bl w:val="nil"/>
                  </w:tcBorders>
                  <w:shd w:val="clear" w:color="auto" w:fill="auto"/>
                  <w:noWrap/>
                  <w:tcMar>
                    <w:top w:w="12" w:type="dxa"/>
                    <w:left w:w="12" w:type="dxa"/>
                    <w:right w:w="12" w:type="dxa"/>
                  </w:tcMar>
                  <w:vAlign w:val="center"/>
                </w:tcPr>
                <w:p w14:paraId="3495B5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普通生物显微镜</w:t>
                  </w:r>
                </w:p>
              </w:tc>
              <w:tc>
                <w:tcPr>
                  <w:tcW w:w="2001" w:type="pct"/>
                  <w:tcBorders>
                    <w:tl2br w:val="nil"/>
                    <w:tr2bl w:val="nil"/>
                  </w:tcBorders>
                  <w:shd w:val="clear" w:color="auto" w:fill="auto"/>
                  <w:noWrap/>
                  <w:tcMar>
                    <w:top w:w="12" w:type="dxa"/>
                    <w:left w:w="12" w:type="dxa"/>
                    <w:right w:w="12" w:type="dxa"/>
                  </w:tcMar>
                  <w:vAlign w:val="center"/>
                </w:tcPr>
                <w:p w14:paraId="2AC600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Olympus/</w:t>
                  </w:r>
                  <w:r>
                    <w:rPr>
                      <w:rStyle w:val="47"/>
                      <w:rFonts w:hint="default" w:ascii="Times New Roman" w:hAnsi="Times New Roman" w:eastAsia="宋体" w:cs="Times New Roman"/>
                      <w:color w:val="auto"/>
                      <w:sz w:val="18"/>
                      <w:szCs w:val="18"/>
                      <w:lang w:bidi="ar"/>
                    </w:rPr>
                    <w:t>奥林巴斯</w:t>
                  </w:r>
                </w:p>
              </w:tc>
              <w:tc>
                <w:tcPr>
                  <w:tcW w:w="946" w:type="pct"/>
                  <w:tcBorders>
                    <w:tl2br w:val="nil"/>
                    <w:tr2bl w:val="nil"/>
                  </w:tcBorders>
                  <w:shd w:val="clear" w:color="auto" w:fill="auto"/>
                  <w:noWrap/>
                  <w:tcMar>
                    <w:top w:w="12" w:type="dxa"/>
                    <w:left w:w="12" w:type="dxa"/>
                    <w:right w:w="12" w:type="dxa"/>
                  </w:tcMar>
                  <w:vAlign w:val="center"/>
                </w:tcPr>
                <w:p w14:paraId="5EC998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CX23</w:t>
                  </w:r>
                </w:p>
              </w:tc>
              <w:tc>
                <w:tcPr>
                  <w:tcW w:w="427" w:type="pct"/>
                  <w:tcBorders>
                    <w:tl2br w:val="nil"/>
                    <w:tr2bl w:val="nil"/>
                  </w:tcBorders>
                  <w:shd w:val="clear" w:color="auto" w:fill="auto"/>
                  <w:noWrap/>
                  <w:tcMar>
                    <w:top w:w="12" w:type="dxa"/>
                    <w:left w:w="12" w:type="dxa"/>
                    <w:right w:w="12" w:type="dxa"/>
                  </w:tcMar>
                  <w:vAlign w:val="center"/>
                </w:tcPr>
                <w:p w14:paraId="7EE467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386AC85">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7F928A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正置荧光显微镜</w:t>
                  </w:r>
                </w:p>
              </w:tc>
              <w:tc>
                <w:tcPr>
                  <w:tcW w:w="2001" w:type="pct"/>
                  <w:tcBorders>
                    <w:tl2br w:val="nil"/>
                    <w:tr2bl w:val="nil"/>
                  </w:tcBorders>
                  <w:shd w:val="clear" w:color="auto" w:fill="auto"/>
                  <w:noWrap/>
                  <w:tcMar>
                    <w:top w:w="12" w:type="dxa"/>
                    <w:left w:w="12" w:type="dxa"/>
                    <w:right w:w="12" w:type="dxa"/>
                  </w:tcMar>
                  <w:vAlign w:val="center"/>
                </w:tcPr>
                <w:p w14:paraId="653CDC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Olympus/奥林巴斯</w:t>
                  </w:r>
                </w:p>
              </w:tc>
              <w:tc>
                <w:tcPr>
                  <w:tcW w:w="946" w:type="pct"/>
                  <w:tcBorders>
                    <w:tl2br w:val="nil"/>
                    <w:tr2bl w:val="nil"/>
                  </w:tcBorders>
                  <w:shd w:val="clear" w:color="auto" w:fill="auto"/>
                  <w:noWrap/>
                  <w:tcMar>
                    <w:top w:w="12" w:type="dxa"/>
                    <w:left w:w="12" w:type="dxa"/>
                    <w:right w:w="12" w:type="dxa"/>
                  </w:tcMar>
                  <w:vAlign w:val="center"/>
                </w:tcPr>
                <w:p w14:paraId="3FFA21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BX53（配三色模块及电脑）</w:t>
                  </w:r>
                </w:p>
              </w:tc>
              <w:tc>
                <w:tcPr>
                  <w:tcW w:w="427" w:type="pct"/>
                  <w:tcBorders>
                    <w:tl2br w:val="nil"/>
                    <w:tr2bl w:val="nil"/>
                  </w:tcBorders>
                  <w:shd w:val="clear" w:color="auto" w:fill="auto"/>
                  <w:noWrap/>
                  <w:tcMar>
                    <w:top w:w="12" w:type="dxa"/>
                    <w:left w:w="12" w:type="dxa"/>
                    <w:right w:w="12" w:type="dxa"/>
                  </w:tcMar>
                  <w:vAlign w:val="center"/>
                </w:tcPr>
                <w:p w14:paraId="5C2609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D39C018">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5FD2C1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流式细胞仪</w:t>
                  </w:r>
                </w:p>
              </w:tc>
              <w:tc>
                <w:tcPr>
                  <w:tcW w:w="2001" w:type="pct"/>
                  <w:tcBorders>
                    <w:tl2br w:val="nil"/>
                    <w:tr2bl w:val="nil"/>
                  </w:tcBorders>
                  <w:shd w:val="clear" w:color="auto" w:fill="auto"/>
                  <w:noWrap/>
                  <w:tcMar>
                    <w:top w:w="12" w:type="dxa"/>
                    <w:left w:w="12" w:type="dxa"/>
                    <w:right w:w="12" w:type="dxa"/>
                  </w:tcMar>
                  <w:vAlign w:val="center"/>
                </w:tcPr>
                <w:p w14:paraId="486A28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美国贝克曼库尔特有限公司</w:t>
                  </w:r>
                </w:p>
              </w:tc>
              <w:tc>
                <w:tcPr>
                  <w:tcW w:w="946" w:type="pct"/>
                  <w:tcBorders>
                    <w:tl2br w:val="nil"/>
                    <w:tr2bl w:val="nil"/>
                  </w:tcBorders>
                  <w:shd w:val="clear" w:color="auto" w:fill="auto"/>
                  <w:noWrap/>
                  <w:tcMar>
                    <w:top w:w="12" w:type="dxa"/>
                    <w:left w:w="12" w:type="dxa"/>
                    <w:right w:w="12" w:type="dxa"/>
                  </w:tcMar>
                  <w:vAlign w:val="center"/>
                </w:tcPr>
                <w:p w14:paraId="0FB79A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CytoFLEX</w:t>
                  </w:r>
                </w:p>
              </w:tc>
              <w:tc>
                <w:tcPr>
                  <w:tcW w:w="427" w:type="pct"/>
                  <w:tcBorders>
                    <w:tl2br w:val="nil"/>
                    <w:tr2bl w:val="nil"/>
                  </w:tcBorders>
                  <w:shd w:val="clear" w:color="auto" w:fill="auto"/>
                  <w:noWrap/>
                  <w:tcMar>
                    <w:top w:w="12" w:type="dxa"/>
                    <w:left w:w="12" w:type="dxa"/>
                    <w:right w:w="12" w:type="dxa"/>
                  </w:tcMar>
                  <w:vAlign w:val="center"/>
                </w:tcPr>
                <w:p w14:paraId="42AE82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87C1AF3">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39E298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eastAsia" w:cs="Times New Roman"/>
                      <w:color w:val="auto"/>
                      <w:kern w:val="0"/>
                      <w:sz w:val="18"/>
                      <w:szCs w:val="18"/>
                      <w:lang w:eastAsia="zh-CN" w:bidi="ar"/>
                    </w:rPr>
                    <w:t>化学</w:t>
                  </w:r>
                  <w:r>
                    <w:rPr>
                      <w:rFonts w:hint="default" w:ascii="Times New Roman" w:hAnsi="Times New Roman" w:eastAsia="宋体" w:cs="Times New Roman"/>
                      <w:color w:val="auto"/>
                      <w:kern w:val="0"/>
                      <w:sz w:val="18"/>
                      <w:szCs w:val="18"/>
                      <w:lang w:bidi="ar"/>
                    </w:rPr>
                    <w:t>品专柜</w:t>
                  </w:r>
                </w:p>
              </w:tc>
              <w:tc>
                <w:tcPr>
                  <w:tcW w:w="2001" w:type="pct"/>
                  <w:tcBorders>
                    <w:tl2br w:val="nil"/>
                    <w:tr2bl w:val="nil"/>
                  </w:tcBorders>
                  <w:shd w:val="clear" w:color="auto" w:fill="auto"/>
                  <w:noWrap/>
                  <w:tcMar>
                    <w:top w:w="12" w:type="dxa"/>
                    <w:left w:w="12" w:type="dxa"/>
                    <w:right w:w="12" w:type="dxa"/>
                  </w:tcMar>
                  <w:vAlign w:val="center"/>
                </w:tcPr>
                <w:p w14:paraId="3D892A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HEMAN/贺曼</w:t>
                  </w:r>
                </w:p>
              </w:tc>
              <w:tc>
                <w:tcPr>
                  <w:tcW w:w="946" w:type="pct"/>
                  <w:tcBorders>
                    <w:tl2br w:val="nil"/>
                    <w:tr2bl w:val="nil"/>
                  </w:tcBorders>
                  <w:shd w:val="clear" w:color="auto" w:fill="auto"/>
                  <w:noWrap/>
                  <w:tcMar>
                    <w:top w:w="12" w:type="dxa"/>
                    <w:left w:w="12" w:type="dxa"/>
                    <w:right w:w="12" w:type="dxa"/>
                  </w:tcMar>
                  <w:vAlign w:val="center"/>
                </w:tcPr>
                <w:p w14:paraId="053B2F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HM-6322</w:t>
                  </w:r>
                </w:p>
              </w:tc>
              <w:tc>
                <w:tcPr>
                  <w:tcW w:w="427" w:type="pct"/>
                  <w:tcBorders>
                    <w:tl2br w:val="nil"/>
                    <w:tr2bl w:val="nil"/>
                  </w:tcBorders>
                  <w:shd w:val="clear" w:color="auto" w:fill="auto"/>
                  <w:noWrap/>
                  <w:tcMar>
                    <w:top w:w="12" w:type="dxa"/>
                    <w:left w:w="12" w:type="dxa"/>
                    <w:right w:w="12" w:type="dxa"/>
                  </w:tcMar>
                  <w:vAlign w:val="center"/>
                </w:tcPr>
                <w:p w14:paraId="4E3051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4FDA67E">
              <w:tblPrEx>
                <w:tblBorders>
                  <w:top w:val="single" w:color="000000" w:themeColor="text1" w:sz="12" w:space="0"/>
                  <w:left w:val="none" w:color="auto" w:sz="0" w:space="0"/>
                  <w:bottom w:val="single" w:color="000000" w:themeColor="text1" w:sz="12" w:space="0"/>
                  <w:right w:val="none" w:color="auto" w:sz="0" w:space="0"/>
                  <w:insideH w:val="single" w:color="000000" w:themeColor="text1" w:sz="8" w:space="0"/>
                  <w:insideV w:val="single" w:color="000000" w:themeColor="text1" w:sz="8" w:space="0"/>
                </w:tblBorders>
                <w:shd w:val="clear" w:color="auto" w:fill="auto"/>
                <w:tblCellMar>
                  <w:top w:w="0" w:type="dxa"/>
                  <w:left w:w="0" w:type="dxa"/>
                  <w:bottom w:w="0" w:type="dxa"/>
                  <w:right w:w="0" w:type="dxa"/>
                </w:tblCellMar>
              </w:tblPrEx>
              <w:trPr>
                <w:trHeight w:val="240" w:hRule="atLeast"/>
              </w:trPr>
              <w:tc>
                <w:tcPr>
                  <w:tcW w:w="1624" w:type="pct"/>
                  <w:tcBorders>
                    <w:tl2br w:val="nil"/>
                    <w:tr2bl w:val="nil"/>
                  </w:tcBorders>
                  <w:shd w:val="clear" w:color="auto" w:fill="auto"/>
                  <w:noWrap/>
                  <w:tcMar>
                    <w:top w:w="12" w:type="dxa"/>
                    <w:left w:w="12" w:type="dxa"/>
                    <w:right w:w="12" w:type="dxa"/>
                  </w:tcMar>
                  <w:vAlign w:val="center"/>
                </w:tcPr>
                <w:p w14:paraId="1AD50D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color w:val="auto"/>
                      <w:kern w:val="0"/>
                      <w:sz w:val="18"/>
                      <w:szCs w:val="18"/>
                      <w:lang w:eastAsia="zh-CN" w:bidi="ar"/>
                    </w:rPr>
                  </w:pPr>
                  <w:r>
                    <w:rPr>
                      <w:rFonts w:hint="eastAsia" w:cs="Times New Roman"/>
                      <w:color w:val="auto"/>
                      <w:kern w:val="0"/>
                      <w:sz w:val="18"/>
                      <w:szCs w:val="18"/>
                      <w:lang w:eastAsia="zh-CN" w:bidi="ar"/>
                    </w:rPr>
                    <w:t>纯水制备机</w:t>
                  </w:r>
                </w:p>
              </w:tc>
              <w:tc>
                <w:tcPr>
                  <w:tcW w:w="2001" w:type="pct"/>
                  <w:tcBorders>
                    <w:tl2br w:val="nil"/>
                    <w:tr2bl w:val="nil"/>
                  </w:tcBorders>
                  <w:shd w:val="clear" w:color="auto" w:fill="auto"/>
                  <w:noWrap/>
                  <w:tcMar>
                    <w:top w:w="12" w:type="dxa"/>
                    <w:left w:w="12" w:type="dxa"/>
                    <w:right w:w="12" w:type="dxa"/>
                  </w:tcMar>
                  <w:vAlign w:val="center"/>
                </w:tcPr>
                <w:p w14:paraId="5C5473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w:t>
                  </w:r>
                </w:p>
              </w:tc>
              <w:tc>
                <w:tcPr>
                  <w:tcW w:w="946" w:type="pct"/>
                  <w:tcBorders>
                    <w:tl2br w:val="nil"/>
                    <w:tr2bl w:val="nil"/>
                  </w:tcBorders>
                  <w:shd w:val="clear" w:color="auto" w:fill="auto"/>
                  <w:noWrap/>
                  <w:tcMar>
                    <w:top w:w="12" w:type="dxa"/>
                    <w:left w:w="12" w:type="dxa"/>
                    <w:right w:w="12" w:type="dxa"/>
                  </w:tcMar>
                  <w:vAlign w:val="center"/>
                </w:tcPr>
                <w:p w14:paraId="5AD2B4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ZH01-RO</w:t>
                  </w:r>
                </w:p>
              </w:tc>
              <w:tc>
                <w:tcPr>
                  <w:tcW w:w="427" w:type="pct"/>
                  <w:tcBorders>
                    <w:tl2br w:val="nil"/>
                    <w:tr2bl w:val="nil"/>
                  </w:tcBorders>
                  <w:shd w:val="clear" w:color="auto" w:fill="auto"/>
                  <w:noWrap/>
                  <w:tcMar>
                    <w:top w:w="12" w:type="dxa"/>
                    <w:left w:w="12" w:type="dxa"/>
                    <w:right w:w="12" w:type="dxa"/>
                  </w:tcMar>
                  <w:vAlign w:val="center"/>
                </w:tcPr>
                <w:p w14:paraId="2A8836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1</w:t>
                  </w:r>
                </w:p>
              </w:tc>
            </w:tr>
          </w:tbl>
          <w:p w14:paraId="3BB66404">
            <w:pPr>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156" w:beforeLines="50" w:beforeAutospacing="0" w:after="0" w:afterAutospacing="0"/>
              <w:ind w:left="0" w:right="0" w:firstLine="482"/>
              <w:textAlignment w:val="auto"/>
              <w:rPr>
                <w:rFonts w:hint="default" w:ascii="Times New Roman" w:hAnsi="Times New Roman" w:cs="Times New Roman"/>
                <w:b/>
                <w:bCs/>
                <w:color w:val="auto"/>
              </w:rPr>
            </w:pPr>
            <w:r>
              <w:rPr>
                <w:rFonts w:hint="default" w:ascii="Times New Roman" w:hAnsi="Times New Roman" w:eastAsia="宋体"/>
                <w:b/>
                <w:bCs/>
                <w:color w:val="auto"/>
                <w:lang w:eastAsia="zh-CN"/>
              </w:rPr>
              <w:t>实验室基本用品、</w:t>
            </w:r>
            <w:r>
              <w:rPr>
                <w:rFonts w:hint="default" w:ascii="Times New Roman" w:hAnsi="Times New Roman" w:eastAsia="宋体"/>
                <w:b/>
                <w:bCs/>
                <w:color w:val="auto"/>
              </w:rPr>
              <w:t>主要原辅材料</w:t>
            </w:r>
            <w:r>
              <w:rPr>
                <w:rFonts w:hint="default" w:ascii="Times New Roman" w:hAnsi="Times New Roman" w:eastAsia="宋体"/>
                <w:b/>
                <w:bCs/>
                <w:color w:val="auto"/>
                <w:lang w:eastAsia="zh-CN"/>
              </w:rPr>
              <w:t>（试剂）</w:t>
            </w:r>
            <w:r>
              <w:rPr>
                <w:rFonts w:hint="default" w:ascii="Times New Roman" w:hAnsi="Times New Roman" w:cs="Times New Roman"/>
                <w:b/>
                <w:bCs/>
                <w:color w:val="auto"/>
              </w:rPr>
              <w:t>及理化性质</w:t>
            </w:r>
          </w:p>
          <w:p w14:paraId="3ACB7AAB">
            <w:pPr>
              <w:keepNext w:val="0"/>
              <w:keepLines w:val="0"/>
              <w:suppressLineNumbers w:val="0"/>
              <w:adjustRightInd w:val="0"/>
              <w:snapToGrid w:val="0"/>
              <w:spacing w:before="0" w:beforeAutospacing="0" w:after="0" w:afterAutospacing="0"/>
              <w:ind w:left="0" w:right="0" w:firstLine="480"/>
              <w:rPr>
                <w:rFonts w:hint="default" w:ascii="Times New Roman" w:hAnsi="Times New Roman" w:cs="Times New Roman"/>
                <w:color w:val="auto"/>
              </w:rPr>
            </w:pPr>
            <w:r>
              <w:rPr>
                <w:rFonts w:hint="default" w:ascii="Times New Roman" w:hAnsi="Times New Roman" w:cs="Times New Roman"/>
                <w:color w:val="auto"/>
              </w:rPr>
              <w:t>根据建设单位提供的资料，</w:t>
            </w:r>
            <w:r>
              <w:rPr>
                <w:rFonts w:hint="eastAsia" w:cs="Times New Roman"/>
                <w:color w:val="auto"/>
                <w:lang w:val="en-US" w:eastAsia="zh-CN"/>
              </w:rPr>
              <w:t>建设项目</w:t>
            </w:r>
            <w:r>
              <w:rPr>
                <w:rFonts w:hint="default" w:ascii="Times New Roman" w:hAnsi="Times New Roman" w:cs="Times New Roman"/>
                <w:color w:val="auto"/>
              </w:rPr>
              <w:t>主要原辅料及能源见表2.1-</w:t>
            </w:r>
            <w:r>
              <w:rPr>
                <w:rFonts w:hint="eastAsia" w:cs="Times New Roman"/>
                <w:color w:val="auto"/>
                <w:lang w:val="en-US" w:eastAsia="zh-CN"/>
              </w:rPr>
              <w:t>5</w:t>
            </w:r>
            <w:r>
              <w:rPr>
                <w:rFonts w:hint="default" w:ascii="Times New Roman" w:hAnsi="Times New Roman" w:cs="Times New Roman"/>
                <w:color w:val="auto"/>
              </w:rPr>
              <w:t>，</w:t>
            </w:r>
            <w:r>
              <w:rPr>
                <w:rFonts w:hint="eastAsia" w:cs="Times New Roman"/>
                <w:color w:val="auto"/>
                <w:lang w:val="en-US" w:eastAsia="zh-CN"/>
              </w:rPr>
              <w:t>建设项目</w:t>
            </w:r>
            <w:r>
              <w:rPr>
                <w:rFonts w:hint="default" w:ascii="Times New Roman" w:hAnsi="Times New Roman" w:cs="Times New Roman"/>
                <w:color w:val="auto"/>
              </w:rPr>
              <w:t>主要原辅料理化性质见表2.1-</w:t>
            </w:r>
            <w:r>
              <w:rPr>
                <w:rFonts w:hint="default" w:ascii="Times New Roman" w:hAnsi="Times New Roman" w:cs="Times New Roman"/>
                <w:color w:val="auto"/>
                <w:lang w:val="en-US" w:eastAsia="zh-CN"/>
              </w:rPr>
              <w:t>6</w:t>
            </w:r>
            <w:r>
              <w:rPr>
                <w:rFonts w:hint="default" w:ascii="Times New Roman" w:hAnsi="Times New Roman" w:cs="Times New Roman"/>
                <w:color w:val="auto"/>
              </w:rPr>
              <w:t>。</w:t>
            </w:r>
          </w:p>
          <w:p w14:paraId="3D228A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b/>
                <w:bCs/>
                <w:color w:val="auto"/>
              </w:rPr>
            </w:pPr>
            <w:bookmarkStart w:id="9" w:name="_Hlk128571647"/>
            <w:r>
              <w:rPr>
                <w:rFonts w:hint="default" w:ascii="Times New Roman" w:hAnsi="Times New Roman" w:eastAsia="宋体"/>
                <w:b/>
                <w:bCs/>
                <w:color w:val="auto"/>
              </w:rPr>
              <w:t>表</w:t>
            </w:r>
            <w:r>
              <w:rPr>
                <w:rFonts w:hint="default" w:ascii="Times New Roman" w:hAnsi="Times New Roman" w:eastAsia="宋体"/>
                <w:b/>
                <w:bCs/>
                <w:color w:val="auto"/>
                <w:lang w:val="en-US" w:eastAsia="zh-CN"/>
              </w:rPr>
              <w:t>2</w:t>
            </w:r>
            <w:r>
              <w:rPr>
                <w:rFonts w:hint="eastAsia"/>
                <w:b/>
                <w:bCs/>
                <w:color w:val="auto"/>
                <w:lang w:val="en-US" w:eastAsia="zh-CN"/>
              </w:rPr>
              <w:t>.1-5</w:t>
            </w:r>
            <w:r>
              <w:rPr>
                <w:rFonts w:hint="default" w:ascii="Times New Roman" w:hAnsi="Times New Roman" w:eastAsia="宋体"/>
                <w:b/>
                <w:bCs/>
                <w:color w:val="auto"/>
              </w:rPr>
              <w:t xml:space="preserve">  </w:t>
            </w:r>
            <w:r>
              <w:rPr>
                <w:rFonts w:hint="default" w:ascii="Times New Roman" w:hAnsi="Times New Roman" w:eastAsia="宋体"/>
                <w:b/>
                <w:bCs/>
                <w:color w:val="auto"/>
                <w:lang w:eastAsia="zh-CN"/>
              </w:rPr>
              <w:t>实验室基本用品、</w:t>
            </w:r>
            <w:r>
              <w:rPr>
                <w:rFonts w:hint="default" w:ascii="Times New Roman" w:hAnsi="Times New Roman" w:eastAsia="宋体"/>
                <w:b/>
                <w:bCs/>
                <w:color w:val="auto"/>
              </w:rPr>
              <w:t>主要原辅材料</w:t>
            </w:r>
            <w:r>
              <w:rPr>
                <w:rFonts w:hint="default" w:ascii="Times New Roman" w:hAnsi="Times New Roman" w:eastAsia="宋体"/>
                <w:b/>
                <w:bCs/>
                <w:color w:val="auto"/>
                <w:lang w:eastAsia="zh-CN"/>
              </w:rPr>
              <w:t>（试剂）</w:t>
            </w:r>
            <w:r>
              <w:rPr>
                <w:rFonts w:hint="default" w:ascii="Times New Roman" w:hAnsi="Times New Roman" w:eastAsia="宋体"/>
                <w:b/>
                <w:bCs/>
                <w:color w:val="auto"/>
              </w:rPr>
              <w:t>表</w:t>
            </w:r>
            <w:bookmarkEnd w:id="9"/>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4335"/>
              <w:gridCol w:w="804"/>
              <w:gridCol w:w="2072"/>
              <w:gridCol w:w="1156"/>
            </w:tblGrid>
            <w:tr w14:paraId="671FE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E1F7C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kern w:val="0"/>
                      <w:sz w:val="18"/>
                      <w:szCs w:val="18"/>
                      <w:lang w:bidi="ar"/>
                    </w:rPr>
                    <w:t>名称</w:t>
                  </w:r>
                </w:p>
              </w:tc>
              <w:tc>
                <w:tcPr>
                  <w:tcW w:w="480" w:type="pct"/>
                  <w:tcBorders>
                    <w:tl2br w:val="nil"/>
                    <w:tr2bl w:val="nil"/>
                  </w:tcBorders>
                  <w:shd w:val="clear" w:color="auto" w:fill="auto"/>
                  <w:noWrap/>
                  <w:tcMar>
                    <w:top w:w="12" w:type="dxa"/>
                    <w:left w:w="12" w:type="dxa"/>
                    <w:right w:w="12" w:type="dxa"/>
                  </w:tcMar>
                  <w:vAlign w:val="center"/>
                </w:tcPr>
                <w:p w14:paraId="4DE3C0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kern w:val="0"/>
                      <w:sz w:val="18"/>
                      <w:szCs w:val="18"/>
                      <w:lang w:bidi="ar"/>
                    </w:rPr>
                    <w:t>单位</w:t>
                  </w:r>
                </w:p>
              </w:tc>
              <w:tc>
                <w:tcPr>
                  <w:tcW w:w="1238" w:type="pct"/>
                  <w:tcBorders>
                    <w:tl2br w:val="nil"/>
                    <w:tr2bl w:val="nil"/>
                  </w:tcBorders>
                  <w:shd w:val="clear" w:color="auto" w:fill="auto"/>
                  <w:noWrap/>
                  <w:tcMar>
                    <w:top w:w="12" w:type="dxa"/>
                    <w:left w:w="12" w:type="dxa"/>
                    <w:right w:w="12" w:type="dxa"/>
                  </w:tcMar>
                  <w:vAlign w:val="center"/>
                </w:tcPr>
                <w:p w14:paraId="00CC4D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kern w:val="0"/>
                      <w:sz w:val="18"/>
                      <w:szCs w:val="18"/>
                      <w:lang w:bidi="ar"/>
                    </w:rPr>
                    <w:t>规格</w:t>
                  </w:r>
                </w:p>
              </w:tc>
              <w:tc>
                <w:tcPr>
                  <w:tcW w:w="691" w:type="pct"/>
                  <w:tcBorders>
                    <w:tl2br w:val="nil"/>
                    <w:tr2bl w:val="nil"/>
                  </w:tcBorders>
                  <w:shd w:val="clear" w:color="auto" w:fill="auto"/>
                  <w:noWrap/>
                  <w:tcMar>
                    <w:top w:w="12" w:type="dxa"/>
                    <w:left w:w="12" w:type="dxa"/>
                    <w:right w:w="12" w:type="dxa"/>
                  </w:tcMar>
                  <w:vAlign w:val="center"/>
                </w:tcPr>
                <w:p w14:paraId="26F335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kern w:val="0"/>
                      <w:sz w:val="18"/>
                      <w:szCs w:val="18"/>
                      <w:lang w:bidi="ar"/>
                    </w:rPr>
                    <w:t>数量</w:t>
                  </w:r>
                </w:p>
              </w:tc>
            </w:tr>
            <w:tr w14:paraId="1C9D4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C4944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有机离心管架（多种规格）</w:t>
                  </w:r>
                </w:p>
              </w:tc>
              <w:tc>
                <w:tcPr>
                  <w:tcW w:w="480" w:type="pct"/>
                  <w:tcBorders>
                    <w:tl2br w:val="nil"/>
                    <w:tr2bl w:val="nil"/>
                  </w:tcBorders>
                  <w:shd w:val="clear" w:color="auto" w:fill="auto"/>
                  <w:noWrap/>
                  <w:tcMar>
                    <w:top w:w="12" w:type="dxa"/>
                    <w:left w:w="12" w:type="dxa"/>
                    <w:right w:w="12" w:type="dxa"/>
                  </w:tcMar>
                  <w:vAlign w:val="center"/>
                </w:tcPr>
                <w:p w14:paraId="0F12E6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13D5A5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5ml  24孔</w:t>
                  </w:r>
                </w:p>
              </w:tc>
              <w:tc>
                <w:tcPr>
                  <w:tcW w:w="691" w:type="pct"/>
                  <w:tcBorders>
                    <w:tl2br w:val="nil"/>
                    <w:tr2bl w:val="nil"/>
                  </w:tcBorders>
                  <w:shd w:val="clear" w:color="auto" w:fill="auto"/>
                  <w:noWrap/>
                  <w:tcMar>
                    <w:top w:w="12" w:type="dxa"/>
                    <w:left w:w="12" w:type="dxa"/>
                    <w:right w:w="12" w:type="dxa"/>
                  </w:tcMar>
                  <w:vAlign w:val="center"/>
                </w:tcPr>
                <w:p w14:paraId="5DFE5C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w:t>
                  </w:r>
                </w:p>
              </w:tc>
            </w:tr>
            <w:tr w14:paraId="64886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ADD56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有机离心管架（多种规格）</w:t>
                  </w:r>
                </w:p>
              </w:tc>
              <w:tc>
                <w:tcPr>
                  <w:tcW w:w="480" w:type="pct"/>
                  <w:tcBorders>
                    <w:tl2br w:val="nil"/>
                    <w:tr2bl w:val="nil"/>
                  </w:tcBorders>
                  <w:shd w:val="clear" w:color="auto" w:fill="auto"/>
                  <w:noWrap/>
                  <w:tcMar>
                    <w:top w:w="12" w:type="dxa"/>
                    <w:left w:w="12" w:type="dxa"/>
                    <w:right w:w="12" w:type="dxa"/>
                  </w:tcMar>
                  <w:vAlign w:val="center"/>
                </w:tcPr>
                <w:p w14:paraId="1EF363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1460F8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10ml  18孔</w:t>
                  </w:r>
                </w:p>
              </w:tc>
              <w:tc>
                <w:tcPr>
                  <w:tcW w:w="691" w:type="pct"/>
                  <w:tcBorders>
                    <w:tl2br w:val="nil"/>
                    <w:tr2bl w:val="nil"/>
                  </w:tcBorders>
                  <w:shd w:val="clear" w:color="auto" w:fill="auto"/>
                  <w:noWrap/>
                  <w:tcMar>
                    <w:top w:w="12" w:type="dxa"/>
                    <w:left w:w="12" w:type="dxa"/>
                    <w:right w:w="12" w:type="dxa"/>
                  </w:tcMar>
                  <w:vAlign w:val="center"/>
                </w:tcPr>
                <w:p w14:paraId="37AC1F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w:t>
                  </w:r>
                </w:p>
              </w:tc>
            </w:tr>
            <w:tr w14:paraId="0B365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D21A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有机离心管架（多种规格）</w:t>
                  </w:r>
                </w:p>
              </w:tc>
              <w:tc>
                <w:tcPr>
                  <w:tcW w:w="480" w:type="pct"/>
                  <w:tcBorders>
                    <w:tl2br w:val="nil"/>
                    <w:tr2bl w:val="nil"/>
                  </w:tcBorders>
                  <w:shd w:val="clear" w:color="auto" w:fill="auto"/>
                  <w:noWrap/>
                  <w:tcMar>
                    <w:top w:w="12" w:type="dxa"/>
                    <w:left w:w="12" w:type="dxa"/>
                    <w:right w:w="12" w:type="dxa"/>
                  </w:tcMar>
                  <w:vAlign w:val="center"/>
                </w:tcPr>
                <w:p w14:paraId="7657D1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286786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15ml  18孔</w:t>
                  </w:r>
                </w:p>
              </w:tc>
              <w:tc>
                <w:tcPr>
                  <w:tcW w:w="691" w:type="pct"/>
                  <w:tcBorders>
                    <w:tl2br w:val="nil"/>
                    <w:tr2bl w:val="nil"/>
                  </w:tcBorders>
                  <w:shd w:val="clear" w:color="auto" w:fill="auto"/>
                  <w:noWrap/>
                  <w:tcMar>
                    <w:top w:w="12" w:type="dxa"/>
                    <w:left w:w="12" w:type="dxa"/>
                    <w:right w:w="12" w:type="dxa"/>
                  </w:tcMar>
                  <w:vAlign w:val="center"/>
                </w:tcPr>
                <w:p w14:paraId="5F82D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w:t>
                  </w:r>
                </w:p>
              </w:tc>
            </w:tr>
            <w:tr w14:paraId="51FD8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36A62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有机离心管架（多种规格）</w:t>
                  </w:r>
                </w:p>
              </w:tc>
              <w:tc>
                <w:tcPr>
                  <w:tcW w:w="480" w:type="pct"/>
                  <w:tcBorders>
                    <w:tl2br w:val="nil"/>
                    <w:tr2bl w:val="nil"/>
                  </w:tcBorders>
                  <w:shd w:val="clear" w:color="auto" w:fill="auto"/>
                  <w:noWrap/>
                  <w:tcMar>
                    <w:top w:w="12" w:type="dxa"/>
                    <w:left w:w="12" w:type="dxa"/>
                    <w:right w:w="12" w:type="dxa"/>
                  </w:tcMar>
                  <w:vAlign w:val="center"/>
                </w:tcPr>
                <w:p w14:paraId="3968E7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78247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50ml  8孔</w:t>
                  </w:r>
                </w:p>
              </w:tc>
              <w:tc>
                <w:tcPr>
                  <w:tcW w:w="691" w:type="pct"/>
                  <w:tcBorders>
                    <w:tl2br w:val="nil"/>
                    <w:tr2bl w:val="nil"/>
                  </w:tcBorders>
                  <w:shd w:val="clear" w:color="auto" w:fill="auto"/>
                  <w:noWrap/>
                  <w:tcMar>
                    <w:top w:w="12" w:type="dxa"/>
                    <w:left w:w="12" w:type="dxa"/>
                    <w:right w:w="12" w:type="dxa"/>
                  </w:tcMar>
                  <w:vAlign w:val="center"/>
                </w:tcPr>
                <w:p w14:paraId="7584A6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w:t>
                  </w:r>
                </w:p>
              </w:tc>
            </w:tr>
            <w:tr w14:paraId="3E900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227E5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进口蓝盖试剂瓶</w:t>
                  </w:r>
                  <w:r>
                    <w:rPr>
                      <w:rStyle w:val="48"/>
                      <w:rFonts w:hint="default" w:ascii="Times New Roman" w:hAnsi="Times New Roman" w:eastAsia="宋体" w:cs="Times New Roman"/>
                      <w:color w:val="auto"/>
                      <w:sz w:val="18"/>
                      <w:szCs w:val="18"/>
                      <w:lang w:bidi="ar"/>
                    </w:rPr>
                    <w:t xml:space="preserve"> 25ml</w:t>
                  </w:r>
                </w:p>
              </w:tc>
              <w:tc>
                <w:tcPr>
                  <w:tcW w:w="480" w:type="pct"/>
                  <w:tcBorders>
                    <w:tl2br w:val="nil"/>
                    <w:tr2bl w:val="nil"/>
                  </w:tcBorders>
                  <w:shd w:val="clear" w:color="auto" w:fill="auto"/>
                  <w:noWrap/>
                  <w:tcMar>
                    <w:top w:w="12" w:type="dxa"/>
                    <w:left w:w="12" w:type="dxa"/>
                    <w:right w:w="12" w:type="dxa"/>
                  </w:tcMar>
                  <w:vAlign w:val="center"/>
                </w:tcPr>
                <w:p w14:paraId="589C15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04CA62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25ml</w:t>
                  </w:r>
                </w:p>
              </w:tc>
              <w:tc>
                <w:tcPr>
                  <w:tcW w:w="691" w:type="pct"/>
                  <w:tcBorders>
                    <w:tl2br w:val="nil"/>
                    <w:tr2bl w:val="nil"/>
                  </w:tcBorders>
                  <w:shd w:val="clear" w:color="auto" w:fill="auto"/>
                  <w:noWrap/>
                  <w:tcMar>
                    <w:top w:w="12" w:type="dxa"/>
                    <w:left w:w="12" w:type="dxa"/>
                    <w:right w:w="12" w:type="dxa"/>
                  </w:tcMar>
                  <w:vAlign w:val="center"/>
                </w:tcPr>
                <w:p w14:paraId="0E1974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r>
            <w:tr w14:paraId="67DA5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9D45D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进口蓝盖试剂瓶</w:t>
                  </w:r>
                  <w:r>
                    <w:rPr>
                      <w:rStyle w:val="48"/>
                      <w:rFonts w:hint="default" w:ascii="Times New Roman" w:hAnsi="Times New Roman" w:eastAsia="宋体" w:cs="Times New Roman"/>
                      <w:color w:val="auto"/>
                      <w:sz w:val="18"/>
                      <w:szCs w:val="18"/>
                      <w:lang w:bidi="ar"/>
                    </w:rPr>
                    <w:t xml:space="preserve"> 50ml</w:t>
                  </w:r>
                </w:p>
              </w:tc>
              <w:tc>
                <w:tcPr>
                  <w:tcW w:w="480" w:type="pct"/>
                  <w:tcBorders>
                    <w:tl2br w:val="nil"/>
                    <w:tr2bl w:val="nil"/>
                  </w:tcBorders>
                  <w:shd w:val="clear" w:color="auto" w:fill="auto"/>
                  <w:noWrap/>
                  <w:tcMar>
                    <w:top w:w="12" w:type="dxa"/>
                    <w:left w:w="12" w:type="dxa"/>
                    <w:right w:w="12" w:type="dxa"/>
                  </w:tcMar>
                  <w:vAlign w:val="center"/>
                </w:tcPr>
                <w:p w14:paraId="3D1308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251AC4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50ml</w:t>
                  </w:r>
                </w:p>
              </w:tc>
              <w:tc>
                <w:tcPr>
                  <w:tcW w:w="691" w:type="pct"/>
                  <w:tcBorders>
                    <w:tl2br w:val="nil"/>
                    <w:tr2bl w:val="nil"/>
                  </w:tcBorders>
                  <w:shd w:val="clear" w:color="auto" w:fill="auto"/>
                  <w:noWrap/>
                  <w:tcMar>
                    <w:top w:w="12" w:type="dxa"/>
                    <w:left w:w="12" w:type="dxa"/>
                    <w:right w:w="12" w:type="dxa"/>
                  </w:tcMar>
                  <w:vAlign w:val="center"/>
                </w:tcPr>
                <w:p w14:paraId="41B359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r>
            <w:tr w14:paraId="307CB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57B9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进口蓝盖试剂瓶</w:t>
                  </w:r>
                  <w:r>
                    <w:rPr>
                      <w:rStyle w:val="48"/>
                      <w:rFonts w:hint="default" w:ascii="Times New Roman" w:hAnsi="Times New Roman" w:eastAsia="宋体" w:cs="Times New Roman"/>
                      <w:color w:val="auto"/>
                      <w:sz w:val="18"/>
                      <w:szCs w:val="18"/>
                      <w:lang w:bidi="ar"/>
                    </w:rPr>
                    <w:t xml:space="preserve"> 100ml</w:t>
                  </w:r>
                </w:p>
              </w:tc>
              <w:tc>
                <w:tcPr>
                  <w:tcW w:w="480" w:type="pct"/>
                  <w:tcBorders>
                    <w:tl2br w:val="nil"/>
                    <w:tr2bl w:val="nil"/>
                  </w:tcBorders>
                  <w:shd w:val="clear" w:color="auto" w:fill="auto"/>
                  <w:noWrap/>
                  <w:tcMar>
                    <w:top w:w="12" w:type="dxa"/>
                    <w:left w:w="12" w:type="dxa"/>
                    <w:right w:w="12" w:type="dxa"/>
                  </w:tcMar>
                  <w:vAlign w:val="center"/>
                </w:tcPr>
                <w:p w14:paraId="66B832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7AD9C4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100ml</w:t>
                  </w:r>
                </w:p>
              </w:tc>
              <w:tc>
                <w:tcPr>
                  <w:tcW w:w="691" w:type="pct"/>
                  <w:tcBorders>
                    <w:tl2br w:val="nil"/>
                    <w:tr2bl w:val="nil"/>
                  </w:tcBorders>
                  <w:shd w:val="clear" w:color="auto" w:fill="auto"/>
                  <w:noWrap/>
                  <w:tcMar>
                    <w:top w:w="12" w:type="dxa"/>
                    <w:left w:w="12" w:type="dxa"/>
                    <w:right w:w="12" w:type="dxa"/>
                  </w:tcMar>
                  <w:vAlign w:val="center"/>
                </w:tcPr>
                <w:p w14:paraId="74AD1B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r>
            <w:tr w14:paraId="7074D3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81D90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进口蓝盖试剂瓶</w:t>
                  </w:r>
                  <w:r>
                    <w:rPr>
                      <w:rStyle w:val="48"/>
                      <w:rFonts w:hint="default" w:ascii="Times New Roman" w:hAnsi="Times New Roman" w:eastAsia="宋体" w:cs="Times New Roman"/>
                      <w:color w:val="auto"/>
                      <w:sz w:val="18"/>
                      <w:szCs w:val="18"/>
                      <w:lang w:bidi="ar"/>
                    </w:rPr>
                    <w:t xml:space="preserve"> 250ml</w:t>
                  </w:r>
                </w:p>
              </w:tc>
              <w:tc>
                <w:tcPr>
                  <w:tcW w:w="480" w:type="pct"/>
                  <w:tcBorders>
                    <w:tl2br w:val="nil"/>
                    <w:tr2bl w:val="nil"/>
                  </w:tcBorders>
                  <w:shd w:val="clear" w:color="auto" w:fill="auto"/>
                  <w:noWrap/>
                  <w:tcMar>
                    <w:top w:w="12" w:type="dxa"/>
                    <w:left w:w="12" w:type="dxa"/>
                    <w:right w:w="12" w:type="dxa"/>
                  </w:tcMar>
                  <w:vAlign w:val="center"/>
                </w:tcPr>
                <w:p w14:paraId="1DBF68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32AC62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250ml</w:t>
                  </w:r>
                </w:p>
              </w:tc>
              <w:tc>
                <w:tcPr>
                  <w:tcW w:w="691" w:type="pct"/>
                  <w:tcBorders>
                    <w:tl2br w:val="nil"/>
                    <w:tr2bl w:val="nil"/>
                  </w:tcBorders>
                  <w:shd w:val="clear" w:color="auto" w:fill="auto"/>
                  <w:noWrap/>
                  <w:tcMar>
                    <w:top w:w="12" w:type="dxa"/>
                    <w:left w:w="12" w:type="dxa"/>
                    <w:right w:w="12" w:type="dxa"/>
                  </w:tcMar>
                  <w:vAlign w:val="center"/>
                </w:tcPr>
                <w:p w14:paraId="463498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r>
            <w:tr w14:paraId="5DAF1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3FE77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进口蓝盖试剂瓶</w:t>
                  </w:r>
                  <w:r>
                    <w:rPr>
                      <w:rStyle w:val="48"/>
                      <w:rFonts w:hint="default" w:ascii="Times New Roman" w:hAnsi="Times New Roman" w:eastAsia="宋体" w:cs="Times New Roman"/>
                      <w:color w:val="auto"/>
                      <w:sz w:val="18"/>
                      <w:szCs w:val="18"/>
                      <w:lang w:bidi="ar"/>
                    </w:rPr>
                    <w:t xml:space="preserve"> 500ml</w:t>
                  </w:r>
                </w:p>
              </w:tc>
              <w:tc>
                <w:tcPr>
                  <w:tcW w:w="480" w:type="pct"/>
                  <w:tcBorders>
                    <w:tl2br w:val="nil"/>
                    <w:tr2bl w:val="nil"/>
                  </w:tcBorders>
                  <w:shd w:val="clear" w:color="auto" w:fill="auto"/>
                  <w:noWrap/>
                  <w:tcMar>
                    <w:top w:w="12" w:type="dxa"/>
                    <w:left w:w="12" w:type="dxa"/>
                    <w:right w:w="12" w:type="dxa"/>
                  </w:tcMar>
                  <w:vAlign w:val="center"/>
                </w:tcPr>
                <w:p w14:paraId="440C7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0BFDD0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42D743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r>
            <w:tr w14:paraId="7906A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D50B3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进口蓝盖试剂瓶</w:t>
                  </w:r>
                  <w:r>
                    <w:rPr>
                      <w:rStyle w:val="48"/>
                      <w:rFonts w:hint="default" w:ascii="Times New Roman" w:hAnsi="Times New Roman" w:eastAsia="宋体" w:cs="Times New Roman"/>
                      <w:color w:val="auto"/>
                      <w:sz w:val="18"/>
                      <w:szCs w:val="18"/>
                      <w:lang w:bidi="ar"/>
                    </w:rPr>
                    <w:t xml:space="preserve"> 1000ml</w:t>
                  </w:r>
                </w:p>
              </w:tc>
              <w:tc>
                <w:tcPr>
                  <w:tcW w:w="480" w:type="pct"/>
                  <w:tcBorders>
                    <w:tl2br w:val="nil"/>
                    <w:tr2bl w:val="nil"/>
                  </w:tcBorders>
                  <w:shd w:val="clear" w:color="auto" w:fill="auto"/>
                  <w:noWrap/>
                  <w:tcMar>
                    <w:top w:w="12" w:type="dxa"/>
                    <w:left w:w="12" w:type="dxa"/>
                    <w:right w:w="12" w:type="dxa"/>
                  </w:tcMar>
                  <w:vAlign w:val="center"/>
                </w:tcPr>
                <w:p w14:paraId="7973E7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3149DA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1000ml</w:t>
                  </w:r>
                </w:p>
              </w:tc>
              <w:tc>
                <w:tcPr>
                  <w:tcW w:w="691" w:type="pct"/>
                  <w:tcBorders>
                    <w:tl2br w:val="nil"/>
                    <w:tr2bl w:val="nil"/>
                  </w:tcBorders>
                  <w:shd w:val="clear" w:color="auto" w:fill="auto"/>
                  <w:noWrap/>
                  <w:tcMar>
                    <w:top w:w="12" w:type="dxa"/>
                    <w:left w:w="12" w:type="dxa"/>
                    <w:right w:w="12" w:type="dxa"/>
                  </w:tcMar>
                  <w:vAlign w:val="center"/>
                </w:tcPr>
                <w:p w14:paraId="0AFA72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r>
            <w:tr w14:paraId="3042A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9B277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进口蓝盖试剂瓶</w:t>
                  </w:r>
                  <w:r>
                    <w:rPr>
                      <w:rStyle w:val="48"/>
                      <w:rFonts w:hint="default" w:ascii="Times New Roman" w:hAnsi="Times New Roman" w:eastAsia="宋体" w:cs="Times New Roman"/>
                      <w:color w:val="auto"/>
                      <w:sz w:val="18"/>
                      <w:szCs w:val="18"/>
                      <w:lang w:bidi="ar"/>
                    </w:rPr>
                    <w:t xml:space="preserve"> 2000ml</w:t>
                  </w:r>
                </w:p>
              </w:tc>
              <w:tc>
                <w:tcPr>
                  <w:tcW w:w="480" w:type="pct"/>
                  <w:tcBorders>
                    <w:tl2br w:val="nil"/>
                    <w:tr2bl w:val="nil"/>
                  </w:tcBorders>
                  <w:shd w:val="clear" w:color="auto" w:fill="auto"/>
                  <w:noWrap/>
                  <w:tcMar>
                    <w:top w:w="12" w:type="dxa"/>
                    <w:left w:w="12" w:type="dxa"/>
                    <w:right w:w="12" w:type="dxa"/>
                  </w:tcMar>
                  <w:vAlign w:val="center"/>
                </w:tcPr>
                <w:p w14:paraId="7EE355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074BD0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2000ml</w:t>
                  </w:r>
                </w:p>
              </w:tc>
              <w:tc>
                <w:tcPr>
                  <w:tcW w:w="691" w:type="pct"/>
                  <w:tcBorders>
                    <w:tl2br w:val="nil"/>
                    <w:tr2bl w:val="nil"/>
                  </w:tcBorders>
                  <w:shd w:val="clear" w:color="auto" w:fill="auto"/>
                  <w:noWrap/>
                  <w:tcMar>
                    <w:top w:w="12" w:type="dxa"/>
                    <w:left w:w="12" w:type="dxa"/>
                    <w:right w:w="12" w:type="dxa"/>
                  </w:tcMar>
                  <w:vAlign w:val="center"/>
                </w:tcPr>
                <w:p w14:paraId="46112E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r>
            <w:tr w14:paraId="058CF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C1D52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免洗盖玻片</w:t>
                  </w:r>
                  <w:r>
                    <w:rPr>
                      <w:rStyle w:val="48"/>
                      <w:rFonts w:hint="default" w:ascii="Times New Roman" w:hAnsi="Times New Roman" w:eastAsia="宋体" w:cs="Times New Roman"/>
                      <w:color w:val="auto"/>
                      <w:sz w:val="18"/>
                      <w:szCs w:val="18"/>
                      <w:lang w:bidi="ar"/>
                    </w:rPr>
                    <w:t xml:space="preserve"> </w:t>
                  </w:r>
                  <w:r>
                    <w:rPr>
                      <w:rFonts w:hint="default" w:ascii="Times New Roman" w:hAnsi="Times New Roman" w:eastAsia="宋体" w:cs="Times New Roman"/>
                      <w:color w:val="auto"/>
                      <w:kern w:val="0"/>
                      <w:sz w:val="18"/>
                      <w:szCs w:val="18"/>
                      <w:lang w:bidi="ar"/>
                    </w:rPr>
                    <w:t>（</w:t>
                  </w:r>
                  <w:r>
                    <w:rPr>
                      <w:rStyle w:val="48"/>
                      <w:rFonts w:hint="default" w:ascii="Times New Roman" w:hAnsi="Times New Roman" w:eastAsia="宋体" w:cs="Times New Roman"/>
                      <w:color w:val="auto"/>
                      <w:sz w:val="18"/>
                      <w:szCs w:val="18"/>
                      <w:lang w:bidi="ar"/>
                    </w:rPr>
                    <w:t>200</w:t>
                  </w:r>
                  <w:r>
                    <w:rPr>
                      <w:rFonts w:hint="default" w:ascii="Times New Roman" w:hAnsi="Times New Roman" w:eastAsia="宋体" w:cs="Times New Roman"/>
                      <w:color w:val="auto"/>
                      <w:kern w:val="0"/>
                      <w:sz w:val="18"/>
                      <w:szCs w:val="18"/>
                      <w:lang w:bidi="ar"/>
                    </w:rPr>
                    <w:t>片</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盒）</w:t>
                  </w:r>
                </w:p>
              </w:tc>
              <w:tc>
                <w:tcPr>
                  <w:tcW w:w="480" w:type="pct"/>
                  <w:tcBorders>
                    <w:tl2br w:val="nil"/>
                    <w:tr2bl w:val="nil"/>
                  </w:tcBorders>
                  <w:shd w:val="clear" w:color="auto" w:fill="auto"/>
                  <w:noWrap/>
                  <w:tcMar>
                    <w:top w:w="12" w:type="dxa"/>
                    <w:left w:w="12" w:type="dxa"/>
                    <w:right w:w="12" w:type="dxa"/>
                  </w:tcMar>
                  <w:vAlign w:val="center"/>
                </w:tcPr>
                <w:p w14:paraId="280820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3C78DE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24*24mm</w:t>
                  </w:r>
                </w:p>
              </w:tc>
              <w:tc>
                <w:tcPr>
                  <w:tcW w:w="691" w:type="pct"/>
                  <w:tcBorders>
                    <w:tl2br w:val="nil"/>
                    <w:tr2bl w:val="nil"/>
                  </w:tcBorders>
                  <w:shd w:val="clear" w:color="auto" w:fill="auto"/>
                  <w:noWrap/>
                  <w:tcMar>
                    <w:top w:w="12" w:type="dxa"/>
                    <w:left w:w="12" w:type="dxa"/>
                    <w:right w:w="12" w:type="dxa"/>
                  </w:tcMar>
                  <w:vAlign w:val="center"/>
                </w:tcPr>
                <w:p w14:paraId="68FA11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56A79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BAEE8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进口乳胶手套</w:t>
                  </w:r>
                  <w:r>
                    <w:rPr>
                      <w:rStyle w:val="48"/>
                      <w:rFonts w:hint="default" w:ascii="Times New Roman" w:hAnsi="Times New Roman" w:eastAsia="宋体" w:cs="Times New Roman"/>
                      <w:color w:val="auto"/>
                      <w:sz w:val="18"/>
                      <w:szCs w:val="18"/>
                      <w:lang w:bidi="ar"/>
                    </w:rPr>
                    <w:t>100</w:t>
                  </w:r>
                  <w:r>
                    <w:rPr>
                      <w:rFonts w:hint="default" w:ascii="Times New Roman" w:hAnsi="Times New Roman" w:eastAsia="宋体" w:cs="Times New Roman"/>
                      <w:color w:val="auto"/>
                      <w:kern w:val="0"/>
                      <w:sz w:val="18"/>
                      <w:szCs w:val="18"/>
                      <w:lang w:bidi="ar"/>
                    </w:rPr>
                    <w:t>只</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盒  中号</w:t>
                  </w:r>
                </w:p>
              </w:tc>
              <w:tc>
                <w:tcPr>
                  <w:tcW w:w="480" w:type="pct"/>
                  <w:tcBorders>
                    <w:tl2br w:val="nil"/>
                    <w:tr2bl w:val="nil"/>
                  </w:tcBorders>
                  <w:shd w:val="clear" w:color="auto" w:fill="auto"/>
                  <w:noWrap/>
                  <w:tcMar>
                    <w:top w:w="12" w:type="dxa"/>
                    <w:left w:w="12" w:type="dxa"/>
                    <w:right w:w="12" w:type="dxa"/>
                  </w:tcMar>
                  <w:vAlign w:val="center"/>
                </w:tcPr>
                <w:p w14:paraId="433A07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62FF0C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中号</w:t>
                  </w:r>
                </w:p>
              </w:tc>
              <w:tc>
                <w:tcPr>
                  <w:tcW w:w="691" w:type="pct"/>
                  <w:tcBorders>
                    <w:tl2br w:val="nil"/>
                    <w:tr2bl w:val="nil"/>
                  </w:tcBorders>
                  <w:shd w:val="clear" w:color="auto" w:fill="auto"/>
                  <w:noWrap/>
                  <w:tcMar>
                    <w:top w:w="12" w:type="dxa"/>
                    <w:left w:w="12" w:type="dxa"/>
                    <w:right w:w="12" w:type="dxa"/>
                  </w:tcMar>
                  <w:vAlign w:val="center"/>
                </w:tcPr>
                <w:p w14:paraId="2A6349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67488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1AA21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进口乳胶手套</w:t>
                  </w:r>
                  <w:r>
                    <w:rPr>
                      <w:rStyle w:val="48"/>
                      <w:rFonts w:hint="default" w:ascii="Times New Roman" w:hAnsi="Times New Roman" w:eastAsia="宋体" w:cs="Times New Roman"/>
                      <w:color w:val="auto"/>
                      <w:sz w:val="18"/>
                      <w:szCs w:val="18"/>
                      <w:lang w:bidi="ar"/>
                    </w:rPr>
                    <w:t>100</w:t>
                  </w:r>
                  <w:r>
                    <w:rPr>
                      <w:rFonts w:hint="default" w:ascii="Times New Roman" w:hAnsi="Times New Roman" w:eastAsia="宋体" w:cs="Times New Roman"/>
                      <w:color w:val="auto"/>
                      <w:kern w:val="0"/>
                      <w:sz w:val="18"/>
                      <w:szCs w:val="18"/>
                      <w:lang w:bidi="ar"/>
                    </w:rPr>
                    <w:t>只</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盒  大号</w:t>
                  </w:r>
                </w:p>
              </w:tc>
              <w:tc>
                <w:tcPr>
                  <w:tcW w:w="480" w:type="pct"/>
                  <w:tcBorders>
                    <w:tl2br w:val="nil"/>
                    <w:tr2bl w:val="nil"/>
                  </w:tcBorders>
                  <w:shd w:val="clear" w:color="auto" w:fill="auto"/>
                  <w:noWrap/>
                  <w:tcMar>
                    <w:top w:w="12" w:type="dxa"/>
                    <w:left w:w="12" w:type="dxa"/>
                    <w:right w:w="12" w:type="dxa"/>
                  </w:tcMar>
                  <w:vAlign w:val="center"/>
                </w:tcPr>
                <w:p w14:paraId="5225F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6C38CD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大号</w:t>
                  </w:r>
                </w:p>
              </w:tc>
              <w:tc>
                <w:tcPr>
                  <w:tcW w:w="691" w:type="pct"/>
                  <w:tcBorders>
                    <w:tl2br w:val="nil"/>
                    <w:tr2bl w:val="nil"/>
                  </w:tcBorders>
                  <w:shd w:val="clear" w:color="auto" w:fill="auto"/>
                  <w:noWrap/>
                  <w:tcMar>
                    <w:top w:w="12" w:type="dxa"/>
                    <w:left w:w="12" w:type="dxa"/>
                    <w:right w:w="12" w:type="dxa"/>
                  </w:tcMar>
                  <w:vAlign w:val="center"/>
                </w:tcPr>
                <w:p w14:paraId="34DA3C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60AA0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CDCE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一次性无粉</w:t>
                  </w:r>
                  <w:r>
                    <w:rPr>
                      <w:rStyle w:val="48"/>
                      <w:rFonts w:hint="default" w:ascii="Times New Roman" w:hAnsi="Times New Roman" w:eastAsia="宋体" w:cs="Times New Roman"/>
                      <w:color w:val="auto"/>
                      <w:sz w:val="18"/>
                      <w:szCs w:val="18"/>
                      <w:lang w:bidi="ar"/>
                    </w:rPr>
                    <w:t>PVC</w:t>
                  </w:r>
                  <w:r>
                    <w:rPr>
                      <w:rFonts w:hint="default" w:ascii="Times New Roman" w:hAnsi="Times New Roman" w:eastAsia="宋体" w:cs="Times New Roman"/>
                      <w:color w:val="auto"/>
                      <w:kern w:val="0"/>
                      <w:sz w:val="18"/>
                      <w:szCs w:val="18"/>
                      <w:lang w:bidi="ar"/>
                    </w:rPr>
                    <w:t>手套 大号</w:t>
                  </w:r>
                </w:p>
              </w:tc>
              <w:tc>
                <w:tcPr>
                  <w:tcW w:w="480" w:type="pct"/>
                  <w:tcBorders>
                    <w:tl2br w:val="nil"/>
                    <w:tr2bl w:val="nil"/>
                  </w:tcBorders>
                  <w:shd w:val="clear" w:color="auto" w:fill="auto"/>
                  <w:noWrap/>
                  <w:tcMar>
                    <w:top w:w="12" w:type="dxa"/>
                    <w:left w:w="12" w:type="dxa"/>
                    <w:right w:w="12" w:type="dxa"/>
                  </w:tcMar>
                  <w:vAlign w:val="center"/>
                </w:tcPr>
                <w:p w14:paraId="60EBC5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650DFF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大号</w:t>
                  </w:r>
                </w:p>
              </w:tc>
              <w:tc>
                <w:tcPr>
                  <w:tcW w:w="691" w:type="pct"/>
                  <w:tcBorders>
                    <w:tl2br w:val="nil"/>
                    <w:tr2bl w:val="nil"/>
                  </w:tcBorders>
                  <w:shd w:val="clear" w:color="auto" w:fill="auto"/>
                  <w:noWrap/>
                  <w:tcMar>
                    <w:top w:w="12" w:type="dxa"/>
                    <w:left w:w="12" w:type="dxa"/>
                    <w:right w:w="12" w:type="dxa"/>
                  </w:tcMar>
                  <w:vAlign w:val="center"/>
                </w:tcPr>
                <w:p w14:paraId="522F93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2798C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00D52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一次性无粉</w:t>
                  </w:r>
                  <w:r>
                    <w:rPr>
                      <w:rStyle w:val="48"/>
                      <w:rFonts w:hint="default" w:ascii="Times New Roman" w:hAnsi="Times New Roman" w:eastAsia="宋体" w:cs="Times New Roman"/>
                      <w:color w:val="auto"/>
                      <w:sz w:val="18"/>
                      <w:szCs w:val="18"/>
                      <w:lang w:bidi="ar"/>
                    </w:rPr>
                    <w:t>PVC</w:t>
                  </w:r>
                  <w:r>
                    <w:rPr>
                      <w:rFonts w:hint="default" w:ascii="Times New Roman" w:hAnsi="Times New Roman" w:eastAsia="宋体" w:cs="Times New Roman"/>
                      <w:color w:val="auto"/>
                      <w:kern w:val="0"/>
                      <w:sz w:val="18"/>
                      <w:szCs w:val="18"/>
                      <w:lang w:bidi="ar"/>
                    </w:rPr>
                    <w:t>手套 中号</w:t>
                  </w:r>
                </w:p>
              </w:tc>
              <w:tc>
                <w:tcPr>
                  <w:tcW w:w="480" w:type="pct"/>
                  <w:tcBorders>
                    <w:tl2br w:val="nil"/>
                    <w:tr2bl w:val="nil"/>
                  </w:tcBorders>
                  <w:shd w:val="clear" w:color="auto" w:fill="auto"/>
                  <w:noWrap/>
                  <w:tcMar>
                    <w:top w:w="12" w:type="dxa"/>
                    <w:left w:w="12" w:type="dxa"/>
                    <w:right w:w="12" w:type="dxa"/>
                  </w:tcMar>
                  <w:vAlign w:val="center"/>
                </w:tcPr>
                <w:p w14:paraId="127E94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07DA72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中号</w:t>
                  </w:r>
                </w:p>
              </w:tc>
              <w:tc>
                <w:tcPr>
                  <w:tcW w:w="691" w:type="pct"/>
                  <w:tcBorders>
                    <w:tl2br w:val="nil"/>
                    <w:tr2bl w:val="nil"/>
                  </w:tcBorders>
                  <w:shd w:val="clear" w:color="auto" w:fill="auto"/>
                  <w:noWrap/>
                  <w:tcMar>
                    <w:top w:w="12" w:type="dxa"/>
                    <w:left w:w="12" w:type="dxa"/>
                    <w:right w:w="12" w:type="dxa"/>
                  </w:tcMar>
                  <w:vAlign w:val="center"/>
                </w:tcPr>
                <w:p w14:paraId="54AE9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2074C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A7214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一次性无粉</w:t>
                  </w:r>
                  <w:r>
                    <w:rPr>
                      <w:rStyle w:val="48"/>
                      <w:rFonts w:hint="default" w:ascii="Times New Roman" w:hAnsi="Times New Roman" w:eastAsia="宋体" w:cs="Times New Roman"/>
                      <w:color w:val="auto"/>
                      <w:sz w:val="18"/>
                      <w:szCs w:val="18"/>
                      <w:lang w:bidi="ar"/>
                    </w:rPr>
                    <w:t>PVC</w:t>
                  </w:r>
                  <w:r>
                    <w:rPr>
                      <w:rFonts w:hint="default" w:ascii="Times New Roman" w:hAnsi="Times New Roman" w:eastAsia="宋体" w:cs="Times New Roman"/>
                      <w:color w:val="auto"/>
                      <w:kern w:val="0"/>
                      <w:sz w:val="18"/>
                      <w:szCs w:val="18"/>
                      <w:lang w:bidi="ar"/>
                    </w:rPr>
                    <w:t>手套 小号</w:t>
                  </w:r>
                </w:p>
              </w:tc>
              <w:tc>
                <w:tcPr>
                  <w:tcW w:w="480" w:type="pct"/>
                  <w:tcBorders>
                    <w:tl2br w:val="nil"/>
                    <w:tr2bl w:val="nil"/>
                  </w:tcBorders>
                  <w:shd w:val="clear" w:color="auto" w:fill="auto"/>
                  <w:noWrap/>
                  <w:tcMar>
                    <w:top w:w="12" w:type="dxa"/>
                    <w:left w:w="12" w:type="dxa"/>
                    <w:right w:w="12" w:type="dxa"/>
                  </w:tcMar>
                  <w:vAlign w:val="center"/>
                </w:tcPr>
                <w:p w14:paraId="683325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627C5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小号</w:t>
                  </w:r>
                </w:p>
              </w:tc>
              <w:tc>
                <w:tcPr>
                  <w:tcW w:w="691" w:type="pct"/>
                  <w:tcBorders>
                    <w:tl2br w:val="nil"/>
                    <w:tr2bl w:val="nil"/>
                  </w:tcBorders>
                  <w:shd w:val="clear" w:color="auto" w:fill="auto"/>
                  <w:noWrap/>
                  <w:tcMar>
                    <w:top w:w="12" w:type="dxa"/>
                    <w:left w:w="12" w:type="dxa"/>
                    <w:right w:w="12" w:type="dxa"/>
                  </w:tcMar>
                  <w:vAlign w:val="center"/>
                </w:tcPr>
                <w:p w14:paraId="243FEF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21ACF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692A5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称量纸</w:t>
                  </w:r>
                  <w:r>
                    <w:rPr>
                      <w:rStyle w:val="48"/>
                      <w:rFonts w:hint="default" w:ascii="Times New Roman" w:hAnsi="Times New Roman" w:eastAsia="宋体" w:cs="Times New Roman"/>
                      <w:color w:val="auto"/>
                      <w:sz w:val="18"/>
                      <w:szCs w:val="18"/>
                      <w:lang w:bidi="ar"/>
                    </w:rPr>
                    <w:t xml:space="preserve"> 75×75mm</w:t>
                  </w:r>
                </w:p>
              </w:tc>
              <w:tc>
                <w:tcPr>
                  <w:tcW w:w="480" w:type="pct"/>
                  <w:tcBorders>
                    <w:tl2br w:val="nil"/>
                    <w:tr2bl w:val="nil"/>
                  </w:tcBorders>
                  <w:shd w:val="clear" w:color="auto" w:fill="auto"/>
                  <w:noWrap/>
                  <w:tcMar>
                    <w:top w:w="12" w:type="dxa"/>
                    <w:left w:w="12" w:type="dxa"/>
                    <w:right w:w="12" w:type="dxa"/>
                  </w:tcMar>
                  <w:vAlign w:val="center"/>
                </w:tcPr>
                <w:p w14:paraId="1DA07C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224DCE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75×75</w:t>
                  </w:r>
                </w:p>
              </w:tc>
              <w:tc>
                <w:tcPr>
                  <w:tcW w:w="691" w:type="pct"/>
                  <w:tcBorders>
                    <w:tl2br w:val="nil"/>
                    <w:tr2bl w:val="nil"/>
                  </w:tcBorders>
                  <w:shd w:val="clear" w:color="auto" w:fill="auto"/>
                  <w:noWrap/>
                  <w:tcMar>
                    <w:top w:w="12" w:type="dxa"/>
                    <w:left w:w="12" w:type="dxa"/>
                    <w:right w:w="12" w:type="dxa"/>
                  </w:tcMar>
                  <w:vAlign w:val="center"/>
                </w:tcPr>
                <w:p w14:paraId="0CB70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31C50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896AF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称量纸</w:t>
                  </w:r>
                  <w:r>
                    <w:rPr>
                      <w:rStyle w:val="48"/>
                      <w:rFonts w:hint="default" w:ascii="Times New Roman" w:hAnsi="Times New Roman" w:eastAsia="宋体" w:cs="Times New Roman"/>
                      <w:color w:val="auto"/>
                      <w:sz w:val="18"/>
                      <w:szCs w:val="18"/>
                      <w:lang w:bidi="ar"/>
                    </w:rPr>
                    <w:t xml:space="preserve"> 100×100mm</w:t>
                  </w:r>
                </w:p>
              </w:tc>
              <w:tc>
                <w:tcPr>
                  <w:tcW w:w="480" w:type="pct"/>
                  <w:tcBorders>
                    <w:tl2br w:val="nil"/>
                    <w:tr2bl w:val="nil"/>
                  </w:tcBorders>
                  <w:shd w:val="clear" w:color="auto" w:fill="auto"/>
                  <w:noWrap/>
                  <w:tcMar>
                    <w:top w:w="12" w:type="dxa"/>
                    <w:left w:w="12" w:type="dxa"/>
                    <w:right w:w="12" w:type="dxa"/>
                  </w:tcMar>
                  <w:vAlign w:val="center"/>
                </w:tcPr>
                <w:p w14:paraId="173E15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190CF4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100×100</w:t>
                  </w:r>
                </w:p>
              </w:tc>
              <w:tc>
                <w:tcPr>
                  <w:tcW w:w="691" w:type="pct"/>
                  <w:tcBorders>
                    <w:tl2br w:val="nil"/>
                    <w:tr2bl w:val="nil"/>
                  </w:tcBorders>
                  <w:shd w:val="clear" w:color="auto" w:fill="auto"/>
                  <w:noWrap/>
                  <w:tcMar>
                    <w:top w:w="12" w:type="dxa"/>
                    <w:left w:w="12" w:type="dxa"/>
                    <w:right w:w="12" w:type="dxa"/>
                  </w:tcMar>
                  <w:vAlign w:val="center"/>
                </w:tcPr>
                <w:p w14:paraId="2A5118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464F6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9B8F6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pH试纸 </w:t>
                  </w:r>
                  <w:r>
                    <w:rPr>
                      <w:rStyle w:val="48"/>
                      <w:rFonts w:hint="default" w:ascii="Times New Roman" w:hAnsi="Times New Roman" w:eastAsia="宋体" w:cs="Times New Roman"/>
                      <w:color w:val="auto"/>
                      <w:sz w:val="18"/>
                      <w:szCs w:val="18"/>
                      <w:lang w:bidi="ar"/>
                    </w:rPr>
                    <w:t>pH2.7-4.7</w:t>
                  </w:r>
                </w:p>
              </w:tc>
              <w:tc>
                <w:tcPr>
                  <w:tcW w:w="480" w:type="pct"/>
                  <w:tcBorders>
                    <w:tl2br w:val="nil"/>
                    <w:tr2bl w:val="nil"/>
                  </w:tcBorders>
                  <w:shd w:val="clear" w:color="auto" w:fill="auto"/>
                  <w:noWrap/>
                  <w:tcMar>
                    <w:top w:w="12" w:type="dxa"/>
                    <w:left w:w="12" w:type="dxa"/>
                    <w:right w:w="12" w:type="dxa"/>
                  </w:tcMar>
                  <w:vAlign w:val="center"/>
                </w:tcPr>
                <w:p w14:paraId="24231C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1238" w:type="pct"/>
                  <w:tcBorders>
                    <w:tl2br w:val="nil"/>
                    <w:tr2bl w:val="nil"/>
                  </w:tcBorders>
                  <w:shd w:val="clear" w:color="auto" w:fill="auto"/>
                  <w:noWrap/>
                  <w:tcMar>
                    <w:top w:w="12" w:type="dxa"/>
                    <w:left w:w="12" w:type="dxa"/>
                    <w:right w:w="12" w:type="dxa"/>
                  </w:tcMar>
                  <w:vAlign w:val="center"/>
                </w:tcPr>
                <w:p w14:paraId="26D257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691" w:type="pct"/>
                  <w:tcBorders>
                    <w:tl2br w:val="nil"/>
                    <w:tr2bl w:val="nil"/>
                  </w:tcBorders>
                  <w:shd w:val="clear" w:color="auto" w:fill="auto"/>
                  <w:noWrap/>
                  <w:tcMar>
                    <w:top w:w="12" w:type="dxa"/>
                    <w:left w:w="12" w:type="dxa"/>
                    <w:right w:w="12" w:type="dxa"/>
                  </w:tcMar>
                  <w:vAlign w:val="center"/>
                </w:tcPr>
                <w:p w14:paraId="0DE4CC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7F51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0E757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pH试纸 </w:t>
                  </w:r>
                  <w:r>
                    <w:rPr>
                      <w:rStyle w:val="48"/>
                      <w:rFonts w:hint="default" w:ascii="Times New Roman" w:hAnsi="Times New Roman" w:eastAsia="宋体" w:cs="Times New Roman"/>
                      <w:color w:val="auto"/>
                      <w:sz w:val="18"/>
                      <w:szCs w:val="18"/>
                      <w:lang w:bidi="ar"/>
                    </w:rPr>
                    <w:t>pH0.5-5.0</w:t>
                  </w:r>
                </w:p>
              </w:tc>
              <w:tc>
                <w:tcPr>
                  <w:tcW w:w="480" w:type="pct"/>
                  <w:tcBorders>
                    <w:tl2br w:val="nil"/>
                    <w:tr2bl w:val="nil"/>
                  </w:tcBorders>
                  <w:shd w:val="clear" w:color="auto" w:fill="auto"/>
                  <w:noWrap/>
                  <w:tcMar>
                    <w:top w:w="12" w:type="dxa"/>
                    <w:left w:w="12" w:type="dxa"/>
                    <w:right w:w="12" w:type="dxa"/>
                  </w:tcMar>
                  <w:vAlign w:val="center"/>
                </w:tcPr>
                <w:p w14:paraId="2EA8E8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1238" w:type="pct"/>
                  <w:tcBorders>
                    <w:tl2br w:val="nil"/>
                    <w:tr2bl w:val="nil"/>
                  </w:tcBorders>
                  <w:shd w:val="clear" w:color="auto" w:fill="auto"/>
                  <w:noWrap/>
                  <w:tcMar>
                    <w:top w:w="12" w:type="dxa"/>
                    <w:left w:w="12" w:type="dxa"/>
                    <w:right w:w="12" w:type="dxa"/>
                  </w:tcMar>
                  <w:vAlign w:val="center"/>
                </w:tcPr>
                <w:p w14:paraId="77AE6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691" w:type="pct"/>
                  <w:tcBorders>
                    <w:tl2br w:val="nil"/>
                    <w:tr2bl w:val="nil"/>
                  </w:tcBorders>
                  <w:shd w:val="clear" w:color="auto" w:fill="auto"/>
                  <w:noWrap/>
                  <w:tcMar>
                    <w:top w:w="12" w:type="dxa"/>
                    <w:left w:w="12" w:type="dxa"/>
                    <w:right w:w="12" w:type="dxa"/>
                  </w:tcMar>
                  <w:vAlign w:val="center"/>
                </w:tcPr>
                <w:p w14:paraId="38A38B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9B79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81C41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pH试纸 </w:t>
                  </w:r>
                  <w:r>
                    <w:rPr>
                      <w:rStyle w:val="48"/>
                      <w:rFonts w:hint="default" w:ascii="Times New Roman" w:hAnsi="Times New Roman" w:eastAsia="宋体" w:cs="Times New Roman"/>
                      <w:color w:val="auto"/>
                      <w:sz w:val="18"/>
                      <w:szCs w:val="18"/>
                      <w:lang w:bidi="ar"/>
                    </w:rPr>
                    <w:t>pH8.2-10</w:t>
                  </w:r>
                </w:p>
              </w:tc>
              <w:tc>
                <w:tcPr>
                  <w:tcW w:w="480" w:type="pct"/>
                  <w:tcBorders>
                    <w:tl2br w:val="nil"/>
                    <w:tr2bl w:val="nil"/>
                  </w:tcBorders>
                  <w:shd w:val="clear" w:color="auto" w:fill="auto"/>
                  <w:noWrap/>
                  <w:tcMar>
                    <w:top w:w="12" w:type="dxa"/>
                    <w:left w:w="12" w:type="dxa"/>
                    <w:right w:w="12" w:type="dxa"/>
                  </w:tcMar>
                  <w:vAlign w:val="center"/>
                </w:tcPr>
                <w:p w14:paraId="17C92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1238" w:type="pct"/>
                  <w:tcBorders>
                    <w:tl2br w:val="nil"/>
                    <w:tr2bl w:val="nil"/>
                  </w:tcBorders>
                  <w:shd w:val="clear" w:color="auto" w:fill="auto"/>
                  <w:noWrap/>
                  <w:tcMar>
                    <w:top w:w="12" w:type="dxa"/>
                    <w:left w:w="12" w:type="dxa"/>
                    <w:right w:w="12" w:type="dxa"/>
                  </w:tcMar>
                  <w:vAlign w:val="center"/>
                </w:tcPr>
                <w:p w14:paraId="261B04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691" w:type="pct"/>
                  <w:tcBorders>
                    <w:tl2br w:val="nil"/>
                    <w:tr2bl w:val="nil"/>
                  </w:tcBorders>
                  <w:shd w:val="clear" w:color="auto" w:fill="auto"/>
                  <w:noWrap/>
                  <w:tcMar>
                    <w:top w:w="12" w:type="dxa"/>
                    <w:left w:w="12" w:type="dxa"/>
                    <w:right w:w="12" w:type="dxa"/>
                  </w:tcMar>
                  <w:vAlign w:val="center"/>
                </w:tcPr>
                <w:p w14:paraId="6C1C6E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227F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C5919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pH精密试纸 </w:t>
                  </w:r>
                  <w:r>
                    <w:rPr>
                      <w:rStyle w:val="48"/>
                      <w:rFonts w:hint="default" w:ascii="Times New Roman" w:hAnsi="Times New Roman" w:eastAsia="宋体" w:cs="Times New Roman"/>
                      <w:color w:val="auto"/>
                      <w:sz w:val="18"/>
                      <w:szCs w:val="18"/>
                      <w:lang w:bidi="ar"/>
                    </w:rPr>
                    <w:t>7.6-8.5</w:t>
                  </w:r>
                </w:p>
              </w:tc>
              <w:tc>
                <w:tcPr>
                  <w:tcW w:w="480" w:type="pct"/>
                  <w:tcBorders>
                    <w:tl2br w:val="nil"/>
                    <w:tr2bl w:val="nil"/>
                  </w:tcBorders>
                  <w:shd w:val="clear" w:color="auto" w:fill="auto"/>
                  <w:noWrap/>
                  <w:tcMar>
                    <w:top w:w="12" w:type="dxa"/>
                    <w:left w:w="12" w:type="dxa"/>
                    <w:right w:w="12" w:type="dxa"/>
                  </w:tcMar>
                  <w:vAlign w:val="center"/>
                </w:tcPr>
                <w:p w14:paraId="10A615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1238" w:type="pct"/>
                  <w:tcBorders>
                    <w:tl2br w:val="nil"/>
                    <w:tr2bl w:val="nil"/>
                  </w:tcBorders>
                  <w:shd w:val="clear" w:color="auto" w:fill="auto"/>
                  <w:noWrap/>
                  <w:tcMar>
                    <w:top w:w="12" w:type="dxa"/>
                    <w:left w:w="12" w:type="dxa"/>
                    <w:right w:w="12" w:type="dxa"/>
                  </w:tcMar>
                  <w:vAlign w:val="center"/>
                </w:tcPr>
                <w:p w14:paraId="1A29FC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691" w:type="pct"/>
                  <w:tcBorders>
                    <w:tl2br w:val="nil"/>
                    <w:tr2bl w:val="nil"/>
                  </w:tcBorders>
                  <w:shd w:val="clear" w:color="auto" w:fill="auto"/>
                  <w:noWrap/>
                  <w:tcMar>
                    <w:top w:w="12" w:type="dxa"/>
                    <w:left w:w="12" w:type="dxa"/>
                    <w:right w:w="12" w:type="dxa"/>
                  </w:tcMar>
                  <w:vAlign w:val="center"/>
                </w:tcPr>
                <w:p w14:paraId="610BC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2AB6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557B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pH精密试纸 </w:t>
                  </w:r>
                  <w:r>
                    <w:rPr>
                      <w:rStyle w:val="48"/>
                      <w:rFonts w:hint="default" w:ascii="Times New Roman" w:hAnsi="Times New Roman" w:eastAsia="宋体" w:cs="Times New Roman"/>
                      <w:color w:val="auto"/>
                      <w:sz w:val="18"/>
                      <w:szCs w:val="18"/>
                      <w:lang w:bidi="ar"/>
                    </w:rPr>
                    <w:t>5.5-9</w:t>
                  </w:r>
                </w:p>
              </w:tc>
              <w:tc>
                <w:tcPr>
                  <w:tcW w:w="480" w:type="pct"/>
                  <w:tcBorders>
                    <w:tl2br w:val="nil"/>
                    <w:tr2bl w:val="nil"/>
                  </w:tcBorders>
                  <w:shd w:val="clear" w:color="auto" w:fill="auto"/>
                  <w:noWrap/>
                  <w:tcMar>
                    <w:top w:w="12" w:type="dxa"/>
                    <w:left w:w="12" w:type="dxa"/>
                    <w:right w:w="12" w:type="dxa"/>
                  </w:tcMar>
                  <w:vAlign w:val="center"/>
                </w:tcPr>
                <w:p w14:paraId="0B36D2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1238" w:type="pct"/>
                  <w:tcBorders>
                    <w:tl2br w:val="nil"/>
                    <w:tr2bl w:val="nil"/>
                  </w:tcBorders>
                  <w:shd w:val="clear" w:color="auto" w:fill="auto"/>
                  <w:noWrap/>
                  <w:tcMar>
                    <w:top w:w="12" w:type="dxa"/>
                    <w:left w:w="12" w:type="dxa"/>
                    <w:right w:w="12" w:type="dxa"/>
                  </w:tcMar>
                  <w:vAlign w:val="center"/>
                </w:tcPr>
                <w:p w14:paraId="1C0DC0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691" w:type="pct"/>
                  <w:tcBorders>
                    <w:tl2br w:val="nil"/>
                    <w:tr2bl w:val="nil"/>
                  </w:tcBorders>
                  <w:shd w:val="clear" w:color="auto" w:fill="auto"/>
                  <w:noWrap/>
                  <w:tcMar>
                    <w:top w:w="12" w:type="dxa"/>
                    <w:left w:w="12" w:type="dxa"/>
                    <w:right w:w="12" w:type="dxa"/>
                  </w:tcMar>
                  <w:vAlign w:val="center"/>
                </w:tcPr>
                <w:p w14:paraId="539A39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8EC1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71536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pH精密试纸 </w:t>
                  </w:r>
                  <w:r>
                    <w:rPr>
                      <w:rStyle w:val="48"/>
                      <w:rFonts w:hint="default" w:ascii="Times New Roman" w:hAnsi="Times New Roman" w:eastAsia="宋体" w:cs="Times New Roman"/>
                      <w:color w:val="auto"/>
                      <w:sz w:val="18"/>
                      <w:szCs w:val="18"/>
                      <w:lang w:bidi="ar"/>
                    </w:rPr>
                    <w:t>1.4-3</w:t>
                  </w:r>
                </w:p>
              </w:tc>
              <w:tc>
                <w:tcPr>
                  <w:tcW w:w="480" w:type="pct"/>
                  <w:tcBorders>
                    <w:tl2br w:val="nil"/>
                    <w:tr2bl w:val="nil"/>
                  </w:tcBorders>
                  <w:shd w:val="clear" w:color="auto" w:fill="auto"/>
                  <w:noWrap/>
                  <w:tcMar>
                    <w:top w:w="12" w:type="dxa"/>
                    <w:left w:w="12" w:type="dxa"/>
                    <w:right w:w="12" w:type="dxa"/>
                  </w:tcMar>
                  <w:vAlign w:val="center"/>
                </w:tcPr>
                <w:p w14:paraId="708FE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1238" w:type="pct"/>
                  <w:tcBorders>
                    <w:tl2br w:val="nil"/>
                    <w:tr2bl w:val="nil"/>
                  </w:tcBorders>
                  <w:shd w:val="clear" w:color="auto" w:fill="auto"/>
                  <w:noWrap/>
                  <w:tcMar>
                    <w:top w:w="12" w:type="dxa"/>
                    <w:left w:w="12" w:type="dxa"/>
                    <w:right w:w="12" w:type="dxa"/>
                  </w:tcMar>
                  <w:vAlign w:val="center"/>
                </w:tcPr>
                <w:p w14:paraId="3CAEB1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691" w:type="pct"/>
                  <w:tcBorders>
                    <w:tl2br w:val="nil"/>
                    <w:tr2bl w:val="nil"/>
                  </w:tcBorders>
                  <w:shd w:val="clear" w:color="auto" w:fill="auto"/>
                  <w:noWrap/>
                  <w:tcMar>
                    <w:top w:w="12" w:type="dxa"/>
                    <w:left w:w="12" w:type="dxa"/>
                    <w:right w:w="12" w:type="dxa"/>
                  </w:tcMar>
                  <w:vAlign w:val="center"/>
                </w:tcPr>
                <w:p w14:paraId="10CAE7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9020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BD9E3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pH精密试纸 </w:t>
                  </w:r>
                  <w:r>
                    <w:rPr>
                      <w:rStyle w:val="48"/>
                      <w:rFonts w:hint="default" w:ascii="Times New Roman" w:hAnsi="Times New Roman" w:eastAsia="宋体" w:cs="Times New Roman"/>
                      <w:color w:val="auto"/>
                      <w:sz w:val="18"/>
                      <w:szCs w:val="18"/>
                      <w:lang w:bidi="ar"/>
                    </w:rPr>
                    <w:t>3.8-5.4</w:t>
                  </w:r>
                </w:p>
              </w:tc>
              <w:tc>
                <w:tcPr>
                  <w:tcW w:w="480" w:type="pct"/>
                  <w:tcBorders>
                    <w:tl2br w:val="nil"/>
                    <w:tr2bl w:val="nil"/>
                  </w:tcBorders>
                  <w:shd w:val="clear" w:color="auto" w:fill="auto"/>
                  <w:noWrap/>
                  <w:tcMar>
                    <w:top w:w="12" w:type="dxa"/>
                    <w:left w:w="12" w:type="dxa"/>
                    <w:right w:w="12" w:type="dxa"/>
                  </w:tcMar>
                  <w:vAlign w:val="center"/>
                </w:tcPr>
                <w:p w14:paraId="62D4F9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1238" w:type="pct"/>
                  <w:tcBorders>
                    <w:tl2br w:val="nil"/>
                    <w:tr2bl w:val="nil"/>
                  </w:tcBorders>
                  <w:shd w:val="clear" w:color="auto" w:fill="auto"/>
                  <w:noWrap/>
                  <w:tcMar>
                    <w:top w:w="12" w:type="dxa"/>
                    <w:left w:w="12" w:type="dxa"/>
                    <w:right w:w="12" w:type="dxa"/>
                  </w:tcMar>
                  <w:vAlign w:val="center"/>
                </w:tcPr>
                <w:p w14:paraId="103A3B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691" w:type="pct"/>
                  <w:tcBorders>
                    <w:tl2br w:val="nil"/>
                    <w:tr2bl w:val="nil"/>
                  </w:tcBorders>
                  <w:shd w:val="clear" w:color="auto" w:fill="auto"/>
                  <w:noWrap/>
                  <w:tcMar>
                    <w:top w:w="12" w:type="dxa"/>
                    <w:left w:w="12" w:type="dxa"/>
                    <w:right w:w="12" w:type="dxa"/>
                  </w:tcMar>
                  <w:vAlign w:val="center"/>
                </w:tcPr>
                <w:p w14:paraId="70AFC6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52B8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F9E6C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pH精密试纸 </w:t>
                  </w:r>
                  <w:r>
                    <w:rPr>
                      <w:rStyle w:val="48"/>
                      <w:rFonts w:hint="default" w:ascii="Times New Roman" w:hAnsi="Times New Roman" w:eastAsia="宋体" w:cs="Times New Roman"/>
                      <w:color w:val="auto"/>
                      <w:sz w:val="18"/>
                      <w:szCs w:val="18"/>
                      <w:lang w:bidi="ar"/>
                    </w:rPr>
                    <w:t>5.4-7</w:t>
                  </w:r>
                </w:p>
              </w:tc>
              <w:tc>
                <w:tcPr>
                  <w:tcW w:w="480" w:type="pct"/>
                  <w:tcBorders>
                    <w:tl2br w:val="nil"/>
                    <w:tr2bl w:val="nil"/>
                  </w:tcBorders>
                  <w:shd w:val="clear" w:color="auto" w:fill="auto"/>
                  <w:noWrap/>
                  <w:tcMar>
                    <w:top w:w="12" w:type="dxa"/>
                    <w:left w:w="12" w:type="dxa"/>
                    <w:right w:w="12" w:type="dxa"/>
                  </w:tcMar>
                  <w:vAlign w:val="center"/>
                </w:tcPr>
                <w:p w14:paraId="611439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1238" w:type="pct"/>
                  <w:tcBorders>
                    <w:tl2br w:val="nil"/>
                    <w:tr2bl w:val="nil"/>
                  </w:tcBorders>
                  <w:shd w:val="clear" w:color="auto" w:fill="auto"/>
                  <w:noWrap/>
                  <w:tcMar>
                    <w:top w:w="12" w:type="dxa"/>
                    <w:left w:w="12" w:type="dxa"/>
                    <w:right w:w="12" w:type="dxa"/>
                  </w:tcMar>
                  <w:vAlign w:val="center"/>
                </w:tcPr>
                <w:p w14:paraId="423EE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691" w:type="pct"/>
                  <w:tcBorders>
                    <w:tl2br w:val="nil"/>
                    <w:tr2bl w:val="nil"/>
                  </w:tcBorders>
                  <w:shd w:val="clear" w:color="auto" w:fill="auto"/>
                  <w:noWrap/>
                  <w:tcMar>
                    <w:top w:w="12" w:type="dxa"/>
                    <w:left w:w="12" w:type="dxa"/>
                    <w:right w:w="12" w:type="dxa"/>
                  </w:tcMar>
                  <w:vAlign w:val="center"/>
                </w:tcPr>
                <w:p w14:paraId="0A03C1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43EF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DE282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pH精密试纸 </w:t>
                  </w:r>
                  <w:r>
                    <w:rPr>
                      <w:rStyle w:val="48"/>
                      <w:rFonts w:hint="default" w:ascii="Times New Roman" w:hAnsi="Times New Roman" w:eastAsia="宋体" w:cs="Times New Roman"/>
                      <w:color w:val="auto"/>
                      <w:sz w:val="18"/>
                      <w:szCs w:val="18"/>
                      <w:lang w:bidi="ar"/>
                    </w:rPr>
                    <w:t>6.4-8</w:t>
                  </w:r>
                </w:p>
              </w:tc>
              <w:tc>
                <w:tcPr>
                  <w:tcW w:w="480" w:type="pct"/>
                  <w:tcBorders>
                    <w:tl2br w:val="nil"/>
                    <w:tr2bl w:val="nil"/>
                  </w:tcBorders>
                  <w:shd w:val="clear" w:color="auto" w:fill="auto"/>
                  <w:noWrap/>
                  <w:tcMar>
                    <w:top w:w="12" w:type="dxa"/>
                    <w:left w:w="12" w:type="dxa"/>
                    <w:right w:w="12" w:type="dxa"/>
                  </w:tcMar>
                  <w:vAlign w:val="center"/>
                </w:tcPr>
                <w:p w14:paraId="0B605C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1238" w:type="pct"/>
                  <w:tcBorders>
                    <w:tl2br w:val="nil"/>
                    <w:tr2bl w:val="nil"/>
                  </w:tcBorders>
                  <w:shd w:val="clear" w:color="auto" w:fill="auto"/>
                  <w:noWrap/>
                  <w:tcMar>
                    <w:top w:w="12" w:type="dxa"/>
                    <w:left w:w="12" w:type="dxa"/>
                    <w:right w:w="12" w:type="dxa"/>
                  </w:tcMar>
                  <w:vAlign w:val="center"/>
                </w:tcPr>
                <w:p w14:paraId="4C4EFA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691" w:type="pct"/>
                  <w:tcBorders>
                    <w:tl2br w:val="nil"/>
                    <w:tr2bl w:val="nil"/>
                  </w:tcBorders>
                  <w:shd w:val="clear" w:color="auto" w:fill="auto"/>
                  <w:noWrap/>
                  <w:tcMar>
                    <w:top w:w="12" w:type="dxa"/>
                    <w:left w:w="12" w:type="dxa"/>
                    <w:right w:w="12" w:type="dxa"/>
                  </w:tcMar>
                  <w:vAlign w:val="center"/>
                </w:tcPr>
                <w:p w14:paraId="0B1BDE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B87A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55C5C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pH精密试纸 </w:t>
                  </w:r>
                  <w:r>
                    <w:rPr>
                      <w:rStyle w:val="48"/>
                      <w:rFonts w:hint="default" w:ascii="Times New Roman" w:hAnsi="Times New Roman" w:eastAsia="宋体" w:cs="Times New Roman"/>
                      <w:color w:val="auto"/>
                      <w:sz w:val="18"/>
                      <w:szCs w:val="18"/>
                      <w:lang w:bidi="ar"/>
                    </w:rPr>
                    <w:t>6.9-8.4</w:t>
                  </w:r>
                </w:p>
              </w:tc>
              <w:tc>
                <w:tcPr>
                  <w:tcW w:w="480" w:type="pct"/>
                  <w:tcBorders>
                    <w:tl2br w:val="nil"/>
                    <w:tr2bl w:val="nil"/>
                  </w:tcBorders>
                  <w:shd w:val="clear" w:color="auto" w:fill="auto"/>
                  <w:noWrap/>
                  <w:tcMar>
                    <w:top w:w="12" w:type="dxa"/>
                    <w:left w:w="12" w:type="dxa"/>
                    <w:right w:w="12" w:type="dxa"/>
                  </w:tcMar>
                  <w:vAlign w:val="center"/>
                </w:tcPr>
                <w:p w14:paraId="7C8FCE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1238" w:type="pct"/>
                  <w:tcBorders>
                    <w:tl2br w:val="nil"/>
                    <w:tr2bl w:val="nil"/>
                  </w:tcBorders>
                  <w:shd w:val="clear" w:color="auto" w:fill="auto"/>
                  <w:noWrap/>
                  <w:tcMar>
                    <w:top w:w="12" w:type="dxa"/>
                    <w:left w:w="12" w:type="dxa"/>
                    <w:right w:w="12" w:type="dxa"/>
                  </w:tcMar>
                  <w:vAlign w:val="center"/>
                </w:tcPr>
                <w:p w14:paraId="3F2D6D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本</w:t>
                  </w:r>
                </w:p>
              </w:tc>
              <w:tc>
                <w:tcPr>
                  <w:tcW w:w="691" w:type="pct"/>
                  <w:tcBorders>
                    <w:tl2br w:val="nil"/>
                    <w:tr2bl w:val="nil"/>
                  </w:tcBorders>
                  <w:shd w:val="clear" w:color="auto" w:fill="auto"/>
                  <w:noWrap/>
                  <w:tcMar>
                    <w:top w:w="12" w:type="dxa"/>
                    <w:left w:w="12" w:type="dxa"/>
                    <w:right w:w="12" w:type="dxa"/>
                  </w:tcMar>
                  <w:vAlign w:val="center"/>
                </w:tcPr>
                <w:p w14:paraId="4F4C07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254F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AA3F9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载玻片</w:t>
                  </w:r>
                  <w:r>
                    <w:rPr>
                      <w:rStyle w:val="48"/>
                      <w:rFonts w:hint="default" w:ascii="Times New Roman" w:hAnsi="Times New Roman" w:eastAsia="宋体" w:cs="Times New Roman"/>
                      <w:color w:val="auto"/>
                      <w:sz w:val="18"/>
                      <w:szCs w:val="18"/>
                      <w:lang w:bidi="ar"/>
                    </w:rPr>
                    <w:t xml:space="preserve">7105 </w:t>
                  </w:r>
                  <w:r>
                    <w:rPr>
                      <w:rFonts w:hint="default" w:ascii="Times New Roman" w:hAnsi="Times New Roman" w:eastAsia="宋体" w:cs="Times New Roman"/>
                      <w:color w:val="auto"/>
                      <w:kern w:val="0"/>
                      <w:sz w:val="18"/>
                      <w:szCs w:val="18"/>
                      <w:lang w:bidi="ar"/>
                    </w:rPr>
                    <w:t>单头磨砂</w:t>
                  </w:r>
                </w:p>
              </w:tc>
              <w:tc>
                <w:tcPr>
                  <w:tcW w:w="480" w:type="pct"/>
                  <w:tcBorders>
                    <w:tl2br w:val="nil"/>
                    <w:tr2bl w:val="nil"/>
                  </w:tcBorders>
                  <w:shd w:val="clear" w:color="auto" w:fill="auto"/>
                  <w:noWrap/>
                  <w:tcMar>
                    <w:top w:w="12" w:type="dxa"/>
                    <w:left w:w="12" w:type="dxa"/>
                    <w:right w:w="12" w:type="dxa"/>
                  </w:tcMar>
                  <w:vAlign w:val="center"/>
                </w:tcPr>
                <w:p w14:paraId="4611BC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501D6C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50片</w:t>
                  </w:r>
                </w:p>
              </w:tc>
              <w:tc>
                <w:tcPr>
                  <w:tcW w:w="691" w:type="pct"/>
                  <w:tcBorders>
                    <w:tl2br w:val="nil"/>
                    <w:tr2bl w:val="nil"/>
                  </w:tcBorders>
                  <w:shd w:val="clear" w:color="auto" w:fill="auto"/>
                  <w:noWrap/>
                  <w:tcMar>
                    <w:top w:w="12" w:type="dxa"/>
                    <w:left w:w="12" w:type="dxa"/>
                    <w:right w:w="12" w:type="dxa"/>
                  </w:tcMar>
                  <w:vAlign w:val="center"/>
                </w:tcPr>
                <w:p w14:paraId="07B956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35F4D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ADFB5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玻璃匀浆器</w:t>
                  </w:r>
                  <w:r>
                    <w:rPr>
                      <w:rStyle w:val="48"/>
                      <w:rFonts w:hint="default" w:ascii="Times New Roman" w:hAnsi="Times New Roman" w:eastAsia="宋体" w:cs="Times New Roman"/>
                      <w:color w:val="auto"/>
                      <w:sz w:val="18"/>
                      <w:szCs w:val="18"/>
                      <w:lang w:bidi="ar"/>
                    </w:rPr>
                    <w:t xml:space="preserve"> 1ml</w:t>
                  </w:r>
                </w:p>
              </w:tc>
              <w:tc>
                <w:tcPr>
                  <w:tcW w:w="480" w:type="pct"/>
                  <w:tcBorders>
                    <w:tl2br w:val="nil"/>
                    <w:tr2bl w:val="nil"/>
                  </w:tcBorders>
                  <w:shd w:val="clear" w:color="auto" w:fill="auto"/>
                  <w:noWrap/>
                  <w:tcMar>
                    <w:top w:w="12" w:type="dxa"/>
                    <w:left w:w="12" w:type="dxa"/>
                    <w:right w:w="12" w:type="dxa"/>
                  </w:tcMar>
                  <w:vAlign w:val="center"/>
                </w:tcPr>
                <w:p w14:paraId="3F0DE7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6AD81C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1ml</w:t>
                  </w:r>
                </w:p>
              </w:tc>
              <w:tc>
                <w:tcPr>
                  <w:tcW w:w="691" w:type="pct"/>
                  <w:tcBorders>
                    <w:tl2br w:val="nil"/>
                    <w:tr2bl w:val="nil"/>
                  </w:tcBorders>
                  <w:shd w:val="clear" w:color="auto" w:fill="auto"/>
                  <w:noWrap/>
                  <w:tcMar>
                    <w:top w:w="12" w:type="dxa"/>
                    <w:left w:w="12" w:type="dxa"/>
                    <w:right w:w="12" w:type="dxa"/>
                  </w:tcMar>
                  <w:vAlign w:val="center"/>
                </w:tcPr>
                <w:p w14:paraId="439D5A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1AB2E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5BFDD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玻璃匀浆器</w:t>
                  </w:r>
                  <w:r>
                    <w:rPr>
                      <w:rStyle w:val="48"/>
                      <w:rFonts w:hint="default" w:ascii="Times New Roman" w:hAnsi="Times New Roman" w:eastAsia="宋体" w:cs="Times New Roman"/>
                      <w:color w:val="auto"/>
                      <w:sz w:val="18"/>
                      <w:szCs w:val="18"/>
                      <w:lang w:bidi="ar"/>
                    </w:rPr>
                    <w:t xml:space="preserve"> 5ml</w:t>
                  </w:r>
                </w:p>
              </w:tc>
              <w:tc>
                <w:tcPr>
                  <w:tcW w:w="480" w:type="pct"/>
                  <w:tcBorders>
                    <w:tl2br w:val="nil"/>
                    <w:tr2bl w:val="nil"/>
                  </w:tcBorders>
                  <w:shd w:val="clear" w:color="auto" w:fill="auto"/>
                  <w:noWrap/>
                  <w:tcMar>
                    <w:top w:w="12" w:type="dxa"/>
                    <w:left w:w="12" w:type="dxa"/>
                    <w:right w:w="12" w:type="dxa"/>
                  </w:tcMar>
                  <w:vAlign w:val="center"/>
                </w:tcPr>
                <w:p w14:paraId="275A42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2DFBB2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5ml</w:t>
                  </w:r>
                </w:p>
              </w:tc>
              <w:tc>
                <w:tcPr>
                  <w:tcW w:w="691" w:type="pct"/>
                  <w:tcBorders>
                    <w:tl2br w:val="nil"/>
                    <w:tr2bl w:val="nil"/>
                  </w:tcBorders>
                  <w:shd w:val="clear" w:color="auto" w:fill="auto"/>
                  <w:noWrap/>
                  <w:tcMar>
                    <w:top w:w="12" w:type="dxa"/>
                    <w:left w:w="12" w:type="dxa"/>
                    <w:right w:w="12" w:type="dxa"/>
                  </w:tcMar>
                  <w:vAlign w:val="center"/>
                </w:tcPr>
                <w:p w14:paraId="043F98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55FD1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A35ED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玻璃匀浆器</w:t>
                  </w:r>
                  <w:r>
                    <w:rPr>
                      <w:rStyle w:val="48"/>
                      <w:rFonts w:hint="default" w:ascii="Times New Roman" w:hAnsi="Times New Roman" w:eastAsia="宋体" w:cs="Times New Roman"/>
                      <w:color w:val="auto"/>
                      <w:sz w:val="18"/>
                      <w:szCs w:val="18"/>
                      <w:lang w:bidi="ar"/>
                    </w:rPr>
                    <w:t xml:space="preserve"> 10ml</w:t>
                  </w:r>
                </w:p>
              </w:tc>
              <w:tc>
                <w:tcPr>
                  <w:tcW w:w="480" w:type="pct"/>
                  <w:tcBorders>
                    <w:tl2br w:val="nil"/>
                    <w:tr2bl w:val="nil"/>
                  </w:tcBorders>
                  <w:shd w:val="clear" w:color="auto" w:fill="auto"/>
                  <w:noWrap/>
                  <w:tcMar>
                    <w:top w:w="12" w:type="dxa"/>
                    <w:left w:w="12" w:type="dxa"/>
                    <w:right w:w="12" w:type="dxa"/>
                  </w:tcMar>
                  <w:vAlign w:val="center"/>
                </w:tcPr>
                <w:p w14:paraId="5B3737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7A758D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10ml</w:t>
                  </w:r>
                </w:p>
              </w:tc>
              <w:tc>
                <w:tcPr>
                  <w:tcW w:w="691" w:type="pct"/>
                  <w:tcBorders>
                    <w:tl2br w:val="nil"/>
                    <w:tr2bl w:val="nil"/>
                  </w:tcBorders>
                  <w:shd w:val="clear" w:color="auto" w:fill="auto"/>
                  <w:noWrap/>
                  <w:tcMar>
                    <w:top w:w="12" w:type="dxa"/>
                    <w:left w:w="12" w:type="dxa"/>
                    <w:right w:w="12" w:type="dxa"/>
                  </w:tcMar>
                  <w:vAlign w:val="center"/>
                </w:tcPr>
                <w:p w14:paraId="1B85BE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66F9A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E23BF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玻璃匀浆器</w:t>
                  </w:r>
                  <w:r>
                    <w:rPr>
                      <w:rStyle w:val="48"/>
                      <w:rFonts w:hint="default" w:ascii="Times New Roman" w:hAnsi="Times New Roman" w:eastAsia="宋体" w:cs="Times New Roman"/>
                      <w:color w:val="auto"/>
                      <w:sz w:val="18"/>
                      <w:szCs w:val="18"/>
                      <w:lang w:bidi="ar"/>
                    </w:rPr>
                    <w:t xml:space="preserve"> 15ml</w:t>
                  </w:r>
                </w:p>
              </w:tc>
              <w:tc>
                <w:tcPr>
                  <w:tcW w:w="480" w:type="pct"/>
                  <w:tcBorders>
                    <w:tl2br w:val="nil"/>
                    <w:tr2bl w:val="nil"/>
                  </w:tcBorders>
                  <w:shd w:val="clear" w:color="auto" w:fill="auto"/>
                  <w:noWrap/>
                  <w:tcMar>
                    <w:top w:w="12" w:type="dxa"/>
                    <w:left w:w="12" w:type="dxa"/>
                    <w:right w:w="12" w:type="dxa"/>
                  </w:tcMar>
                  <w:vAlign w:val="center"/>
                </w:tcPr>
                <w:p w14:paraId="435187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428B54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15ml</w:t>
                  </w:r>
                </w:p>
              </w:tc>
              <w:tc>
                <w:tcPr>
                  <w:tcW w:w="691" w:type="pct"/>
                  <w:tcBorders>
                    <w:tl2br w:val="nil"/>
                    <w:tr2bl w:val="nil"/>
                  </w:tcBorders>
                  <w:shd w:val="clear" w:color="auto" w:fill="auto"/>
                  <w:noWrap/>
                  <w:tcMar>
                    <w:top w:w="12" w:type="dxa"/>
                    <w:left w:w="12" w:type="dxa"/>
                    <w:right w:w="12" w:type="dxa"/>
                  </w:tcMar>
                  <w:vAlign w:val="center"/>
                </w:tcPr>
                <w:p w14:paraId="5BD247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41913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A8AC8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玻璃匀浆器</w:t>
                  </w:r>
                  <w:r>
                    <w:rPr>
                      <w:rStyle w:val="48"/>
                      <w:rFonts w:hint="default" w:ascii="Times New Roman" w:hAnsi="Times New Roman" w:eastAsia="宋体" w:cs="Times New Roman"/>
                      <w:color w:val="auto"/>
                      <w:sz w:val="18"/>
                      <w:szCs w:val="18"/>
                      <w:lang w:bidi="ar"/>
                    </w:rPr>
                    <w:t xml:space="preserve"> 25ml</w:t>
                  </w:r>
                </w:p>
              </w:tc>
              <w:tc>
                <w:tcPr>
                  <w:tcW w:w="480" w:type="pct"/>
                  <w:tcBorders>
                    <w:tl2br w:val="nil"/>
                    <w:tr2bl w:val="nil"/>
                  </w:tcBorders>
                  <w:shd w:val="clear" w:color="auto" w:fill="auto"/>
                  <w:noWrap/>
                  <w:tcMar>
                    <w:top w:w="12" w:type="dxa"/>
                    <w:left w:w="12" w:type="dxa"/>
                    <w:right w:w="12" w:type="dxa"/>
                  </w:tcMar>
                  <w:vAlign w:val="center"/>
                </w:tcPr>
                <w:p w14:paraId="4AC284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2B554F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25ml</w:t>
                  </w:r>
                </w:p>
              </w:tc>
              <w:tc>
                <w:tcPr>
                  <w:tcW w:w="691" w:type="pct"/>
                  <w:tcBorders>
                    <w:tl2br w:val="nil"/>
                    <w:tr2bl w:val="nil"/>
                  </w:tcBorders>
                  <w:shd w:val="clear" w:color="auto" w:fill="auto"/>
                  <w:noWrap/>
                  <w:tcMar>
                    <w:top w:w="12" w:type="dxa"/>
                    <w:left w:w="12" w:type="dxa"/>
                    <w:right w:w="12" w:type="dxa"/>
                  </w:tcMar>
                  <w:vAlign w:val="center"/>
                </w:tcPr>
                <w:p w14:paraId="32C2B8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143DF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26249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玻璃匀浆器</w:t>
                  </w:r>
                  <w:r>
                    <w:rPr>
                      <w:rStyle w:val="48"/>
                      <w:rFonts w:hint="default" w:ascii="Times New Roman" w:hAnsi="Times New Roman" w:eastAsia="宋体" w:cs="Times New Roman"/>
                      <w:color w:val="auto"/>
                      <w:sz w:val="18"/>
                      <w:szCs w:val="18"/>
                      <w:lang w:bidi="ar"/>
                    </w:rPr>
                    <w:t xml:space="preserve"> 50ml</w:t>
                  </w:r>
                </w:p>
              </w:tc>
              <w:tc>
                <w:tcPr>
                  <w:tcW w:w="480" w:type="pct"/>
                  <w:tcBorders>
                    <w:tl2br w:val="nil"/>
                    <w:tr2bl w:val="nil"/>
                  </w:tcBorders>
                  <w:shd w:val="clear" w:color="auto" w:fill="auto"/>
                  <w:noWrap/>
                  <w:tcMar>
                    <w:top w:w="12" w:type="dxa"/>
                    <w:left w:w="12" w:type="dxa"/>
                    <w:right w:w="12" w:type="dxa"/>
                  </w:tcMar>
                  <w:vAlign w:val="center"/>
                </w:tcPr>
                <w:p w14:paraId="7AE3BE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10779D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50ml</w:t>
                  </w:r>
                </w:p>
              </w:tc>
              <w:tc>
                <w:tcPr>
                  <w:tcW w:w="691" w:type="pct"/>
                  <w:tcBorders>
                    <w:tl2br w:val="nil"/>
                    <w:tr2bl w:val="nil"/>
                  </w:tcBorders>
                  <w:shd w:val="clear" w:color="auto" w:fill="auto"/>
                  <w:noWrap/>
                  <w:tcMar>
                    <w:top w:w="12" w:type="dxa"/>
                    <w:left w:w="12" w:type="dxa"/>
                    <w:right w:w="12" w:type="dxa"/>
                  </w:tcMar>
                  <w:vAlign w:val="center"/>
                </w:tcPr>
                <w:p w14:paraId="07068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40BEA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F5117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一次性吸管</w:t>
                  </w:r>
                  <w:r>
                    <w:rPr>
                      <w:rStyle w:val="48"/>
                      <w:rFonts w:hint="default" w:ascii="Times New Roman" w:hAnsi="Times New Roman" w:eastAsia="宋体" w:cs="Times New Roman"/>
                      <w:color w:val="auto"/>
                      <w:sz w:val="18"/>
                      <w:szCs w:val="18"/>
                      <w:lang w:bidi="ar"/>
                    </w:rPr>
                    <w:t xml:space="preserve"> 3ml</w:t>
                  </w:r>
                </w:p>
              </w:tc>
              <w:tc>
                <w:tcPr>
                  <w:tcW w:w="480" w:type="pct"/>
                  <w:tcBorders>
                    <w:tl2br w:val="nil"/>
                    <w:tr2bl w:val="nil"/>
                  </w:tcBorders>
                  <w:shd w:val="clear" w:color="auto" w:fill="auto"/>
                  <w:noWrap/>
                  <w:tcMar>
                    <w:top w:w="12" w:type="dxa"/>
                    <w:left w:w="12" w:type="dxa"/>
                    <w:right w:w="12" w:type="dxa"/>
                  </w:tcMar>
                  <w:vAlign w:val="center"/>
                </w:tcPr>
                <w:p w14:paraId="57F7B5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2A9675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.10</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104B2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AAA5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752F8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一次性巴氏德吸管</w:t>
                  </w:r>
                  <w:r>
                    <w:rPr>
                      <w:rStyle w:val="48"/>
                      <w:rFonts w:hint="default" w:ascii="Times New Roman" w:hAnsi="Times New Roman" w:eastAsia="宋体" w:cs="Times New Roman"/>
                      <w:color w:val="auto"/>
                      <w:sz w:val="18"/>
                      <w:szCs w:val="18"/>
                      <w:lang w:bidi="ar"/>
                    </w:rPr>
                    <w:t xml:space="preserve"> 3ml</w:t>
                  </w:r>
                </w:p>
              </w:tc>
              <w:tc>
                <w:tcPr>
                  <w:tcW w:w="480" w:type="pct"/>
                  <w:tcBorders>
                    <w:tl2br w:val="nil"/>
                    <w:tr2bl w:val="nil"/>
                  </w:tcBorders>
                  <w:shd w:val="clear" w:color="auto" w:fill="auto"/>
                  <w:noWrap/>
                  <w:tcMar>
                    <w:top w:w="12" w:type="dxa"/>
                    <w:left w:w="12" w:type="dxa"/>
                    <w:right w:w="12" w:type="dxa"/>
                  </w:tcMar>
                  <w:vAlign w:val="center"/>
                </w:tcPr>
                <w:p w14:paraId="38710A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33C281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3ML（200个）</w:t>
                  </w:r>
                </w:p>
              </w:tc>
              <w:tc>
                <w:tcPr>
                  <w:tcW w:w="691" w:type="pct"/>
                  <w:tcBorders>
                    <w:tl2br w:val="nil"/>
                    <w:tr2bl w:val="nil"/>
                  </w:tcBorders>
                  <w:shd w:val="clear" w:color="auto" w:fill="auto"/>
                  <w:noWrap/>
                  <w:tcMar>
                    <w:top w:w="12" w:type="dxa"/>
                    <w:left w:w="12" w:type="dxa"/>
                    <w:right w:w="12" w:type="dxa"/>
                  </w:tcMar>
                  <w:vAlign w:val="center"/>
                </w:tcPr>
                <w:p w14:paraId="761F10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21BA5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43492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40目细胞过滤筛</w:t>
                  </w:r>
                </w:p>
              </w:tc>
              <w:tc>
                <w:tcPr>
                  <w:tcW w:w="480" w:type="pct"/>
                  <w:tcBorders>
                    <w:tl2br w:val="nil"/>
                    <w:tr2bl w:val="nil"/>
                  </w:tcBorders>
                  <w:shd w:val="clear" w:color="auto" w:fill="auto"/>
                  <w:noWrap/>
                  <w:tcMar>
                    <w:top w:w="12" w:type="dxa"/>
                    <w:left w:w="12" w:type="dxa"/>
                    <w:right w:w="12" w:type="dxa"/>
                  </w:tcMar>
                  <w:vAlign w:val="center"/>
                </w:tcPr>
                <w:p w14:paraId="3B10B3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14391F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40目</w:t>
                  </w:r>
                </w:p>
              </w:tc>
              <w:tc>
                <w:tcPr>
                  <w:tcW w:w="691" w:type="pct"/>
                  <w:tcBorders>
                    <w:tl2br w:val="nil"/>
                    <w:tr2bl w:val="nil"/>
                  </w:tcBorders>
                  <w:shd w:val="clear" w:color="auto" w:fill="auto"/>
                  <w:noWrap/>
                  <w:tcMar>
                    <w:top w:w="12" w:type="dxa"/>
                    <w:left w:w="12" w:type="dxa"/>
                    <w:right w:w="12" w:type="dxa"/>
                  </w:tcMar>
                  <w:vAlign w:val="center"/>
                </w:tcPr>
                <w:p w14:paraId="3EED37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67557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47728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50目细胞过滤筛</w:t>
                  </w:r>
                </w:p>
              </w:tc>
              <w:tc>
                <w:tcPr>
                  <w:tcW w:w="480" w:type="pct"/>
                  <w:tcBorders>
                    <w:tl2br w:val="nil"/>
                    <w:tr2bl w:val="nil"/>
                  </w:tcBorders>
                  <w:shd w:val="clear" w:color="auto" w:fill="auto"/>
                  <w:noWrap/>
                  <w:tcMar>
                    <w:top w:w="12" w:type="dxa"/>
                    <w:left w:w="12" w:type="dxa"/>
                    <w:right w:w="12" w:type="dxa"/>
                  </w:tcMar>
                  <w:vAlign w:val="center"/>
                </w:tcPr>
                <w:p w14:paraId="1CE63C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655E08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50目</w:t>
                  </w:r>
                </w:p>
              </w:tc>
              <w:tc>
                <w:tcPr>
                  <w:tcW w:w="691" w:type="pct"/>
                  <w:tcBorders>
                    <w:tl2br w:val="nil"/>
                    <w:tr2bl w:val="nil"/>
                  </w:tcBorders>
                  <w:shd w:val="clear" w:color="auto" w:fill="auto"/>
                  <w:noWrap/>
                  <w:tcMar>
                    <w:top w:w="12" w:type="dxa"/>
                    <w:left w:w="12" w:type="dxa"/>
                    <w:right w:w="12" w:type="dxa"/>
                  </w:tcMar>
                  <w:vAlign w:val="center"/>
                </w:tcPr>
                <w:p w14:paraId="77EF51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7BCD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C0B16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60目细胞过滤筛</w:t>
                  </w:r>
                </w:p>
              </w:tc>
              <w:tc>
                <w:tcPr>
                  <w:tcW w:w="480" w:type="pct"/>
                  <w:tcBorders>
                    <w:tl2br w:val="nil"/>
                    <w:tr2bl w:val="nil"/>
                  </w:tcBorders>
                  <w:shd w:val="clear" w:color="auto" w:fill="auto"/>
                  <w:noWrap/>
                  <w:tcMar>
                    <w:top w:w="12" w:type="dxa"/>
                    <w:left w:w="12" w:type="dxa"/>
                    <w:right w:w="12" w:type="dxa"/>
                  </w:tcMar>
                  <w:vAlign w:val="center"/>
                </w:tcPr>
                <w:p w14:paraId="07D33F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6E203A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60目</w:t>
                  </w:r>
                </w:p>
              </w:tc>
              <w:tc>
                <w:tcPr>
                  <w:tcW w:w="691" w:type="pct"/>
                  <w:tcBorders>
                    <w:tl2br w:val="nil"/>
                    <w:tr2bl w:val="nil"/>
                  </w:tcBorders>
                  <w:shd w:val="clear" w:color="auto" w:fill="auto"/>
                  <w:noWrap/>
                  <w:tcMar>
                    <w:top w:w="12" w:type="dxa"/>
                    <w:left w:w="12" w:type="dxa"/>
                    <w:right w:w="12" w:type="dxa"/>
                  </w:tcMar>
                  <w:vAlign w:val="center"/>
                </w:tcPr>
                <w:p w14:paraId="01C526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D567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75A67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70目细胞过滤筛</w:t>
                  </w:r>
                </w:p>
              </w:tc>
              <w:tc>
                <w:tcPr>
                  <w:tcW w:w="480" w:type="pct"/>
                  <w:tcBorders>
                    <w:tl2br w:val="nil"/>
                    <w:tr2bl w:val="nil"/>
                  </w:tcBorders>
                  <w:shd w:val="clear" w:color="auto" w:fill="auto"/>
                  <w:noWrap/>
                  <w:tcMar>
                    <w:top w:w="12" w:type="dxa"/>
                    <w:left w:w="12" w:type="dxa"/>
                    <w:right w:w="12" w:type="dxa"/>
                  </w:tcMar>
                  <w:vAlign w:val="center"/>
                </w:tcPr>
                <w:p w14:paraId="52C146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140E04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70目</w:t>
                  </w:r>
                </w:p>
              </w:tc>
              <w:tc>
                <w:tcPr>
                  <w:tcW w:w="691" w:type="pct"/>
                  <w:tcBorders>
                    <w:tl2br w:val="nil"/>
                    <w:tr2bl w:val="nil"/>
                  </w:tcBorders>
                  <w:shd w:val="clear" w:color="auto" w:fill="auto"/>
                  <w:noWrap/>
                  <w:tcMar>
                    <w:top w:w="12" w:type="dxa"/>
                    <w:left w:w="12" w:type="dxa"/>
                    <w:right w:w="12" w:type="dxa"/>
                  </w:tcMar>
                  <w:vAlign w:val="center"/>
                </w:tcPr>
                <w:p w14:paraId="550FA7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D19F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FBD94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80目细胞过滤筛</w:t>
                  </w:r>
                </w:p>
              </w:tc>
              <w:tc>
                <w:tcPr>
                  <w:tcW w:w="480" w:type="pct"/>
                  <w:tcBorders>
                    <w:tl2br w:val="nil"/>
                    <w:tr2bl w:val="nil"/>
                  </w:tcBorders>
                  <w:shd w:val="clear" w:color="auto" w:fill="auto"/>
                  <w:noWrap/>
                  <w:tcMar>
                    <w:top w:w="12" w:type="dxa"/>
                    <w:left w:w="12" w:type="dxa"/>
                    <w:right w:w="12" w:type="dxa"/>
                  </w:tcMar>
                  <w:vAlign w:val="center"/>
                </w:tcPr>
                <w:p w14:paraId="018518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4B2152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80目</w:t>
                  </w:r>
                </w:p>
              </w:tc>
              <w:tc>
                <w:tcPr>
                  <w:tcW w:w="691" w:type="pct"/>
                  <w:tcBorders>
                    <w:tl2br w:val="nil"/>
                    <w:tr2bl w:val="nil"/>
                  </w:tcBorders>
                  <w:shd w:val="clear" w:color="auto" w:fill="auto"/>
                  <w:noWrap/>
                  <w:tcMar>
                    <w:top w:w="12" w:type="dxa"/>
                    <w:left w:w="12" w:type="dxa"/>
                    <w:right w:w="12" w:type="dxa"/>
                  </w:tcMar>
                  <w:vAlign w:val="center"/>
                </w:tcPr>
                <w:p w14:paraId="6EEBF7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070A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DDF1A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100目细胞过滤筛</w:t>
                  </w:r>
                </w:p>
              </w:tc>
              <w:tc>
                <w:tcPr>
                  <w:tcW w:w="480" w:type="pct"/>
                  <w:tcBorders>
                    <w:tl2br w:val="nil"/>
                    <w:tr2bl w:val="nil"/>
                  </w:tcBorders>
                  <w:shd w:val="clear" w:color="auto" w:fill="auto"/>
                  <w:noWrap/>
                  <w:tcMar>
                    <w:top w:w="12" w:type="dxa"/>
                    <w:left w:w="12" w:type="dxa"/>
                    <w:right w:w="12" w:type="dxa"/>
                  </w:tcMar>
                  <w:vAlign w:val="center"/>
                </w:tcPr>
                <w:p w14:paraId="19BD1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5A2DA7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100目</w:t>
                  </w:r>
                </w:p>
              </w:tc>
              <w:tc>
                <w:tcPr>
                  <w:tcW w:w="691" w:type="pct"/>
                  <w:tcBorders>
                    <w:tl2br w:val="nil"/>
                    <w:tr2bl w:val="nil"/>
                  </w:tcBorders>
                  <w:shd w:val="clear" w:color="auto" w:fill="auto"/>
                  <w:noWrap/>
                  <w:tcMar>
                    <w:top w:w="12" w:type="dxa"/>
                    <w:left w:w="12" w:type="dxa"/>
                    <w:right w:w="12" w:type="dxa"/>
                  </w:tcMar>
                  <w:vAlign w:val="center"/>
                </w:tcPr>
                <w:p w14:paraId="052074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9B33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6A43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120目细胞过滤筛</w:t>
                  </w:r>
                </w:p>
              </w:tc>
              <w:tc>
                <w:tcPr>
                  <w:tcW w:w="480" w:type="pct"/>
                  <w:tcBorders>
                    <w:tl2br w:val="nil"/>
                    <w:tr2bl w:val="nil"/>
                  </w:tcBorders>
                  <w:shd w:val="clear" w:color="auto" w:fill="auto"/>
                  <w:noWrap/>
                  <w:tcMar>
                    <w:top w:w="12" w:type="dxa"/>
                    <w:left w:w="12" w:type="dxa"/>
                    <w:right w:w="12" w:type="dxa"/>
                  </w:tcMar>
                  <w:vAlign w:val="center"/>
                </w:tcPr>
                <w:p w14:paraId="7D9EE4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21AA8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120目</w:t>
                  </w:r>
                </w:p>
              </w:tc>
              <w:tc>
                <w:tcPr>
                  <w:tcW w:w="691" w:type="pct"/>
                  <w:tcBorders>
                    <w:tl2br w:val="nil"/>
                    <w:tr2bl w:val="nil"/>
                  </w:tcBorders>
                  <w:shd w:val="clear" w:color="auto" w:fill="auto"/>
                  <w:noWrap/>
                  <w:tcMar>
                    <w:top w:w="12" w:type="dxa"/>
                    <w:left w:w="12" w:type="dxa"/>
                    <w:right w:w="12" w:type="dxa"/>
                  </w:tcMar>
                  <w:vAlign w:val="center"/>
                </w:tcPr>
                <w:p w14:paraId="31C5E8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5783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55810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150目细胞过滤筛</w:t>
                  </w:r>
                </w:p>
              </w:tc>
              <w:tc>
                <w:tcPr>
                  <w:tcW w:w="480" w:type="pct"/>
                  <w:tcBorders>
                    <w:tl2br w:val="nil"/>
                    <w:tr2bl w:val="nil"/>
                  </w:tcBorders>
                  <w:shd w:val="clear" w:color="auto" w:fill="auto"/>
                  <w:noWrap/>
                  <w:tcMar>
                    <w:top w:w="12" w:type="dxa"/>
                    <w:left w:w="12" w:type="dxa"/>
                    <w:right w:w="12" w:type="dxa"/>
                  </w:tcMar>
                  <w:vAlign w:val="center"/>
                </w:tcPr>
                <w:p w14:paraId="41A43D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2330FF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150目</w:t>
                  </w:r>
                </w:p>
              </w:tc>
              <w:tc>
                <w:tcPr>
                  <w:tcW w:w="691" w:type="pct"/>
                  <w:tcBorders>
                    <w:tl2br w:val="nil"/>
                    <w:tr2bl w:val="nil"/>
                  </w:tcBorders>
                  <w:shd w:val="clear" w:color="auto" w:fill="auto"/>
                  <w:noWrap/>
                  <w:tcMar>
                    <w:top w:w="12" w:type="dxa"/>
                    <w:left w:w="12" w:type="dxa"/>
                    <w:right w:w="12" w:type="dxa"/>
                  </w:tcMar>
                  <w:vAlign w:val="center"/>
                </w:tcPr>
                <w:p w14:paraId="7D8228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7E25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6A911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180目细胞过滤筛</w:t>
                  </w:r>
                </w:p>
              </w:tc>
              <w:tc>
                <w:tcPr>
                  <w:tcW w:w="480" w:type="pct"/>
                  <w:tcBorders>
                    <w:tl2br w:val="nil"/>
                    <w:tr2bl w:val="nil"/>
                  </w:tcBorders>
                  <w:shd w:val="clear" w:color="auto" w:fill="auto"/>
                  <w:noWrap/>
                  <w:tcMar>
                    <w:top w:w="12" w:type="dxa"/>
                    <w:left w:w="12" w:type="dxa"/>
                    <w:right w:w="12" w:type="dxa"/>
                  </w:tcMar>
                  <w:vAlign w:val="center"/>
                </w:tcPr>
                <w:p w14:paraId="26EDB2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02C6E0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180目</w:t>
                  </w:r>
                </w:p>
              </w:tc>
              <w:tc>
                <w:tcPr>
                  <w:tcW w:w="691" w:type="pct"/>
                  <w:tcBorders>
                    <w:tl2br w:val="nil"/>
                    <w:tr2bl w:val="nil"/>
                  </w:tcBorders>
                  <w:shd w:val="clear" w:color="auto" w:fill="auto"/>
                  <w:noWrap/>
                  <w:tcMar>
                    <w:top w:w="12" w:type="dxa"/>
                    <w:left w:w="12" w:type="dxa"/>
                    <w:right w:w="12" w:type="dxa"/>
                  </w:tcMar>
                  <w:vAlign w:val="center"/>
                </w:tcPr>
                <w:p w14:paraId="2C7E09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FD43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5C391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200目细胞过滤筛</w:t>
                  </w:r>
                </w:p>
              </w:tc>
              <w:tc>
                <w:tcPr>
                  <w:tcW w:w="480" w:type="pct"/>
                  <w:tcBorders>
                    <w:tl2br w:val="nil"/>
                    <w:tr2bl w:val="nil"/>
                  </w:tcBorders>
                  <w:shd w:val="clear" w:color="auto" w:fill="auto"/>
                  <w:noWrap/>
                  <w:tcMar>
                    <w:top w:w="12" w:type="dxa"/>
                    <w:left w:w="12" w:type="dxa"/>
                    <w:right w:w="12" w:type="dxa"/>
                  </w:tcMar>
                  <w:vAlign w:val="center"/>
                </w:tcPr>
                <w:p w14:paraId="09D025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78C618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200目</w:t>
                  </w:r>
                </w:p>
              </w:tc>
              <w:tc>
                <w:tcPr>
                  <w:tcW w:w="691" w:type="pct"/>
                  <w:tcBorders>
                    <w:tl2br w:val="nil"/>
                    <w:tr2bl w:val="nil"/>
                  </w:tcBorders>
                  <w:shd w:val="clear" w:color="auto" w:fill="auto"/>
                  <w:noWrap/>
                  <w:tcMar>
                    <w:top w:w="12" w:type="dxa"/>
                    <w:left w:w="12" w:type="dxa"/>
                    <w:right w:w="12" w:type="dxa"/>
                  </w:tcMar>
                  <w:vAlign w:val="center"/>
                </w:tcPr>
                <w:p w14:paraId="594C5D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16EF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CCE4F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300目细胞过滤筛</w:t>
                  </w:r>
                </w:p>
              </w:tc>
              <w:tc>
                <w:tcPr>
                  <w:tcW w:w="480" w:type="pct"/>
                  <w:tcBorders>
                    <w:tl2br w:val="nil"/>
                    <w:tr2bl w:val="nil"/>
                  </w:tcBorders>
                  <w:shd w:val="clear" w:color="auto" w:fill="auto"/>
                  <w:noWrap/>
                  <w:tcMar>
                    <w:top w:w="12" w:type="dxa"/>
                    <w:left w:w="12" w:type="dxa"/>
                    <w:right w:w="12" w:type="dxa"/>
                  </w:tcMar>
                  <w:vAlign w:val="center"/>
                </w:tcPr>
                <w:p w14:paraId="19D31D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6AB72F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300目</w:t>
                  </w:r>
                </w:p>
              </w:tc>
              <w:tc>
                <w:tcPr>
                  <w:tcW w:w="691" w:type="pct"/>
                  <w:tcBorders>
                    <w:tl2br w:val="nil"/>
                    <w:tr2bl w:val="nil"/>
                  </w:tcBorders>
                  <w:shd w:val="clear" w:color="auto" w:fill="auto"/>
                  <w:noWrap/>
                  <w:tcMar>
                    <w:top w:w="12" w:type="dxa"/>
                    <w:left w:w="12" w:type="dxa"/>
                    <w:right w:w="12" w:type="dxa"/>
                  </w:tcMar>
                  <w:vAlign w:val="center"/>
                </w:tcPr>
                <w:p w14:paraId="43183B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4855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F24C9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400目细胞过滤筛</w:t>
                  </w:r>
                </w:p>
              </w:tc>
              <w:tc>
                <w:tcPr>
                  <w:tcW w:w="480" w:type="pct"/>
                  <w:tcBorders>
                    <w:tl2br w:val="nil"/>
                    <w:tr2bl w:val="nil"/>
                  </w:tcBorders>
                  <w:shd w:val="clear" w:color="auto" w:fill="auto"/>
                  <w:noWrap/>
                  <w:tcMar>
                    <w:top w:w="12" w:type="dxa"/>
                    <w:left w:w="12" w:type="dxa"/>
                    <w:right w:w="12" w:type="dxa"/>
                  </w:tcMar>
                  <w:vAlign w:val="center"/>
                </w:tcPr>
                <w:p w14:paraId="7CEBBF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06A797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400目</w:t>
                  </w:r>
                </w:p>
              </w:tc>
              <w:tc>
                <w:tcPr>
                  <w:tcW w:w="691" w:type="pct"/>
                  <w:tcBorders>
                    <w:tl2br w:val="nil"/>
                    <w:tr2bl w:val="nil"/>
                  </w:tcBorders>
                  <w:shd w:val="clear" w:color="auto" w:fill="auto"/>
                  <w:noWrap/>
                  <w:tcMar>
                    <w:top w:w="12" w:type="dxa"/>
                    <w:left w:w="12" w:type="dxa"/>
                    <w:right w:w="12" w:type="dxa"/>
                  </w:tcMar>
                  <w:vAlign w:val="center"/>
                </w:tcPr>
                <w:p w14:paraId="34A393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2D9B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1FDEF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500目细胞过滤筛</w:t>
                  </w:r>
                </w:p>
              </w:tc>
              <w:tc>
                <w:tcPr>
                  <w:tcW w:w="480" w:type="pct"/>
                  <w:tcBorders>
                    <w:tl2br w:val="nil"/>
                    <w:tr2bl w:val="nil"/>
                  </w:tcBorders>
                  <w:shd w:val="clear" w:color="auto" w:fill="auto"/>
                  <w:noWrap/>
                  <w:tcMar>
                    <w:top w:w="12" w:type="dxa"/>
                    <w:left w:w="12" w:type="dxa"/>
                    <w:right w:w="12" w:type="dxa"/>
                  </w:tcMar>
                  <w:vAlign w:val="center"/>
                </w:tcPr>
                <w:p w14:paraId="2F3C7A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769A93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500目</w:t>
                  </w:r>
                </w:p>
              </w:tc>
              <w:tc>
                <w:tcPr>
                  <w:tcW w:w="691" w:type="pct"/>
                  <w:tcBorders>
                    <w:tl2br w:val="nil"/>
                    <w:tr2bl w:val="nil"/>
                  </w:tcBorders>
                  <w:shd w:val="clear" w:color="auto" w:fill="auto"/>
                  <w:noWrap/>
                  <w:tcMar>
                    <w:top w:w="12" w:type="dxa"/>
                    <w:left w:w="12" w:type="dxa"/>
                    <w:right w:w="12" w:type="dxa"/>
                  </w:tcMar>
                  <w:vAlign w:val="center"/>
                </w:tcPr>
                <w:p w14:paraId="24F54B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89D8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61AE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600目细胞过滤筛</w:t>
                  </w:r>
                </w:p>
              </w:tc>
              <w:tc>
                <w:tcPr>
                  <w:tcW w:w="480" w:type="pct"/>
                  <w:tcBorders>
                    <w:tl2br w:val="nil"/>
                    <w:tr2bl w:val="nil"/>
                  </w:tcBorders>
                  <w:shd w:val="clear" w:color="auto" w:fill="auto"/>
                  <w:noWrap/>
                  <w:tcMar>
                    <w:top w:w="12" w:type="dxa"/>
                    <w:left w:w="12" w:type="dxa"/>
                    <w:right w:w="12" w:type="dxa"/>
                  </w:tcMar>
                  <w:vAlign w:val="center"/>
                </w:tcPr>
                <w:p w14:paraId="69EB5E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79E73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600目</w:t>
                  </w:r>
                </w:p>
              </w:tc>
              <w:tc>
                <w:tcPr>
                  <w:tcW w:w="691" w:type="pct"/>
                  <w:tcBorders>
                    <w:tl2br w:val="nil"/>
                    <w:tr2bl w:val="nil"/>
                  </w:tcBorders>
                  <w:shd w:val="clear" w:color="auto" w:fill="auto"/>
                  <w:noWrap/>
                  <w:tcMar>
                    <w:top w:w="12" w:type="dxa"/>
                    <w:left w:w="12" w:type="dxa"/>
                    <w:right w:w="12" w:type="dxa"/>
                  </w:tcMar>
                  <w:vAlign w:val="center"/>
                </w:tcPr>
                <w:p w14:paraId="2A0A6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81F1D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927CE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800目细胞过滤筛</w:t>
                  </w:r>
                </w:p>
              </w:tc>
              <w:tc>
                <w:tcPr>
                  <w:tcW w:w="480" w:type="pct"/>
                  <w:tcBorders>
                    <w:tl2br w:val="nil"/>
                    <w:tr2bl w:val="nil"/>
                  </w:tcBorders>
                  <w:shd w:val="clear" w:color="auto" w:fill="auto"/>
                  <w:noWrap/>
                  <w:tcMar>
                    <w:top w:w="12" w:type="dxa"/>
                    <w:left w:w="12" w:type="dxa"/>
                    <w:right w:w="12" w:type="dxa"/>
                  </w:tcMar>
                  <w:vAlign w:val="center"/>
                </w:tcPr>
                <w:p w14:paraId="289832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2A6DA6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800目</w:t>
                  </w:r>
                </w:p>
              </w:tc>
              <w:tc>
                <w:tcPr>
                  <w:tcW w:w="691" w:type="pct"/>
                  <w:tcBorders>
                    <w:tl2br w:val="nil"/>
                    <w:tr2bl w:val="nil"/>
                  </w:tcBorders>
                  <w:shd w:val="clear" w:color="auto" w:fill="auto"/>
                  <w:noWrap/>
                  <w:tcMar>
                    <w:top w:w="12" w:type="dxa"/>
                    <w:left w:w="12" w:type="dxa"/>
                    <w:right w:w="12" w:type="dxa"/>
                  </w:tcMar>
                  <w:vAlign w:val="center"/>
                </w:tcPr>
                <w:p w14:paraId="508E8A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8D334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50EBA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铝饭盒（</w:t>
                  </w:r>
                  <w:r>
                    <w:rPr>
                      <w:rStyle w:val="48"/>
                      <w:rFonts w:hint="default" w:ascii="Times New Roman" w:hAnsi="Times New Roman" w:eastAsia="宋体" w:cs="Times New Roman"/>
                      <w:color w:val="auto"/>
                      <w:sz w:val="18"/>
                      <w:szCs w:val="18"/>
                      <w:lang w:bidi="ar"/>
                    </w:rPr>
                    <w:t>19*11*6</w:t>
                  </w:r>
                  <w:r>
                    <w:rPr>
                      <w:rFonts w:hint="default" w:ascii="Times New Roman" w:hAnsi="Times New Roman" w:eastAsia="宋体" w:cs="Times New Roman"/>
                      <w:color w:val="auto"/>
                      <w:kern w:val="0"/>
                      <w:sz w:val="18"/>
                      <w:szCs w:val="18"/>
                      <w:lang w:bidi="ar"/>
                    </w:rPr>
                    <w:t>）</w:t>
                  </w:r>
                </w:p>
              </w:tc>
              <w:tc>
                <w:tcPr>
                  <w:tcW w:w="480" w:type="pct"/>
                  <w:tcBorders>
                    <w:tl2br w:val="nil"/>
                    <w:tr2bl w:val="nil"/>
                  </w:tcBorders>
                  <w:shd w:val="clear" w:color="auto" w:fill="auto"/>
                  <w:noWrap/>
                  <w:tcMar>
                    <w:top w:w="12" w:type="dxa"/>
                    <w:left w:w="12" w:type="dxa"/>
                    <w:right w:w="12" w:type="dxa"/>
                  </w:tcMar>
                  <w:vAlign w:val="center"/>
                </w:tcPr>
                <w:p w14:paraId="2BB5C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6E3A79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中号</w:t>
                  </w:r>
                </w:p>
              </w:tc>
              <w:tc>
                <w:tcPr>
                  <w:tcW w:w="691" w:type="pct"/>
                  <w:tcBorders>
                    <w:tl2br w:val="nil"/>
                    <w:tr2bl w:val="nil"/>
                  </w:tcBorders>
                  <w:shd w:val="clear" w:color="auto" w:fill="auto"/>
                  <w:noWrap/>
                  <w:tcMar>
                    <w:top w:w="12" w:type="dxa"/>
                    <w:left w:w="12" w:type="dxa"/>
                    <w:right w:w="12" w:type="dxa"/>
                  </w:tcMar>
                  <w:vAlign w:val="center"/>
                </w:tcPr>
                <w:p w14:paraId="1C858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w:t>
                  </w:r>
                </w:p>
              </w:tc>
            </w:tr>
            <w:tr w14:paraId="0AF434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69E22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铝饭盒（</w:t>
                  </w:r>
                  <w:r>
                    <w:rPr>
                      <w:rStyle w:val="48"/>
                      <w:rFonts w:hint="default" w:ascii="Times New Roman" w:hAnsi="Times New Roman" w:eastAsia="宋体" w:cs="Times New Roman"/>
                      <w:color w:val="auto"/>
                      <w:sz w:val="18"/>
                      <w:szCs w:val="18"/>
                      <w:lang w:bidi="ar"/>
                    </w:rPr>
                    <w:t>22*13*6</w:t>
                  </w:r>
                  <w:r>
                    <w:rPr>
                      <w:rFonts w:hint="default" w:ascii="Times New Roman" w:hAnsi="Times New Roman" w:eastAsia="宋体" w:cs="Times New Roman"/>
                      <w:color w:val="auto"/>
                      <w:kern w:val="0"/>
                      <w:sz w:val="18"/>
                      <w:szCs w:val="18"/>
                      <w:lang w:bidi="ar"/>
                    </w:rPr>
                    <w:t>）</w:t>
                  </w:r>
                </w:p>
              </w:tc>
              <w:tc>
                <w:tcPr>
                  <w:tcW w:w="480" w:type="pct"/>
                  <w:tcBorders>
                    <w:tl2br w:val="nil"/>
                    <w:tr2bl w:val="nil"/>
                  </w:tcBorders>
                  <w:shd w:val="clear" w:color="auto" w:fill="auto"/>
                  <w:noWrap/>
                  <w:tcMar>
                    <w:top w:w="12" w:type="dxa"/>
                    <w:left w:w="12" w:type="dxa"/>
                    <w:right w:w="12" w:type="dxa"/>
                  </w:tcMar>
                  <w:vAlign w:val="center"/>
                </w:tcPr>
                <w:p w14:paraId="22AD46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74EDE1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大号</w:t>
                  </w:r>
                </w:p>
              </w:tc>
              <w:tc>
                <w:tcPr>
                  <w:tcW w:w="691" w:type="pct"/>
                  <w:tcBorders>
                    <w:tl2br w:val="nil"/>
                    <w:tr2bl w:val="nil"/>
                  </w:tcBorders>
                  <w:shd w:val="clear" w:color="auto" w:fill="auto"/>
                  <w:noWrap/>
                  <w:tcMar>
                    <w:top w:w="12" w:type="dxa"/>
                    <w:left w:w="12" w:type="dxa"/>
                    <w:right w:w="12" w:type="dxa"/>
                  </w:tcMar>
                  <w:vAlign w:val="center"/>
                </w:tcPr>
                <w:p w14:paraId="44B48C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w:t>
                  </w:r>
                </w:p>
              </w:tc>
            </w:tr>
            <w:tr w14:paraId="052C0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64C40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多用冰盒</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0.2ml/0.5ml/1.5ml</w:t>
                  </w:r>
                  <w:r>
                    <w:rPr>
                      <w:rFonts w:hint="default" w:ascii="Times New Roman" w:hAnsi="Times New Roman" w:eastAsia="宋体" w:cs="Times New Roman"/>
                      <w:color w:val="auto"/>
                      <w:kern w:val="0"/>
                      <w:sz w:val="18"/>
                      <w:szCs w:val="18"/>
                      <w:lang w:bidi="ar"/>
                    </w:rPr>
                    <w:t>）</w:t>
                  </w:r>
                </w:p>
              </w:tc>
              <w:tc>
                <w:tcPr>
                  <w:tcW w:w="480" w:type="pct"/>
                  <w:tcBorders>
                    <w:tl2br w:val="nil"/>
                    <w:tr2bl w:val="nil"/>
                  </w:tcBorders>
                  <w:shd w:val="clear" w:color="auto" w:fill="auto"/>
                  <w:noWrap/>
                  <w:tcMar>
                    <w:top w:w="12" w:type="dxa"/>
                    <w:left w:w="12" w:type="dxa"/>
                    <w:right w:w="12" w:type="dxa"/>
                  </w:tcMar>
                  <w:vAlign w:val="center"/>
                </w:tcPr>
                <w:p w14:paraId="559F8C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56D6B6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0.2ml/0.5ml/1.5ml</w:t>
                  </w:r>
                </w:p>
              </w:tc>
              <w:tc>
                <w:tcPr>
                  <w:tcW w:w="691" w:type="pct"/>
                  <w:tcBorders>
                    <w:tl2br w:val="nil"/>
                    <w:tr2bl w:val="nil"/>
                  </w:tcBorders>
                  <w:shd w:val="clear" w:color="auto" w:fill="auto"/>
                  <w:noWrap/>
                  <w:tcMar>
                    <w:top w:w="12" w:type="dxa"/>
                    <w:left w:w="12" w:type="dxa"/>
                    <w:right w:w="12" w:type="dxa"/>
                  </w:tcMar>
                  <w:vAlign w:val="center"/>
                </w:tcPr>
                <w:p w14:paraId="36B8F1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w:t>
                  </w:r>
                </w:p>
              </w:tc>
            </w:tr>
            <w:tr w14:paraId="2217A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90433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切片石蜡</w:t>
                  </w:r>
                  <w:r>
                    <w:rPr>
                      <w:rStyle w:val="48"/>
                      <w:rFonts w:hint="default" w:ascii="Times New Roman" w:hAnsi="Times New Roman" w:eastAsia="宋体" w:cs="Times New Roman"/>
                      <w:color w:val="auto"/>
                      <w:sz w:val="18"/>
                      <w:szCs w:val="18"/>
                      <w:lang w:bidi="ar"/>
                    </w:rPr>
                    <w:t xml:space="preserve"> 48-50°c</w:t>
                  </w:r>
                </w:p>
              </w:tc>
              <w:tc>
                <w:tcPr>
                  <w:tcW w:w="480" w:type="pct"/>
                  <w:tcBorders>
                    <w:tl2br w:val="nil"/>
                    <w:tr2bl w:val="nil"/>
                  </w:tcBorders>
                  <w:shd w:val="clear" w:color="auto" w:fill="auto"/>
                  <w:noWrap/>
                  <w:tcMar>
                    <w:top w:w="12" w:type="dxa"/>
                    <w:left w:w="12" w:type="dxa"/>
                    <w:right w:w="12" w:type="dxa"/>
                  </w:tcMar>
                  <w:vAlign w:val="center"/>
                </w:tcPr>
                <w:p w14:paraId="365E30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469F97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500g</w:t>
                  </w:r>
                </w:p>
              </w:tc>
              <w:tc>
                <w:tcPr>
                  <w:tcW w:w="691" w:type="pct"/>
                  <w:tcBorders>
                    <w:tl2br w:val="nil"/>
                    <w:tr2bl w:val="nil"/>
                  </w:tcBorders>
                  <w:shd w:val="clear" w:color="auto" w:fill="auto"/>
                  <w:noWrap/>
                  <w:tcMar>
                    <w:top w:w="12" w:type="dxa"/>
                    <w:left w:w="12" w:type="dxa"/>
                    <w:right w:w="12" w:type="dxa"/>
                  </w:tcMar>
                  <w:vAlign w:val="center"/>
                </w:tcPr>
                <w:p w14:paraId="4AFB1F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0D6DE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3689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切片石蜡</w:t>
                  </w:r>
                  <w:r>
                    <w:rPr>
                      <w:rStyle w:val="48"/>
                      <w:rFonts w:hint="default" w:ascii="Times New Roman" w:hAnsi="Times New Roman" w:eastAsia="宋体" w:cs="Times New Roman"/>
                      <w:color w:val="auto"/>
                      <w:sz w:val="18"/>
                      <w:szCs w:val="18"/>
                      <w:lang w:bidi="ar"/>
                    </w:rPr>
                    <w:t xml:space="preserve"> 58-60°c</w:t>
                  </w:r>
                </w:p>
              </w:tc>
              <w:tc>
                <w:tcPr>
                  <w:tcW w:w="480" w:type="pct"/>
                  <w:tcBorders>
                    <w:tl2br w:val="nil"/>
                    <w:tr2bl w:val="nil"/>
                  </w:tcBorders>
                  <w:shd w:val="clear" w:color="auto" w:fill="auto"/>
                  <w:noWrap/>
                  <w:tcMar>
                    <w:top w:w="12" w:type="dxa"/>
                    <w:left w:w="12" w:type="dxa"/>
                    <w:right w:w="12" w:type="dxa"/>
                  </w:tcMar>
                  <w:vAlign w:val="center"/>
                </w:tcPr>
                <w:p w14:paraId="0BA378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7EEE98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500g</w:t>
                  </w:r>
                </w:p>
              </w:tc>
              <w:tc>
                <w:tcPr>
                  <w:tcW w:w="691" w:type="pct"/>
                  <w:tcBorders>
                    <w:tl2br w:val="nil"/>
                    <w:tr2bl w:val="nil"/>
                  </w:tcBorders>
                  <w:shd w:val="clear" w:color="auto" w:fill="auto"/>
                  <w:noWrap/>
                  <w:tcMar>
                    <w:top w:w="12" w:type="dxa"/>
                    <w:left w:w="12" w:type="dxa"/>
                    <w:right w:w="12" w:type="dxa"/>
                  </w:tcMar>
                  <w:vAlign w:val="center"/>
                </w:tcPr>
                <w:p w14:paraId="51FF25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7D4E6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7DB42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切片石蜡</w:t>
                  </w:r>
                  <w:r>
                    <w:rPr>
                      <w:rStyle w:val="48"/>
                      <w:rFonts w:hint="default" w:ascii="Times New Roman" w:hAnsi="Times New Roman" w:eastAsia="宋体" w:cs="Times New Roman"/>
                      <w:color w:val="auto"/>
                      <w:sz w:val="18"/>
                      <w:szCs w:val="18"/>
                      <w:lang w:bidi="ar"/>
                    </w:rPr>
                    <w:t xml:space="preserve"> 56-58°c</w:t>
                  </w:r>
                </w:p>
              </w:tc>
              <w:tc>
                <w:tcPr>
                  <w:tcW w:w="480" w:type="pct"/>
                  <w:tcBorders>
                    <w:tl2br w:val="nil"/>
                    <w:tr2bl w:val="nil"/>
                  </w:tcBorders>
                  <w:shd w:val="clear" w:color="auto" w:fill="auto"/>
                  <w:noWrap/>
                  <w:tcMar>
                    <w:top w:w="12" w:type="dxa"/>
                    <w:left w:w="12" w:type="dxa"/>
                    <w:right w:w="12" w:type="dxa"/>
                  </w:tcMar>
                  <w:vAlign w:val="center"/>
                </w:tcPr>
                <w:p w14:paraId="675D6D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1A9EF5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500g</w:t>
                  </w:r>
                </w:p>
              </w:tc>
              <w:tc>
                <w:tcPr>
                  <w:tcW w:w="691" w:type="pct"/>
                  <w:tcBorders>
                    <w:tl2br w:val="nil"/>
                    <w:tr2bl w:val="nil"/>
                  </w:tcBorders>
                  <w:shd w:val="clear" w:color="auto" w:fill="auto"/>
                  <w:noWrap/>
                  <w:tcMar>
                    <w:top w:w="12" w:type="dxa"/>
                    <w:left w:w="12" w:type="dxa"/>
                    <w:right w:w="12" w:type="dxa"/>
                  </w:tcMar>
                  <w:vAlign w:val="center"/>
                </w:tcPr>
                <w:p w14:paraId="0D90B2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26267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F15CE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切片石蜡</w:t>
                  </w:r>
                  <w:r>
                    <w:rPr>
                      <w:rStyle w:val="48"/>
                      <w:rFonts w:hint="default" w:ascii="Times New Roman" w:hAnsi="Times New Roman" w:eastAsia="宋体" w:cs="Times New Roman"/>
                      <w:color w:val="auto"/>
                      <w:sz w:val="18"/>
                      <w:szCs w:val="18"/>
                      <w:lang w:bidi="ar"/>
                    </w:rPr>
                    <w:t xml:space="preserve"> 54-56°c</w:t>
                  </w:r>
                </w:p>
              </w:tc>
              <w:tc>
                <w:tcPr>
                  <w:tcW w:w="480" w:type="pct"/>
                  <w:tcBorders>
                    <w:tl2br w:val="nil"/>
                    <w:tr2bl w:val="nil"/>
                  </w:tcBorders>
                  <w:shd w:val="clear" w:color="auto" w:fill="auto"/>
                  <w:noWrap/>
                  <w:tcMar>
                    <w:top w:w="12" w:type="dxa"/>
                    <w:left w:w="12" w:type="dxa"/>
                    <w:right w:w="12" w:type="dxa"/>
                  </w:tcMar>
                  <w:vAlign w:val="center"/>
                </w:tcPr>
                <w:p w14:paraId="128A33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0C618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500g</w:t>
                  </w:r>
                </w:p>
              </w:tc>
              <w:tc>
                <w:tcPr>
                  <w:tcW w:w="691" w:type="pct"/>
                  <w:tcBorders>
                    <w:tl2br w:val="nil"/>
                    <w:tr2bl w:val="nil"/>
                  </w:tcBorders>
                  <w:shd w:val="clear" w:color="auto" w:fill="auto"/>
                  <w:noWrap/>
                  <w:tcMar>
                    <w:top w:w="12" w:type="dxa"/>
                    <w:left w:w="12" w:type="dxa"/>
                    <w:right w:w="12" w:type="dxa"/>
                  </w:tcMar>
                  <w:vAlign w:val="center"/>
                </w:tcPr>
                <w:p w14:paraId="6D2DE7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5C427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AD01B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切片石蜡</w:t>
                  </w:r>
                  <w:r>
                    <w:rPr>
                      <w:rStyle w:val="48"/>
                      <w:rFonts w:hint="default" w:ascii="Times New Roman" w:hAnsi="Times New Roman" w:eastAsia="宋体" w:cs="Times New Roman"/>
                      <w:color w:val="auto"/>
                      <w:sz w:val="18"/>
                      <w:szCs w:val="18"/>
                      <w:lang w:bidi="ar"/>
                    </w:rPr>
                    <w:t xml:space="preserve"> 60-62°c</w:t>
                  </w:r>
                </w:p>
              </w:tc>
              <w:tc>
                <w:tcPr>
                  <w:tcW w:w="480" w:type="pct"/>
                  <w:tcBorders>
                    <w:tl2br w:val="nil"/>
                    <w:tr2bl w:val="nil"/>
                  </w:tcBorders>
                  <w:shd w:val="clear" w:color="auto" w:fill="auto"/>
                  <w:noWrap/>
                  <w:tcMar>
                    <w:top w:w="12" w:type="dxa"/>
                    <w:left w:w="12" w:type="dxa"/>
                    <w:right w:w="12" w:type="dxa"/>
                  </w:tcMar>
                  <w:vAlign w:val="center"/>
                </w:tcPr>
                <w:p w14:paraId="000A30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7D40D9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500g</w:t>
                  </w:r>
                </w:p>
              </w:tc>
              <w:tc>
                <w:tcPr>
                  <w:tcW w:w="691" w:type="pct"/>
                  <w:tcBorders>
                    <w:tl2br w:val="nil"/>
                    <w:tr2bl w:val="nil"/>
                  </w:tcBorders>
                  <w:shd w:val="clear" w:color="auto" w:fill="auto"/>
                  <w:noWrap/>
                  <w:tcMar>
                    <w:top w:w="12" w:type="dxa"/>
                    <w:left w:w="12" w:type="dxa"/>
                    <w:right w:w="12" w:type="dxa"/>
                  </w:tcMar>
                  <w:vAlign w:val="center"/>
                </w:tcPr>
                <w:p w14:paraId="7F0B15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0A15C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90C10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切片石蜡</w:t>
                  </w:r>
                  <w:r>
                    <w:rPr>
                      <w:rStyle w:val="48"/>
                      <w:rFonts w:hint="default" w:ascii="Times New Roman" w:hAnsi="Times New Roman" w:eastAsia="宋体" w:cs="Times New Roman"/>
                      <w:color w:val="auto"/>
                      <w:sz w:val="18"/>
                      <w:szCs w:val="18"/>
                      <w:lang w:bidi="ar"/>
                    </w:rPr>
                    <w:t xml:space="preserve"> 50-52°c</w:t>
                  </w:r>
                </w:p>
              </w:tc>
              <w:tc>
                <w:tcPr>
                  <w:tcW w:w="480" w:type="pct"/>
                  <w:tcBorders>
                    <w:tl2br w:val="nil"/>
                    <w:tr2bl w:val="nil"/>
                  </w:tcBorders>
                  <w:shd w:val="clear" w:color="auto" w:fill="auto"/>
                  <w:noWrap/>
                  <w:tcMar>
                    <w:top w:w="12" w:type="dxa"/>
                    <w:left w:w="12" w:type="dxa"/>
                    <w:right w:w="12" w:type="dxa"/>
                  </w:tcMar>
                  <w:vAlign w:val="center"/>
                </w:tcPr>
                <w:p w14:paraId="24A998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5B721A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500g</w:t>
                  </w:r>
                </w:p>
              </w:tc>
              <w:tc>
                <w:tcPr>
                  <w:tcW w:w="691" w:type="pct"/>
                  <w:tcBorders>
                    <w:tl2br w:val="nil"/>
                    <w:tr2bl w:val="nil"/>
                  </w:tcBorders>
                  <w:shd w:val="clear" w:color="auto" w:fill="auto"/>
                  <w:noWrap/>
                  <w:tcMar>
                    <w:top w:w="12" w:type="dxa"/>
                    <w:left w:w="12" w:type="dxa"/>
                    <w:right w:w="12" w:type="dxa"/>
                  </w:tcMar>
                  <w:vAlign w:val="center"/>
                </w:tcPr>
                <w:p w14:paraId="437C45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418E2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6C995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1000ul吸头盒 国产</w:t>
                  </w:r>
                </w:p>
              </w:tc>
              <w:tc>
                <w:tcPr>
                  <w:tcW w:w="480" w:type="pct"/>
                  <w:tcBorders>
                    <w:tl2br w:val="nil"/>
                    <w:tr2bl w:val="nil"/>
                  </w:tcBorders>
                  <w:shd w:val="clear" w:color="auto" w:fill="auto"/>
                  <w:noWrap/>
                  <w:tcMar>
                    <w:top w:w="12" w:type="dxa"/>
                    <w:left w:w="12" w:type="dxa"/>
                    <w:right w:w="12" w:type="dxa"/>
                  </w:tcMar>
                  <w:vAlign w:val="center"/>
                </w:tcPr>
                <w:p w14:paraId="307D8B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0523DE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10个/包</w:t>
                  </w:r>
                </w:p>
              </w:tc>
              <w:tc>
                <w:tcPr>
                  <w:tcW w:w="691" w:type="pct"/>
                  <w:tcBorders>
                    <w:tl2br w:val="nil"/>
                    <w:tr2bl w:val="nil"/>
                  </w:tcBorders>
                  <w:shd w:val="clear" w:color="auto" w:fill="auto"/>
                  <w:noWrap/>
                  <w:tcMar>
                    <w:top w:w="12" w:type="dxa"/>
                    <w:left w:w="12" w:type="dxa"/>
                    <w:right w:w="12" w:type="dxa"/>
                  </w:tcMar>
                  <w:vAlign w:val="center"/>
                </w:tcPr>
                <w:p w14:paraId="5ADB7E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DCB9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25100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200ul吸头盒 国产</w:t>
                  </w:r>
                </w:p>
              </w:tc>
              <w:tc>
                <w:tcPr>
                  <w:tcW w:w="480" w:type="pct"/>
                  <w:tcBorders>
                    <w:tl2br w:val="nil"/>
                    <w:tr2bl w:val="nil"/>
                  </w:tcBorders>
                  <w:shd w:val="clear" w:color="auto" w:fill="auto"/>
                  <w:noWrap/>
                  <w:tcMar>
                    <w:top w:w="12" w:type="dxa"/>
                    <w:left w:w="12" w:type="dxa"/>
                    <w:right w:w="12" w:type="dxa"/>
                  </w:tcMar>
                  <w:vAlign w:val="center"/>
                </w:tcPr>
                <w:p w14:paraId="749845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359034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10个/包</w:t>
                  </w:r>
                </w:p>
              </w:tc>
              <w:tc>
                <w:tcPr>
                  <w:tcW w:w="691" w:type="pct"/>
                  <w:tcBorders>
                    <w:tl2br w:val="nil"/>
                    <w:tr2bl w:val="nil"/>
                  </w:tcBorders>
                  <w:shd w:val="clear" w:color="auto" w:fill="auto"/>
                  <w:noWrap/>
                  <w:tcMar>
                    <w:top w:w="12" w:type="dxa"/>
                    <w:left w:w="12" w:type="dxa"/>
                    <w:right w:w="12" w:type="dxa"/>
                  </w:tcMar>
                  <w:vAlign w:val="center"/>
                </w:tcPr>
                <w:p w14:paraId="348366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64ED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2A0B2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10ul吸头盒 国产</w:t>
                  </w:r>
                </w:p>
              </w:tc>
              <w:tc>
                <w:tcPr>
                  <w:tcW w:w="480" w:type="pct"/>
                  <w:tcBorders>
                    <w:tl2br w:val="nil"/>
                    <w:tr2bl w:val="nil"/>
                  </w:tcBorders>
                  <w:shd w:val="clear" w:color="auto" w:fill="auto"/>
                  <w:noWrap/>
                  <w:tcMar>
                    <w:top w:w="12" w:type="dxa"/>
                    <w:left w:w="12" w:type="dxa"/>
                    <w:right w:w="12" w:type="dxa"/>
                  </w:tcMar>
                  <w:vAlign w:val="center"/>
                </w:tcPr>
                <w:p w14:paraId="79523A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408E62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10个/包</w:t>
                  </w:r>
                </w:p>
              </w:tc>
              <w:tc>
                <w:tcPr>
                  <w:tcW w:w="691" w:type="pct"/>
                  <w:tcBorders>
                    <w:tl2br w:val="nil"/>
                    <w:tr2bl w:val="nil"/>
                  </w:tcBorders>
                  <w:shd w:val="clear" w:color="auto" w:fill="auto"/>
                  <w:noWrap/>
                  <w:tcMar>
                    <w:top w:w="12" w:type="dxa"/>
                    <w:left w:w="12" w:type="dxa"/>
                    <w:right w:w="12" w:type="dxa"/>
                  </w:tcMar>
                  <w:vAlign w:val="center"/>
                </w:tcPr>
                <w:p w14:paraId="5B82DA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BDC6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1C2D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袋装短吸头</w:t>
                  </w:r>
                  <w:r>
                    <w:rPr>
                      <w:rStyle w:val="48"/>
                      <w:rFonts w:hint="default" w:ascii="Times New Roman" w:hAnsi="Times New Roman" w:eastAsia="宋体" w:cs="Times New Roman"/>
                      <w:color w:val="auto"/>
                      <w:sz w:val="18"/>
                      <w:szCs w:val="18"/>
                      <w:lang w:bidi="ar"/>
                    </w:rPr>
                    <w:t>10ul Axygen</w:t>
                  </w:r>
                </w:p>
              </w:tc>
              <w:tc>
                <w:tcPr>
                  <w:tcW w:w="480" w:type="pct"/>
                  <w:tcBorders>
                    <w:tl2br w:val="nil"/>
                    <w:tr2bl w:val="nil"/>
                  </w:tcBorders>
                  <w:shd w:val="clear" w:color="auto" w:fill="auto"/>
                  <w:noWrap/>
                  <w:tcMar>
                    <w:top w:w="12" w:type="dxa"/>
                    <w:left w:w="12" w:type="dxa"/>
                    <w:right w:w="12" w:type="dxa"/>
                  </w:tcMar>
                  <w:vAlign w:val="center"/>
                </w:tcPr>
                <w:p w14:paraId="21A650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4E68C7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1000支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 xml:space="preserve">包 </w:t>
                  </w:r>
                  <w:r>
                    <w:rPr>
                      <w:rStyle w:val="48"/>
                      <w:rFonts w:hint="default" w:ascii="Times New Roman" w:hAnsi="Times New Roman" w:eastAsia="宋体" w:cs="Times New Roman"/>
                      <w:color w:val="auto"/>
                      <w:sz w:val="18"/>
                      <w:szCs w:val="18"/>
                      <w:lang w:bidi="ar"/>
                    </w:rPr>
                    <w:t>20</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1F7094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70FCB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54874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袋装吸头</w:t>
                  </w:r>
                  <w:r>
                    <w:rPr>
                      <w:rStyle w:val="48"/>
                      <w:rFonts w:hint="default" w:ascii="Times New Roman" w:hAnsi="Times New Roman" w:eastAsia="宋体" w:cs="Times New Roman"/>
                      <w:color w:val="auto"/>
                      <w:sz w:val="18"/>
                      <w:szCs w:val="18"/>
                      <w:lang w:bidi="ar"/>
                    </w:rPr>
                    <w:t>200ul Axygen</w:t>
                  </w:r>
                </w:p>
              </w:tc>
              <w:tc>
                <w:tcPr>
                  <w:tcW w:w="480" w:type="pct"/>
                  <w:tcBorders>
                    <w:tl2br w:val="nil"/>
                    <w:tr2bl w:val="nil"/>
                  </w:tcBorders>
                  <w:shd w:val="clear" w:color="auto" w:fill="auto"/>
                  <w:noWrap/>
                  <w:tcMar>
                    <w:top w:w="12" w:type="dxa"/>
                    <w:left w:w="12" w:type="dxa"/>
                    <w:right w:w="12" w:type="dxa"/>
                  </w:tcMar>
                  <w:vAlign w:val="center"/>
                </w:tcPr>
                <w:p w14:paraId="287B99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5948DE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1000支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 xml:space="preserve">袋 </w:t>
                  </w:r>
                  <w:r>
                    <w:rPr>
                      <w:rStyle w:val="48"/>
                      <w:rFonts w:hint="default" w:ascii="Times New Roman" w:hAnsi="Times New Roman" w:eastAsia="宋体" w:cs="Times New Roman"/>
                      <w:color w:val="auto"/>
                      <w:sz w:val="18"/>
                      <w:szCs w:val="18"/>
                      <w:lang w:bidi="ar"/>
                    </w:rPr>
                    <w:t>20</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10AD27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630FE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88C06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袋装吸头</w:t>
                  </w:r>
                  <w:r>
                    <w:rPr>
                      <w:rStyle w:val="48"/>
                      <w:rFonts w:hint="default" w:ascii="Times New Roman" w:hAnsi="Times New Roman" w:eastAsia="宋体" w:cs="Times New Roman"/>
                      <w:color w:val="auto"/>
                      <w:sz w:val="18"/>
                      <w:szCs w:val="18"/>
                      <w:lang w:bidi="ar"/>
                    </w:rPr>
                    <w:t>1000ul Axygen</w:t>
                  </w:r>
                </w:p>
              </w:tc>
              <w:tc>
                <w:tcPr>
                  <w:tcW w:w="480" w:type="pct"/>
                  <w:tcBorders>
                    <w:tl2br w:val="nil"/>
                    <w:tr2bl w:val="nil"/>
                  </w:tcBorders>
                  <w:shd w:val="clear" w:color="auto" w:fill="auto"/>
                  <w:noWrap/>
                  <w:tcMar>
                    <w:top w:w="12" w:type="dxa"/>
                    <w:left w:w="12" w:type="dxa"/>
                    <w:right w:w="12" w:type="dxa"/>
                  </w:tcMar>
                  <w:vAlign w:val="center"/>
                </w:tcPr>
                <w:p w14:paraId="11C7B2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238A53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1000支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 xml:space="preserve">袋 </w:t>
                  </w:r>
                  <w:r>
                    <w:rPr>
                      <w:rStyle w:val="48"/>
                      <w:rFonts w:hint="default" w:ascii="Times New Roman" w:hAnsi="Times New Roman" w:eastAsia="宋体" w:cs="Times New Roman"/>
                      <w:color w:val="auto"/>
                      <w:sz w:val="18"/>
                      <w:szCs w:val="18"/>
                      <w:lang w:bidi="ar"/>
                    </w:rPr>
                    <w:t>20</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2E265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206D2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A72A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无菌盒装无菌吸头</w:t>
                  </w:r>
                  <w:r>
                    <w:rPr>
                      <w:rStyle w:val="48"/>
                      <w:rFonts w:hint="default" w:ascii="Times New Roman" w:hAnsi="Times New Roman" w:eastAsia="宋体" w:cs="Times New Roman"/>
                      <w:color w:val="auto"/>
                      <w:sz w:val="18"/>
                      <w:szCs w:val="18"/>
                      <w:lang w:bidi="ar"/>
                    </w:rPr>
                    <w:t>10ul Axygen</w:t>
                  </w:r>
                </w:p>
              </w:tc>
              <w:tc>
                <w:tcPr>
                  <w:tcW w:w="480" w:type="pct"/>
                  <w:tcBorders>
                    <w:tl2br w:val="nil"/>
                    <w:tr2bl w:val="nil"/>
                  </w:tcBorders>
                  <w:shd w:val="clear" w:color="auto" w:fill="auto"/>
                  <w:noWrap/>
                  <w:tcMar>
                    <w:top w:w="12" w:type="dxa"/>
                    <w:left w:w="12" w:type="dxa"/>
                    <w:right w:w="12" w:type="dxa"/>
                  </w:tcMar>
                  <w:vAlign w:val="center"/>
                </w:tcPr>
                <w:p w14:paraId="23B2AD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7D5C2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96支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盒</w:t>
                  </w:r>
                </w:p>
              </w:tc>
              <w:tc>
                <w:tcPr>
                  <w:tcW w:w="691" w:type="pct"/>
                  <w:tcBorders>
                    <w:tl2br w:val="nil"/>
                    <w:tr2bl w:val="nil"/>
                  </w:tcBorders>
                  <w:shd w:val="clear" w:color="auto" w:fill="auto"/>
                  <w:noWrap/>
                  <w:tcMar>
                    <w:top w:w="12" w:type="dxa"/>
                    <w:left w:w="12" w:type="dxa"/>
                    <w:right w:w="12" w:type="dxa"/>
                  </w:tcMar>
                  <w:vAlign w:val="center"/>
                </w:tcPr>
                <w:p w14:paraId="5560F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5B424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C80CF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无菌盒装无菌吸头</w:t>
                  </w:r>
                  <w:r>
                    <w:rPr>
                      <w:rStyle w:val="48"/>
                      <w:rFonts w:hint="default" w:ascii="Times New Roman" w:hAnsi="Times New Roman" w:eastAsia="宋体" w:cs="Times New Roman"/>
                      <w:color w:val="auto"/>
                      <w:sz w:val="18"/>
                      <w:szCs w:val="18"/>
                      <w:lang w:bidi="ar"/>
                    </w:rPr>
                    <w:t>200ul Axygen</w:t>
                  </w:r>
                </w:p>
              </w:tc>
              <w:tc>
                <w:tcPr>
                  <w:tcW w:w="480" w:type="pct"/>
                  <w:tcBorders>
                    <w:tl2br w:val="nil"/>
                    <w:tr2bl w:val="nil"/>
                  </w:tcBorders>
                  <w:shd w:val="clear" w:color="auto" w:fill="auto"/>
                  <w:noWrap/>
                  <w:tcMar>
                    <w:top w:w="12" w:type="dxa"/>
                    <w:left w:w="12" w:type="dxa"/>
                    <w:right w:w="12" w:type="dxa"/>
                  </w:tcMar>
                  <w:vAlign w:val="center"/>
                </w:tcPr>
                <w:p w14:paraId="15E32B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5DF4B2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96支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盒</w:t>
                  </w:r>
                </w:p>
              </w:tc>
              <w:tc>
                <w:tcPr>
                  <w:tcW w:w="691" w:type="pct"/>
                  <w:tcBorders>
                    <w:tl2br w:val="nil"/>
                    <w:tr2bl w:val="nil"/>
                  </w:tcBorders>
                  <w:shd w:val="clear" w:color="auto" w:fill="auto"/>
                  <w:noWrap/>
                  <w:tcMar>
                    <w:top w:w="12" w:type="dxa"/>
                    <w:left w:w="12" w:type="dxa"/>
                    <w:right w:w="12" w:type="dxa"/>
                  </w:tcMar>
                  <w:vAlign w:val="center"/>
                </w:tcPr>
                <w:p w14:paraId="4CC15D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626E9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95761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Eppendorf盒装无菌吸头 </w:t>
                  </w:r>
                  <w:r>
                    <w:rPr>
                      <w:rStyle w:val="48"/>
                      <w:rFonts w:hint="default" w:ascii="Times New Roman" w:hAnsi="Times New Roman" w:eastAsia="宋体" w:cs="Times New Roman"/>
                      <w:color w:val="auto"/>
                      <w:sz w:val="18"/>
                      <w:szCs w:val="18"/>
                      <w:lang w:bidi="ar"/>
                    </w:rPr>
                    <w:t>1000ul</w:t>
                  </w:r>
                </w:p>
              </w:tc>
              <w:tc>
                <w:tcPr>
                  <w:tcW w:w="480" w:type="pct"/>
                  <w:tcBorders>
                    <w:tl2br w:val="nil"/>
                    <w:tr2bl w:val="nil"/>
                  </w:tcBorders>
                  <w:shd w:val="clear" w:color="auto" w:fill="auto"/>
                  <w:noWrap/>
                  <w:tcMar>
                    <w:top w:w="12" w:type="dxa"/>
                    <w:left w:w="12" w:type="dxa"/>
                    <w:right w:w="12" w:type="dxa"/>
                  </w:tcMar>
                  <w:vAlign w:val="center"/>
                </w:tcPr>
                <w:p w14:paraId="5B9729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7D2BE7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96支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盒</w:t>
                  </w:r>
                </w:p>
              </w:tc>
              <w:tc>
                <w:tcPr>
                  <w:tcW w:w="691" w:type="pct"/>
                  <w:tcBorders>
                    <w:tl2br w:val="nil"/>
                    <w:tr2bl w:val="nil"/>
                  </w:tcBorders>
                  <w:shd w:val="clear" w:color="auto" w:fill="auto"/>
                  <w:noWrap/>
                  <w:tcMar>
                    <w:top w:w="12" w:type="dxa"/>
                    <w:left w:w="12" w:type="dxa"/>
                    <w:right w:w="12" w:type="dxa"/>
                  </w:tcMar>
                  <w:vAlign w:val="center"/>
                </w:tcPr>
                <w:p w14:paraId="6B2326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4E10D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A38AC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冻存管</w:t>
                  </w:r>
                  <w:r>
                    <w:rPr>
                      <w:rStyle w:val="48"/>
                      <w:rFonts w:hint="default" w:ascii="Times New Roman" w:hAnsi="Times New Roman" w:eastAsia="宋体" w:cs="Times New Roman"/>
                      <w:color w:val="auto"/>
                      <w:sz w:val="18"/>
                      <w:szCs w:val="18"/>
                      <w:lang w:bidi="ar"/>
                    </w:rPr>
                    <w:t xml:space="preserve"> 2ml </w:t>
                  </w:r>
                  <w:r>
                    <w:rPr>
                      <w:rFonts w:hint="default" w:ascii="Times New Roman" w:hAnsi="Times New Roman" w:eastAsia="宋体" w:cs="Times New Roman"/>
                      <w:color w:val="auto"/>
                      <w:kern w:val="0"/>
                      <w:sz w:val="18"/>
                      <w:szCs w:val="18"/>
                      <w:lang w:bidi="ar"/>
                    </w:rPr>
                    <w:t>圆底可立</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彩色螺旋盖</w:t>
                  </w:r>
                  <w:r>
                    <w:rPr>
                      <w:rFonts w:hint="eastAsia" w:cs="Times New Roman"/>
                      <w:color w:val="auto"/>
                      <w:kern w:val="0"/>
                      <w:sz w:val="18"/>
                      <w:szCs w:val="18"/>
                      <w:lang w:eastAsia="zh-CN" w:bidi="ar"/>
                    </w:rPr>
                    <w:t>）</w:t>
                  </w:r>
                </w:p>
              </w:tc>
              <w:tc>
                <w:tcPr>
                  <w:tcW w:w="480" w:type="pct"/>
                  <w:tcBorders>
                    <w:tl2br w:val="nil"/>
                    <w:tr2bl w:val="nil"/>
                  </w:tcBorders>
                  <w:shd w:val="clear" w:color="auto" w:fill="auto"/>
                  <w:noWrap/>
                  <w:tcMar>
                    <w:top w:w="12" w:type="dxa"/>
                    <w:left w:w="12" w:type="dxa"/>
                    <w:right w:w="12" w:type="dxa"/>
                  </w:tcMar>
                  <w:vAlign w:val="center"/>
                </w:tcPr>
                <w:p w14:paraId="21FA05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54C86E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p>
              </w:tc>
              <w:tc>
                <w:tcPr>
                  <w:tcW w:w="691" w:type="pct"/>
                  <w:tcBorders>
                    <w:tl2br w:val="nil"/>
                    <w:tr2bl w:val="nil"/>
                  </w:tcBorders>
                  <w:shd w:val="clear" w:color="auto" w:fill="auto"/>
                  <w:noWrap/>
                  <w:tcMar>
                    <w:top w:w="12" w:type="dxa"/>
                    <w:left w:w="12" w:type="dxa"/>
                    <w:right w:w="12" w:type="dxa"/>
                  </w:tcMar>
                  <w:vAlign w:val="center"/>
                </w:tcPr>
                <w:p w14:paraId="0B405A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706D6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A4F9F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100孔塑料冻存盒（适用于</w:t>
                  </w:r>
                  <w:r>
                    <w:rPr>
                      <w:rStyle w:val="48"/>
                      <w:rFonts w:hint="default" w:ascii="Times New Roman" w:hAnsi="Times New Roman" w:eastAsia="宋体" w:cs="Times New Roman"/>
                      <w:color w:val="auto"/>
                      <w:sz w:val="18"/>
                      <w:szCs w:val="18"/>
                      <w:lang w:bidi="ar"/>
                    </w:rPr>
                    <w:t>1.8</w:t>
                  </w:r>
                  <w:r>
                    <w:rPr>
                      <w:rStyle w:val="48"/>
                      <w:rFonts w:hint="eastAsia" w:cs="Times New Roman"/>
                      <w:color w:val="auto"/>
                      <w:sz w:val="18"/>
                      <w:szCs w:val="18"/>
                      <w:lang w:eastAsia="zh-CN" w:bidi="ar"/>
                    </w:rPr>
                    <w:t>—</w:t>
                  </w:r>
                  <w:r>
                    <w:rPr>
                      <w:rStyle w:val="48"/>
                      <w:rFonts w:hint="default" w:ascii="Times New Roman" w:hAnsi="Times New Roman" w:eastAsia="宋体" w:cs="Times New Roman"/>
                      <w:color w:val="auto"/>
                      <w:sz w:val="18"/>
                      <w:szCs w:val="18"/>
                      <w:lang w:bidi="ar"/>
                    </w:rPr>
                    <w:t>2ml</w:t>
                  </w:r>
                  <w:r>
                    <w:rPr>
                      <w:rFonts w:hint="default" w:ascii="Times New Roman" w:hAnsi="Times New Roman" w:eastAsia="宋体" w:cs="Times New Roman"/>
                      <w:color w:val="auto"/>
                      <w:kern w:val="0"/>
                      <w:sz w:val="18"/>
                      <w:szCs w:val="18"/>
                      <w:lang w:bidi="ar"/>
                    </w:rPr>
                    <w:t>冻存管）</w:t>
                  </w:r>
                </w:p>
              </w:tc>
              <w:tc>
                <w:tcPr>
                  <w:tcW w:w="480" w:type="pct"/>
                  <w:tcBorders>
                    <w:tl2br w:val="nil"/>
                    <w:tr2bl w:val="nil"/>
                  </w:tcBorders>
                  <w:shd w:val="clear" w:color="auto" w:fill="auto"/>
                  <w:noWrap/>
                  <w:tcMar>
                    <w:top w:w="12" w:type="dxa"/>
                    <w:left w:w="12" w:type="dxa"/>
                    <w:right w:w="12" w:type="dxa"/>
                  </w:tcMar>
                  <w:vAlign w:val="center"/>
                </w:tcPr>
                <w:p w14:paraId="6BD6A3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0D0F9E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100孔</w:t>
                  </w:r>
                </w:p>
              </w:tc>
              <w:tc>
                <w:tcPr>
                  <w:tcW w:w="691" w:type="pct"/>
                  <w:tcBorders>
                    <w:tl2br w:val="nil"/>
                    <w:tr2bl w:val="nil"/>
                  </w:tcBorders>
                  <w:shd w:val="clear" w:color="auto" w:fill="auto"/>
                  <w:noWrap/>
                  <w:tcMar>
                    <w:top w:w="12" w:type="dxa"/>
                    <w:left w:w="12" w:type="dxa"/>
                    <w:right w:w="12" w:type="dxa"/>
                  </w:tcMar>
                  <w:vAlign w:val="center"/>
                </w:tcPr>
                <w:p w14:paraId="6EBF1E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2EA6F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DEC35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防护眼镜</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防液体飞溅</w:t>
                  </w:r>
                  <w:r>
                    <w:rPr>
                      <w:rFonts w:hint="eastAsia" w:cs="Times New Roman"/>
                      <w:color w:val="auto"/>
                      <w:kern w:val="0"/>
                      <w:sz w:val="18"/>
                      <w:szCs w:val="18"/>
                      <w:lang w:eastAsia="zh-CN" w:bidi="ar"/>
                    </w:rPr>
                    <w:t>）</w:t>
                  </w:r>
                </w:p>
              </w:tc>
              <w:tc>
                <w:tcPr>
                  <w:tcW w:w="480" w:type="pct"/>
                  <w:tcBorders>
                    <w:tl2br w:val="nil"/>
                    <w:tr2bl w:val="nil"/>
                  </w:tcBorders>
                  <w:shd w:val="clear" w:color="auto" w:fill="auto"/>
                  <w:noWrap/>
                  <w:tcMar>
                    <w:top w:w="12" w:type="dxa"/>
                    <w:left w:w="12" w:type="dxa"/>
                    <w:right w:w="12" w:type="dxa"/>
                  </w:tcMar>
                  <w:vAlign w:val="center"/>
                </w:tcPr>
                <w:p w14:paraId="75DC3B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522F73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均码</w:t>
                  </w:r>
                </w:p>
              </w:tc>
              <w:tc>
                <w:tcPr>
                  <w:tcW w:w="691" w:type="pct"/>
                  <w:tcBorders>
                    <w:tl2br w:val="nil"/>
                    <w:tr2bl w:val="nil"/>
                  </w:tcBorders>
                  <w:shd w:val="clear" w:color="auto" w:fill="auto"/>
                  <w:noWrap/>
                  <w:tcMar>
                    <w:top w:w="12" w:type="dxa"/>
                    <w:left w:w="12" w:type="dxa"/>
                    <w:right w:w="12" w:type="dxa"/>
                  </w:tcMar>
                  <w:vAlign w:val="center"/>
                </w:tcPr>
                <w:p w14:paraId="769742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w:t>
                  </w:r>
                </w:p>
              </w:tc>
            </w:tr>
            <w:tr w14:paraId="407AE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2047C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一次性活性炭口罩（进口）（四层）黑灰色</w:t>
                  </w:r>
                </w:p>
              </w:tc>
              <w:tc>
                <w:tcPr>
                  <w:tcW w:w="480" w:type="pct"/>
                  <w:tcBorders>
                    <w:tl2br w:val="nil"/>
                    <w:tr2bl w:val="nil"/>
                  </w:tcBorders>
                  <w:shd w:val="clear" w:color="auto" w:fill="auto"/>
                  <w:noWrap/>
                  <w:tcMar>
                    <w:top w:w="12" w:type="dxa"/>
                    <w:left w:w="12" w:type="dxa"/>
                    <w:right w:w="12" w:type="dxa"/>
                  </w:tcMar>
                  <w:vAlign w:val="center"/>
                </w:tcPr>
                <w:p w14:paraId="333653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7A9D32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10盒</w:t>
                  </w:r>
                </w:p>
              </w:tc>
              <w:tc>
                <w:tcPr>
                  <w:tcW w:w="691" w:type="pct"/>
                  <w:tcBorders>
                    <w:tl2br w:val="nil"/>
                    <w:tr2bl w:val="nil"/>
                  </w:tcBorders>
                  <w:shd w:val="clear" w:color="auto" w:fill="auto"/>
                  <w:noWrap/>
                  <w:tcMar>
                    <w:top w:w="12" w:type="dxa"/>
                    <w:left w:w="12" w:type="dxa"/>
                    <w:right w:w="12" w:type="dxa"/>
                  </w:tcMar>
                  <w:vAlign w:val="center"/>
                </w:tcPr>
                <w:p w14:paraId="181596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0BF7E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DDF6E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15ml离心管（尖底螺口带泡沫托）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09870D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5A97D1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p>
              </w:tc>
              <w:tc>
                <w:tcPr>
                  <w:tcW w:w="691" w:type="pct"/>
                  <w:tcBorders>
                    <w:tl2br w:val="nil"/>
                    <w:tr2bl w:val="nil"/>
                  </w:tcBorders>
                  <w:shd w:val="clear" w:color="auto" w:fill="auto"/>
                  <w:noWrap/>
                  <w:tcMar>
                    <w:top w:w="12" w:type="dxa"/>
                    <w:left w:w="12" w:type="dxa"/>
                    <w:right w:w="12" w:type="dxa"/>
                  </w:tcMar>
                  <w:vAlign w:val="center"/>
                </w:tcPr>
                <w:p w14:paraId="22EF51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6F8D6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93579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15ml离心管（尖底螺口不带泡沫托）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1898C5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54D7AE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25支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p>
              </w:tc>
              <w:tc>
                <w:tcPr>
                  <w:tcW w:w="691" w:type="pct"/>
                  <w:tcBorders>
                    <w:tl2br w:val="nil"/>
                    <w:tr2bl w:val="nil"/>
                  </w:tcBorders>
                  <w:shd w:val="clear" w:color="auto" w:fill="auto"/>
                  <w:noWrap/>
                  <w:tcMar>
                    <w:top w:w="12" w:type="dxa"/>
                    <w:left w:w="12" w:type="dxa"/>
                    <w:right w:w="12" w:type="dxa"/>
                  </w:tcMar>
                  <w:vAlign w:val="center"/>
                </w:tcPr>
                <w:p w14:paraId="170721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6B21A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8B42C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50ml离心管（尖底螺口带泡沫托）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36C204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7F7AB7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25支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p>
              </w:tc>
              <w:tc>
                <w:tcPr>
                  <w:tcW w:w="691" w:type="pct"/>
                  <w:tcBorders>
                    <w:tl2br w:val="nil"/>
                    <w:tr2bl w:val="nil"/>
                  </w:tcBorders>
                  <w:shd w:val="clear" w:color="auto" w:fill="auto"/>
                  <w:noWrap/>
                  <w:tcMar>
                    <w:top w:w="12" w:type="dxa"/>
                    <w:left w:w="12" w:type="dxa"/>
                    <w:right w:w="12" w:type="dxa"/>
                  </w:tcMar>
                  <w:vAlign w:val="center"/>
                </w:tcPr>
                <w:p w14:paraId="705F27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6AE81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93C12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50ml离心管（尖底螺口不</w:t>
                  </w:r>
                  <w:r>
                    <w:rPr>
                      <w:rFonts w:hint="eastAsia" w:cs="Times New Roman"/>
                      <w:color w:val="auto"/>
                      <w:kern w:val="0"/>
                      <w:sz w:val="18"/>
                      <w:szCs w:val="18"/>
                      <w:lang w:eastAsia="zh-CN" w:bidi="ar"/>
                    </w:rPr>
                    <w:t>带</w:t>
                  </w:r>
                  <w:r>
                    <w:rPr>
                      <w:rFonts w:hint="default" w:ascii="Times New Roman" w:hAnsi="Times New Roman" w:eastAsia="宋体" w:cs="Times New Roman"/>
                      <w:color w:val="auto"/>
                      <w:kern w:val="0"/>
                      <w:sz w:val="18"/>
                      <w:szCs w:val="18"/>
                      <w:lang w:bidi="ar"/>
                    </w:rPr>
                    <w:t xml:space="preserve">泡沫托）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75F5D7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75846A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25支</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p>
              </w:tc>
              <w:tc>
                <w:tcPr>
                  <w:tcW w:w="691" w:type="pct"/>
                  <w:tcBorders>
                    <w:tl2br w:val="nil"/>
                    <w:tr2bl w:val="nil"/>
                  </w:tcBorders>
                  <w:shd w:val="clear" w:color="auto" w:fill="auto"/>
                  <w:noWrap/>
                  <w:tcMar>
                    <w:top w:w="12" w:type="dxa"/>
                    <w:left w:w="12" w:type="dxa"/>
                    <w:right w:w="12" w:type="dxa"/>
                  </w:tcMar>
                  <w:vAlign w:val="center"/>
                </w:tcPr>
                <w:p w14:paraId="5B1ED4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01801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A5675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离心管（无色）</w:t>
                  </w:r>
                  <w:r>
                    <w:rPr>
                      <w:rStyle w:val="48"/>
                      <w:rFonts w:hint="default" w:ascii="Times New Roman" w:hAnsi="Times New Roman" w:eastAsia="宋体" w:cs="Times New Roman"/>
                      <w:color w:val="auto"/>
                      <w:sz w:val="18"/>
                      <w:szCs w:val="18"/>
                      <w:lang w:bidi="ar"/>
                    </w:rPr>
                    <w:t>2.0ml Axygen</w:t>
                  </w:r>
                </w:p>
              </w:tc>
              <w:tc>
                <w:tcPr>
                  <w:tcW w:w="480" w:type="pct"/>
                  <w:tcBorders>
                    <w:tl2br w:val="nil"/>
                    <w:tr2bl w:val="nil"/>
                  </w:tcBorders>
                  <w:shd w:val="clear" w:color="auto" w:fill="auto"/>
                  <w:noWrap/>
                  <w:tcMar>
                    <w:top w:w="12" w:type="dxa"/>
                    <w:left w:w="12" w:type="dxa"/>
                    <w:right w:w="12" w:type="dxa"/>
                  </w:tcMar>
                  <w:vAlign w:val="center"/>
                </w:tcPr>
                <w:p w14:paraId="2B4D98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6D449C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2ml</w:t>
                  </w:r>
                </w:p>
              </w:tc>
              <w:tc>
                <w:tcPr>
                  <w:tcW w:w="691" w:type="pct"/>
                  <w:tcBorders>
                    <w:tl2br w:val="nil"/>
                    <w:tr2bl w:val="nil"/>
                  </w:tcBorders>
                  <w:shd w:val="clear" w:color="auto" w:fill="auto"/>
                  <w:noWrap/>
                  <w:tcMar>
                    <w:top w:w="12" w:type="dxa"/>
                    <w:left w:w="12" w:type="dxa"/>
                    <w:right w:w="12" w:type="dxa"/>
                  </w:tcMar>
                  <w:vAlign w:val="center"/>
                </w:tcPr>
                <w:p w14:paraId="5AD6C6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162F9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E27BC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96孔</w:t>
                  </w:r>
                  <w:r>
                    <w:rPr>
                      <w:rStyle w:val="48"/>
                      <w:rFonts w:hint="default" w:ascii="Times New Roman" w:hAnsi="Times New Roman" w:eastAsia="宋体" w:cs="Times New Roman"/>
                      <w:color w:val="auto"/>
                      <w:sz w:val="18"/>
                      <w:szCs w:val="18"/>
                      <w:lang w:bidi="ar"/>
                    </w:rPr>
                    <w:t>PCR</w:t>
                  </w:r>
                  <w:r>
                    <w:rPr>
                      <w:rFonts w:hint="default" w:ascii="Times New Roman" w:hAnsi="Times New Roman" w:eastAsia="宋体" w:cs="Times New Roman"/>
                      <w:color w:val="auto"/>
                      <w:kern w:val="0"/>
                      <w:sz w:val="18"/>
                      <w:szCs w:val="18"/>
                      <w:lang w:bidi="ar"/>
                    </w:rPr>
                    <w:t xml:space="preserve">板 </w:t>
                  </w:r>
                  <w:r>
                    <w:rPr>
                      <w:rStyle w:val="48"/>
                      <w:rFonts w:hint="default" w:ascii="Times New Roman" w:hAnsi="Times New Roman" w:eastAsia="宋体" w:cs="Times New Roman"/>
                      <w:color w:val="auto"/>
                      <w:sz w:val="18"/>
                      <w:szCs w:val="18"/>
                      <w:lang w:bidi="ar"/>
                    </w:rPr>
                    <w:t>0.2ml</w:t>
                  </w:r>
                  <w:r>
                    <w:rPr>
                      <w:rFonts w:hint="default" w:ascii="Times New Roman" w:hAnsi="Times New Roman" w:eastAsia="宋体" w:cs="Times New Roman"/>
                      <w:color w:val="auto"/>
                      <w:kern w:val="0"/>
                      <w:sz w:val="18"/>
                      <w:szCs w:val="18"/>
                      <w:lang w:bidi="ar"/>
                    </w:rPr>
                    <w:t>（无裙边）</w:t>
                  </w:r>
                  <w:r>
                    <w:rPr>
                      <w:rStyle w:val="48"/>
                      <w:rFonts w:hint="default" w:ascii="Times New Roman" w:hAnsi="Times New Roman" w:eastAsia="宋体" w:cs="Times New Roman"/>
                      <w:color w:val="auto"/>
                      <w:sz w:val="18"/>
                      <w:szCs w:val="18"/>
                      <w:lang w:bidi="ar"/>
                    </w:rPr>
                    <w:t>Axygen.</w:t>
                  </w:r>
                </w:p>
              </w:tc>
              <w:tc>
                <w:tcPr>
                  <w:tcW w:w="480" w:type="pct"/>
                  <w:tcBorders>
                    <w:tl2br w:val="nil"/>
                    <w:tr2bl w:val="nil"/>
                  </w:tcBorders>
                  <w:shd w:val="clear" w:color="auto" w:fill="auto"/>
                  <w:noWrap/>
                  <w:tcMar>
                    <w:top w:w="12" w:type="dxa"/>
                    <w:left w:w="12" w:type="dxa"/>
                    <w:right w:w="12" w:type="dxa"/>
                  </w:tcMar>
                  <w:vAlign w:val="center"/>
                </w:tcPr>
                <w:p w14:paraId="4DA34B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562301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 Plates/包</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 xml:space="preserve"> 5</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3D087C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7225B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82FFE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血球计数板</w:t>
                  </w:r>
                </w:p>
              </w:tc>
              <w:tc>
                <w:tcPr>
                  <w:tcW w:w="480" w:type="pct"/>
                  <w:tcBorders>
                    <w:tl2br w:val="nil"/>
                    <w:tr2bl w:val="nil"/>
                  </w:tcBorders>
                  <w:shd w:val="clear" w:color="auto" w:fill="auto"/>
                  <w:noWrap/>
                  <w:tcMar>
                    <w:top w:w="12" w:type="dxa"/>
                    <w:left w:w="12" w:type="dxa"/>
                    <w:right w:w="12" w:type="dxa"/>
                  </w:tcMar>
                  <w:vAlign w:val="center"/>
                </w:tcPr>
                <w:p w14:paraId="4C8CC7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块</w:t>
                  </w:r>
                </w:p>
              </w:tc>
              <w:tc>
                <w:tcPr>
                  <w:tcW w:w="1238" w:type="pct"/>
                  <w:tcBorders>
                    <w:tl2br w:val="nil"/>
                    <w:tr2bl w:val="nil"/>
                  </w:tcBorders>
                  <w:shd w:val="clear" w:color="auto" w:fill="auto"/>
                  <w:noWrap/>
                  <w:tcMar>
                    <w:top w:w="12" w:type="dxa"/>
                    <w:left w:w="12" w:type="dxa"/>
                    <w:right w:w="12" w:type="dxa"/>
                  </w:tcMar>
                  <w:vAlign w:val="center"/>
                </w:tcPr>
                <w:p w14:paraId="48B28D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块</w:t>
                  </w:r>
                </w:p>
              </w:tc>
              <w:tc>
                <w:tcPr>
                  <w:tcW w:w="691" w:type="pct"/>
                  <w:tcBorders>
                    <w:tl2br w:val="nil"/>
                    <w:tr2bl w:val="nil"/>
                  </w:tcBorders>
                  <w:shd w:val="clear" w:color="auto" w:fill="auto"/>
                  <w:noWrap/>
                  <w:tcMar>
                    <w:top w:w="12" w:type="dxa"/>
                    <w:left w:w="12" w:type="dxa"/>
                    <w:right w:w="12" w:type="dxa"/>
                  </w:tcMar>
                  <w:vAlign w:val="center"/>
                </w:tcPr>
                <w:p w14:paraId="35FA0E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26300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0C50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Western洗膜盒 </w:t>
                  </w:r>
                  <w:r>
                    <w:rPr>
                      <w:rStyle w:val="48"/>
                      <w:rFonts w:hint="default" w:ascii="Times New Roman" w:hAnsi="Times New Roman" w:eastAsia="宋体" w:cs="Times New Roman"/>
                      <w:color w:val="auto"/>
                      <w:sz w:val="18"/>
                      <w:szCs w:val="18"/>
                      <w:lang w:bidi="ar"/>
                    </w:rPr>
                    <w:t>5</w:t>
                  </w:r>
                  <w:r>
                    <w:rPr>
                      <w:rFonts w:hint="default" w:ascii="Times New Roman" w:hAnsi="Times New Roman" w:eastAsia="宋体" w:cs="Times New Roman"/>
                      <w:color w:val="auto"/>
                      <w:kern w:val="0"/>
                      <w:sz w:val="18"/>
                      <w:szCs w:val="18"/>
                      <w:lang w:bidi="ar"/>
                    </w:rPr>
                    <w:t xml:space="preserve">格 </w:t>
                  </w:r>
                  <w:r>
                    <w:rPr>
                      <w:rStyle w:val="48"/>
                      <w:rFonts w:hint="default" w:ascii="Times New Roman" w:hAnsi="Times New Roman" w:eastAsia="宋体" w:cs="Times New Roman"/>
                      <w:color w:val="auto"/>
                      <w:sz w:val="18"/>
                      <w:szCs w:val="18"/>
                      <w:lang w:bidi="ar"/>
                    </w:rPr>
                    <w:t>14*9.3*3.5cm</w:t>
                  </w:r>
                </w:p>
              </w:tc>
              <w:tc>
                <w:tcPr>
                  <w:tcW w:w="480" w:type="pct"/>
                  <w:tcBorders>
                    <w:tl2br w:val="nil"/>
                    <w:tr2bl w:val="nil"/>
                  </w:tcBorders>
                  <w:shd w:val="clear" w:color="auto" w:fill="auto"/>
                  <w:noWrap/>
                  <w:tcMar>
                    <w:top w:w="12" w:type="dxa"/>
                    <w:left w:w="12" w:type="dxa"/>
                    <w:right w:w="12" w:type="dxa"/>
                  </w:tcMar>
                  <w:vAlign w:val="center"/>
                </w:tcPr>
                <w:p w14:paraId="752935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150FB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14*9.3*3.5cm</w:t>
                  </w:r>
                </w:p>
              </w:tc>
              <w:tc>
                <w:tcPr>
                  <w:tcW w:w="691" w:type="pct"/>
                  <w:tcBorders>
                    <w:tl2br w:val="nil"/>
                    <w:tr2bl w:val="nil"/>
                  </w:tcBorders>
                  <w:shd w:val="clear" w:color="auto" w:fill="auto"/>
                  <w:noWrap/>
                  <w:tcMar>
                    <w:top w:w="12" w:type="dxa"/>
                    <w:left w:w="12" w:type="dxa"/>
                    <w:right w:w="12" w:type="dxa"/>
                  </w:tcMar>
                  <w:vAlign w:val="center"/>
                </w:tcPr>
                <w:p w14:paraId="0F30A8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66545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7EF14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50片装切片盒</w:t>
                  </w:r>
                </w:p>
              </w:tc>
              <w:tc>
                <w:tcPr>
                  <w:tcW w:w="480" w:type="pct"/>
                  <w:tcBorders>
                    <w:tl2br w:val="nil"/>
                    <w:tr2bl w:val="nil"/>
                  </w:tcBorders>
                  <w:shd w:val="clear" w:color="auto" w:fill="auto"/>
                  <w:noWrap/>
                  <w:tcMar>
                    <w:top w:w="12" w:type="dxa"/>
                    <w:left w:w="12" w:type="dxa"/>
                    <w:right w:w="12" w:type="dxa"/>
                  </w:tcMar>
                  <w:vAlign w:val="center"/>
                </w:tcPr>
                <w:p w14:paraId="69EDAE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2475D8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 盒</w:t>
                  </w:r>
                </w:p>
              </w:tc>
              <w:tc>
                <w:tcPr>
                  <w:tcW w:w="691" w:type="pct"/>
                  <w:tcBorders>
                    <w:tl2br w:val="nil"/>
                    <w:tr2bl w:val="nil"/>
                  </w:tcBorders>
                  <w:shd w:val="clear" w:color="auto" w:fill="auto"/>
                  <w:noWrap/>
                  <w:tcMar>
                    <w:top w:w="12" w:type="dxa"/>
                    <w:left w:w="12" w:type="dxa"/>
                    <w:right w:w="12" w:type="dxa"/>
                  </w:tcMar>
                  <w:vAlign w:val="center"/>
                </w:tcPr>
                <w:p w14:paraId="7D0FC6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0EDF3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249DE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96孔双面离心管架（</w:t>
                  </w:r>
                  <w:r>
                    <w:rPr>
                      <w:rStyle w:val="48"/>
                      <w:rFonts w:hint="default" w:ascii="Times New Roman" w:hAnsi="Times New Roman" w:eastAsia="宋体" w:cs="Times New Roman"/>
                      <w:color w:val="auto"/>
                      <w:sz w:val="18"/>
                      <w:szCs w:val="18"/>
                      <w:lang w:bidi="ar"/>
                    </w:rPr>
                    <w:t>0.5ml&amp;1.5ml</w:t>
                  </w:r>
                  <w:r>
                    <w:rPr>
                      <w:rFonts w:hint="default" w:ascii="Times New Roman" w:hAnsi="Times New Roman" w:eastAsia="宋体" w:cs="Times New Roman"/>
                      <w:color w:val="auto"/>
                      <w:kern w:val="0"/>
                      <w:sz w:val="18"/>
                      <w:szCs w:val="18"/>
                      <w:lang w:bidi="ar"/>
                    </w:rPr>
                    <w:t>）</w:t>
                  </w:r>
                </w:p>
              </w:tc>
              <w:tc>
                <w:tcPr>
                  <w:tcW w:w="480" w:type="pct"/>
                  <w:tcBorders>
                    <w:tl2br w:val="nil"/>
                    <w:tr2bl w:val="nil"/>
                  </w:tcBorders>
                  <w:shd w:val="clear" w:color="auto" w:fill="auto"/>
                  <w:noWrap/>
                  <w:tcMar>
                    <w:top w:w="12" w:type="dxa"/>
                    <w:left w:w="12" w:type="dxa"/>
                    <w:right w:w="12" w:type="dxa"/>
                  </w:tcMar>
                  <w:vAlign w:val="center"/>
                </w:tcPr>
                <w:p w14:paraId="35FA93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0F0FC9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96孔</w:t>
                  </w:r>
                </w:p>
              </w:tc>
              <w:tc>
                <w:tcPr>
                  <w:tcW w:w="691" w:type="pct"/>
                  <w:tcBorders>
                    <w:tl2br w:val="nil"/>
                    <w:tr2bl w:val="nil"/>
                  </w:tcBorders>
                  <w:shd w:val="clear" w:color="auto" w:fill="auto"/>
                  <w:noWrap/>
                  <w:tcMar>
                    <w:top w:w="12" w:type="dxa"/>
                    <w:left w:w="12" w:type="dxa"/>
                    <w:right w:w="12" w:type="dxa"/>
                  </w:tcMar>
                  <w:vAlign w:val="center"/>
                </w:tcPr>
                <w:p w14:paraId="28ABE1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12037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6D4CB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100片切片盒</w:t>
                  </w:r>
                </w:p>
              </w:tc>
              <w:tc>
                <w:tcPr>
                  <w:tcW w:w="480" w:type="pct"/>
                  <w:tcBorders>
                    <w:tl2br w:val="nil"/>
                    <w:tr2bl w:val="nil"/>
                  </w:tcBorders>
                  <w:shd w:val="clear" w:color="auto" w:fill="auto"/>
                  <w:noWrap/>
                  <w:tcMar>
                    <w:top w:w="12" w:type="dxa"/>
                    <w:left w:w="12" w:type="dxa"/>
                    <w:right w:w="12" w:type="dxa"/>
                  </w:tcMar>
                  <w:vAlign w:val="center"/>
                </w:tcPr>
                <w:p w14:paraId="1F4B6D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05D4C2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100片</w:t>
                  </w:r>
                </w:p>
              </w:tc>
              <w:tc>
                <w:tcPr>
                  <w:tcW w:w="691" w:type="pct"/>
                  <w:tcBorders>
                    <w:tl2br w:val="nil"/>
                    <w:tr2bl w:val="nil"/>
                  </w:tcBorders>
                  <w:shd w:val="clear" w:color="auto" w:fill="auto"/>
                  <w:noWrap/>
                  <w:tcMar>
                    <w:top w:w="12" w:type="dxa"/>
                    <w:left w:w="12" w:type="dxa"/>
                    <w:right w:w="12" w:type="dxa"/>
                  </w:tcMar>
                  <w:vAlign w:val="center"/>
                </w:tcPr>
                <w:p w14:paraId="10F33A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060CB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0C63C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湿盒（大）</w:t>
                  </w:r>
                </w:p>
              </w:tc>
              <w:tc>
                <w:tcPr>
                  <w:tcW w:w="480" w:type="pct"/>
                  <w:tcBorders>
                    <w:tl2br w:val="nil"/>
                    <w:tr2bl w:val="nil"/>
                  </w:tcBorders>
                  <w:shd w:val="clear" w:color="auto" w:fill="auto"/>
                  <w:noWrap/>
                  <w:tcMar>
                    <w:top w:w="12" w:type="dxa"/>
                    <w:left w:w="12" w:type="dxa"/>
                    <w:right w:w="12" w:type="dxa"/>
                  </w:tcMar>
                  <w:vAlign w:val="center"/>
                </w:tcPr>
                <w:p w14:paraId="551468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18B99A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20片</w:t>
                  </w:r>
                </w:p>
              </w:tc>
              <w:tc>
                <w:tcPr>
                  <w:tcW w:w="691" w:type="pct"/>
                  <w:tcBorders>
                    <w:tl2br w:val="nil"/>
                    <w:tr2bl w:val="nil"/>
                  </w:tcBorders>
                  <w:shd w:val="clear" w:color="auto" w:fill="auto"/>
                  <w:noWrap/>
                  <w:tcMar>
                    <w:top w:w="12" w:type="dxa"/>
                    <w:left w:w="12" w:type="dxa"/>
                    <w:right w:w="12" w:type="dxa"/>
                  </w:tcMar>
                  <w:vAlign w:val="center"/>
                </w:tcPr>
                <w:p w14:paraId="35C1AB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w:t>
                  </w:r>
                </w:p>
              </w:tc>
            </w:tr>
            <w:tr w14:paraId="637057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C6BBE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暗盒</w:t>
                  </w:r>
                  <w:r>
                    <w:rPr>
                      <w:rStyle w:val="48"/>
                      <w:rFonts w:hint="default" w:ascii="Times New Roman" w:hAnsi="Times New Roman" w:eastAsia="宋体" w:cs="Times New Roman"/>
                      <w:color w:val="auto"/>
                      <w:sz w:val="18"/>
                      <w:szCs w:val="18"/>
                      <w:lang w:bidi="ar"/>
                    </w:rPr>
                    <w:t xml:space="preserve"> 8*10</w:t>
                  </w:r>
                </w:p>
              </w:tc>
              <w:tc>
                <w:tcPr>
                  <w:tcW w:w="480" w:type="pct"/>
                  <w:tcBorders>
                    <w:tl2br w:val="nil"/>
                    <w:tr2bl w:val="nil"/>
                  </w:tcBorders>
                  <w:shd w:val="clear" w:color="auto" w:fill="auto"/>
                  <w:noWrap/>
                  <w:tcMar>
                    <w:top w:w="12" w:type="dxa"/>
                    <w:left w:w="12" w:type="dxa"/>
                    <w:right w:w="12" w:type="dxa"/>
                  </w:tcMar>
                  <w:vAlign w:val="center"/>
                </w:tcPr>
                <w:p w14:paraId="6C2075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2BEE16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8*10</w:t>
                  </w:r>
                </w:p>
              </w:tc>
              <w:tc>
                <w:tcPr>
                  <w:tcW w:w="691" w:type="pct"/>
                  <w:tcBorders>
                    <w:tl2br w:val="nil"/>
                    <w:tr2bl w:val="nil"/>
                  </w:tcBorders>
                  <w:shd w:val="clear" w:color="auto" w:fill="auto"/>
                  <w:noWrap/>
                  <w:tcMar>
                    <w:top w:w="12" w:type="dxa"/>
                    <w:left w:w="12" w:type="dxa"/>
                    <w:right w:w="12" w:type="dxa"/>
                  </w:tcMar>
                  <w:vAlign w:val="center"/>
                </w:tcPr>
                <w:p w14:paraId="3FA6D0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6F0A8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F85F6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可灭菌封瓶膜</w:t>
                  </w:r>
                  <w:r>
                    <w:rPr>
                      <w:rStyle w:val="48"/>
                      <w:rFonts w:hint="default" w:ascii="Times New Roman" w:hAnsi="Times New Roman" w:eastAsia="宋体" w:cs="Times New Roman"/>
                      <w:color w:val="auto"/>
                      <w:sz w:val="18"/>
                      <w:szCs w:val="18"/>
                      <w:lang w:bidi="ar"/>
                    </w:rPr>
                    <w:t>16cm×16cm</w:t>
                  </w:r>
                </w:p>
              </w:tc>
              <w:tc>
                <w:tcPr>
                  <w:tcW w:w="480" w:type="pct"/>
                  <w:tcBorders>
                    <w:tl2br w:val="nil"/>
                    <w:tr2bl w:val="nil"/>
                  </w:tcBorders>
                  <w:shd w:val="clear" w:color="auto" w:fill="auto"/>
                  <w:noWrap/>
                  <w:tcMar>
                    <w:top w:w="12" w:type="dxa"/>
                    <w:left w:w="12" w:type="dxa"/>
                    <w:right w:w="12" w:type="dxa"/>
                  </w:tcMar>
                  <w:vAlign w:val="center"/>
                </w:tcPr>
                <w:p w14:paraId="005592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2E56D8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500张</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p>
              </w:tc>
              <w:tc>
                <w:tcPr>
                  <w:tcW w:w="691" w:type="pct"/>
                  <w:tcBorders>
                    <w:tl2br w:val="nil"/>
                    <w:tr2bl w:val="nil"/>
                  </w:tcBorders>
                  <w:shd w:val="clear" w:color="auto" w:fill="auto"/>
                  <w:noWrap/>
                  <w:tcMar>
                    <w:top w:w="12" w:type="dxa"/>
                    <w:left w:w="12" w:type="dxa"/>
                    <w:right w:w="12" w:type="dxa"/>
                  </w:tcMar>
                  <w:vAlign w:val="center"/>
                </w:tcPr>
                <w:p w14:paraId="0186C0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2839F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CBC95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Parafilm封口膜</w:t>
                  </w:r>
                </w:p>
              </w:tc>
              <w:tc>
                <w:tcPr>
                  <w:tcW w:w="480" w:type="pct"/>
                  <w:tcBorders>
                    <w:tl2br w:val="nil"/>
                    <w:tr2bl w:val="nil"/>
                  </w:tcBorders>
                  <w:shd w:val="clear" w:color="auto" w:fill="auto"/>
                  <w:noWrap/>
                  <w:tcMar>
                    <w:top w:w="12" w:type="dxa"/>
                    <w:left w:w="12" w:type="dxa"/>
                    <w:right w:w="12" w:type="dxa"/>
                  </w:tcMar>
                  <w:vAlign w:val="center"/>
                </w:tcPr>
                <w:p w14:paraId="64987B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1E2EEC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4*125in   12盒</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7E377A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036A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216DE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细胞铲子</w:t>
                  </w:r>
                  <w:r>
                    <w:rPr>
                      <w:rStyle w:val="48"/>
                      <w:rFonts w:hint="default" w:ascii="Times New Roman" w:hAnsi="Times New Roman" w:eastAsia="宋体" w:cs="Times New Roman"/>
                      <w:color w:val="auto"/>
                      <w:sz w:val="18"/>
                      <w:szCs w:val="18"/>
                      <w:lang w:bidi="ar"/>
                    </w:rPr>
                    <w:t xml:space="preserve"> Costar.</w:t>
                  </w:r>
                </w:p>
              </w:tc>
              <w:tc>
                <w:tcPr>
                  <w:tcW w:w="480" w:type="pct"/>
                  <w:tcBorders>
                    <w:tl2br w:val="nil"/>
                    <w:tr2bl w:val="nil"/>
                  </w:tcBorders>
                  <w:shd w:val="clear" w:color="auto" w:fill="auto"/>
                  <w:noWrap/>
                  <w:tcMar>
                    <w:top w:w="12" w:type="dxa"/>
                    <w:left w:w="12" w:type="dxa"/>
                    <w:right w:w="12" w:type="dxa"/>
                  </w:tcMar>
                  <w:vAlign w:val="center"/>
                </w:tcPr>
                <w:p w14:paraId="53FEE6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1238" w:type="pct"/>
                  <w:tcBorders>
                    <w:tl2br w:val="nil"/>
                    <w:tr2bl w:val="nil"/>
                  </w:tcBorders>
                  <w:shd w:val="clear" w:color="auto" w:fill="auto"/>
                  <w:noWrap/>
                  <w:tcMar>
                    <w:top w:w="12" w:type="dxa"/>
                    <w:left w:w="12" w:type="dxa"/>
                    <w:right w:w="12" w:type="dxa"/>
                  </w:tcMar>
                  <w:vAlign w:val="center"/>
                </w:tcPr>
                <w:p w14:paraId="181490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个</w:t>
                  </w:r>
                </w:p>
              </w:tc>
              <w:tc>
                <w:tcPr>
                  <w:tcW w:w="691" w:type="pct"/>
                  <w:tcBorders>
                    <w:tl2br w:val="nil"/>
                    <w:tr2bl w:val="nil"/>
                  </w:tcBorders>
                  <w:shd w:val="clear" w:color="auto" w:fill="auto"/>
                  <w:noWrap/>
                  <w:tcMar>
                    <w:top w:w="12" w:type="dxa"/>
                    <w:left w:w="12" w:type="dxa"/>
                    <w:right w:w="12" w:type="dxa"/>
                  </w:tcMar>
                  <w:vAlign w:val="center"/>
                </w:tcPr>
                <w:p w14:paraId="7A47A6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4E63E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24A98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3M高压灭菌指示带</w:t>
                  </w:r>
                </w:p>
              </w:tc>
              <w:tc>
                <w:tcPr>
                  <w:tcW w:w="480" w:type="pct"/>
                  <w:tcBorders>
                    <w:tl2br w:val="nil"/>
                    <w:tr2bl w:val="nil"/>
                  </w:tcBorders>
                  <w:shd w:val="clear" w:color="auto" w:fill="auto"/>
                  <w:noWrap/>
                  <w:tcMar>
                    <w:top w:w="12" w:type="dxa"/>
                    <w:left w:w="12" w:type="dxa"/>
                    <w:right w:w="12" w:type="dxa"/>
                  </w:tcMar>
                  <w:vAlign w:val="center"/>
                </w:tcPr>
                <w:p w14:paraId="270C8E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688988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24mm*55m/卷 </w:t>
                  </w:r>
                  <w:r>
                    <w:rPr>
                      <w:rStyle w:val="48"/>
                      <w:rFonts w:hint="default" w:ascii="Times New Roman" w:hAnsi="Times New Roman" w:eastAsia="宋体" w:cs="Times New Roman"/>
                      <w:color w:val="auto"/>
                      <w:sz w:val="18"/>
                      <w:szCs w:val="18"/>
                      <w:lang w:bidi="ar"/>
                    </w:rPr>
                    <w:t>20</w:t>
                  </w:r>
                  <w:r>
                    <w:rPr>
                      <w:rFonts w:hint="default" w:ascii="Times New Roman" w:hAnsi="Times New Roman" w:eastAsia="宋体" w:cs="Times New Roman"/>
                      <w:color w:val="auto"/>
                      <w:kern w:val="0"/>
                      <w:sz w:val="18"/>
                      <w:szCs w:val="18"/>
                      <w:lang w:bidi="ar"/>
                    </w:rPr>
                    <w:t>卷</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0FAC64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C999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9C86A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一次性针头过滤器</w:t>
                  </w:r>
                  <w:r>
                    <w:rPr>
                      <w:rStyle w:val="48"/>
                      <w:rFonts w:hint="default" w:ascii="Times New Roman" w:hAnsi="Times New Roman" w:eastAsia="宋体" w:cs="Times New Roman"/>
                      <w:color w:val="auto"/>
                      <w:sz w:val="18"/>
                      <w:szCs w:val="18"/>
                      <w:lang w:bidi="ar"/>
                    </w:rPr>
                    <w:t xml:space="preserve"> 0.22um Millipore.</w:t>
                  </w:r>
                </w:p>
              </w:tc>
              <w:tc>
                <w:tcPr>
                  <w:tcW w:w="480" w:type="pct"/>
                  <w:tcBorders>
                    <w:tl2br w:val="nil"/>
                    <w:tr2bl w:val="nil"/>
                  </w:tcBorders>
                  <w:shd w:val="clear" w:color="auto" w:fill="auto"/>
                  <w:noWrap/>
                  <w:tcMar>
                    <w:top w:w="12" w:type="dxa"/>
                    <w:left w:w="12" w:type="dxa"/>
                    <w:right w:w="12" w:type="dxa"/>
                  </w:tcMar>
                  <w:vAlign w:val="center"/>
                </w:tcPr>
                <w:p w14:paraId="739FC7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47A76E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0.22um 直径</w:t>
                  </w:r>
                  <w:r>
                    <w:rPr>
                      <w:rStyle w:val="48"/>
                      <w:rFonts w:hint="default" w:ascii="Times New Roman" w:hAnsi="Times New Roman" w:eastAsia="宋体" w:cs="Times New Roman"/>
                      <w:color w:val="auto"/>
                      <w:sz w:val="18"/>
                      <w:szCs w:val="18"/>
                      <w:lang w:bidi="ar"/>
                    </w:rPr>
                    <w:t xml:space="preserve">33mm </w:t>
                  </w:r>
                  <w:r>
                    <w:rPr>
                      <w:rFonts w:hint="default" w:ascii="Times New Roman" w:hAnsi="Times New Roman" w:eastAsia="宋体" w:cs="Times New Roman"/>
                      <w:color w:val="auto"/>
                      <w:kern w:val="0"/>
                      <w:sz w:val="18"/>
                      <w:szCs w:val="18"/>
                      <w:lang w:bidi="ar"/>
                    </w:rPr>
                    <w:t xml:space="preserve">独立包装 </w:t>
                  </w:r>
                  <w:r>
                    <w:rPr>
                      <w:rStyle w:val="48"/>
                      <w:rFonts w:hint="default" w:ascii="Times New Roman" w:hAnsi="Times New Roman" w:eastAsia="宋体" w:cs="Times New Roman"/>
                      <w:color w:val="auto"/>
                      <w:sz w:val="18"/>
                      <w:szCs w:val="18"/>
                      <w:lang w:bidi="ar"/>
                    </w:rPr>
                    <w:t>250</w:t>
                  </w:r>
                  <w:r>
                    <w:rPr>
                      <w:rFonts w:hint="default" w:ascii="Times New Roman" w:hAnsi="Times New Roman" w:eastAsia="宋体" w:cs="Times New Roman"/>
                      <w:color w:val="auto"/>
                      <w:kern w:val="0"/>
                      <w:sz w:val="18"/>
                      <w:szCs w:val="18"/>
                      <w:lang w:bidi="ar"/>
                    </w:rPr>
                    <w:t>个</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盒</w:t>
                  </w:r>
                </w:p>
              </w:tc>
              <w:tc>
                <w:tcPr>
                  <w:tcW w:w="691" w:type="pct"/>
                  <w:tcBorders>
                    <w:tl2br w:val="nil"/>
                    <w:tr2bl w:val="nil"/>
                  </w:tcBorders>
                  <w:shd w:val="clear" w:color="auto" w:fill="auto"/>
                  <w:noWrap/>
                  <w:tcMar>
                    <w:top w:w="12" w:type="dxa"/>
                    <w:left w:w="12" w:type="dxa"/>
                    <w:right w:w="12" w:type="dxa"/>
                  </w:tcMar>
                  <w:vAlign w:val="center"/>
                </w:tcPr>
                <w:p w14:paraId="4DED9A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7F33F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98C3F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胎牛血清</w:t>
                  </w:r>
                  <w:r>
                    <w:rPr>
                      <w:rStyle w:val="48"/>
                      <w:rFonts w:hint="default" w:ascii="Times New Roman" w:hAnsi="Times New Roman" w:eastAsia="宋体" w:cs="Times New Roman"/>
                      <w:color w:val="auto"/>
                      <w:sz w:val="18"/>
                      <w:szCs w:val="18"/>
                      <w:lang w:bidi="ar"/>
                    </w:rPr>
                    <w:t xml:space="preserve">  </w:t>
                  </w:r>
                  <w:r>
                    <w:rPr>
                      <w:rFonts w:hint="default" w:ascii="Times New Roman" w:hAnsi="Times New Roman" w:eastAsia="宋体" w:cs="Times New Roman"/>
                      <w:color w:val="auto"/>
                      <w:kern w:val="0"/>
                      <w:sz w:val="18"/>
                      <w:szCs w:val="18"/>
                      <w:lang w:bidi="ar"/>
                    </w:rPr>
                    <w:t>新西兰</w:t>
                  </w:r>
                </w:p>
              </w:tc>
              <w:tc>
                <w:tcPr>
                  <w:tcW w:w="480" w:type="pct"/>
                  <w:tcBorders>
                    <w:tl2br w:val="nil"/>
                    <w:tr2bl w:val="nil"/>
                  </w:tcBorders>
                  <w:shd w:val="clear" w:color="auto" w:fill="auto"/>
                  <w:noWrap/>
                  <w:tcMar>
                    <w:top w:w="12" w:type="dxa"/>
                    <w:left w:w="12" w:type="dxa"/>
                    <w:right w:w="12" w:type="dxa"/>
                  </w:tcMar>
                  <w:vAlign w:val="center"/>
                </w:tcPr>
                <w:p w14:paraId="1238FC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4EDA75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75AB52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1DF8E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9BDA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琼脂粉</w:t>
                  </w:r>
                </w:p>
              </w:tc>
              <w:tc>
                <w:tcPr>
                  <w:tcW w:w="480" w:type="pct"/>
                  <w:tcBorders>
                    <w:tl2br w:val="nil"/>
                    <w:tr2bl w:val="nil"/>
                  </w:tcBorders>
                  <w:shd w:val="clear" w:color="auto" w:fill="auto"/>
                  <w:noWrap/>
                  <w:tcMar>
                    <w:top w:w="12" w:type="dxa"/>
                    <w:left w:w="12" w:type="dxa"/>
                    <w:right w:w="12" w:type="dxa"/>
                  </w:tcMar>
                  <w:vAlign w:val="center"/>
                </w:tcPr>
                <w:p w14:paraId="6D1894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445DF8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25kg</w:t>
                  </w:r>
                </w:p>
              </w:tc>
              <w:tc>
                <w:tcPr>
                  <w:tcW w:w="691" w:type="pct"/>
                  <w:tcBorders>
                    <w:tl2br w:val="nil"/>
                    <w:tr2bl w:val="nil"/>
                  </w:tcBorders>
                  <w:shd w:val="clear" w:color="auto" w:fill="auto"/>
                  <w:noWrap/>
                  <w:tcMar>
                    <w:top w:w="12" w:type="dxa"/>
                    <w:left w:w="12" w:type="dxa"/>
                    <w:right w:w="12" w:type="dxa"/>
                  </w:tcMar>
                  <w:vAlign w:val="center"/>
                </w:tcPr>
                <w:p w14:paraId="178630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w:t>
                  </w:r>
                </w:p>
              </w:tc>
            </w:tr>
            <w:tr w14:paraId="52A9C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D9A18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DMEM/F-12 Hyclone</w:t>
                  </w:r>
                </w:p>
              </w:tc>
              <w:tc>
                <w:tcPr>
                  <w:tcW w:w="480" w:type="pct"/>
                  <w:tcBorders>
                    <w:tl2br w:val="nil"/>
                    <w:tr2bl w:val="nil"/>
                  </w:tcBorders>
                  <w:shd w:val="clear" w:color="auto" w:fill="auto"/>
                  <w:noWrap/>
                  <w:tcMar>
                    <w:top w:w="12" w:type="dxa"/>
                    <w:left w:w="12" w:type="dxa"/>
                    <w:right w:w="12" w:type="dxa"/>
                  </w:tcMar>
                  <w:vAlign w:val="center"/>
                </w:tcPr>
                <w:p w14:paraId="2375FF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760B23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0CA53D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588F4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F5D90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胰蛋白酶消化液</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0.25%</w:t>
                  </w:r>
                  <w:r>
                    <w:rPr>
                      <w:rStyle w:val="48"/>
                      <w:rFonts w:hint="eastAsia" w:cs="Times New Roman"/>
                      <w:color w:val="auto"/>
                      <w:sz w:val="18"/>
                      <w:szCs w:val="18"/>
                      <w:lang w:eastAsia="zh-CN" w:bidi="ar"/>
                    </w:rPr>
                    <w:t>）</w:t>
                  </w:r>
                  <w:r>
                    <w:rPr>
                      <w:rStyle w:val="48"/>
                      <w:rFonts w:hint="default" w:ascii="Times New Roman" w:hAnsi="Times New Roman" w:eastAsia="宋体" w:cs="Times New Roman"/>
                      <w:color w:val="auto"/>
                      <w:sz w:val="18"/>
                      <w:szCs w:val="18"/>
                      <w:lang w:bidi="ar"/>
                    </w:rPr>
                    <w:t xml:space="preserve">  </w:t>
                  </w:r>
                  <w:r>
                    <w:rPr>
                      <w:rFonts w:hint="default" w:ascii="Times New Roman" w:hAnsi="Times New Roman" w:eastAsia="宋体" w:cs="Times New Roman"/>
                      <w:color w:val="auto"/>
                      <w:kern w:val="0"/>
                      <w:sz w:val="18"/>
                      <w:szCs w:val="18"/>
                      <w:lang w:bidi="ar"/>
                    </w:rPr>
                    <w:t>不含</w:t>
                  </w:r>
                  <w:r>
                    <w:rPr>
                      <w:rStyle w:val="48"/>
                      <w:rFonts w:hint="default" w:ascii="Times New Roman" w:hAnsi="Times New Roman" w:eastAsia="宋体" w:cs="Times New Roman"/>
                      <w:color w:val="auto"/>
                      <w:sz w:val="18"/>
                      <w:szCs w:val="18"/>
                      <w:lang w:bidi="ar"/>
                    </w:rPr>
                    <w:t>EDTA</w:t>
                  </w:r>
                  <w:r>
                    <w:rPr>
                      <w:rFonts w:hint="default" w:ascii="Times New Roman" w:hAnsi="Times New Roman" w:eastAsia="宋体" w:cs="Times New Roman"/>
                      <w:color w:val="auto"/>
                      <w:kern w:val="0"/>
                      <w:sz w:val="18"/>
                      <w:szCs w:val="18"/>
                      <w:lang w:bidi="ar"/>
                    </w:rPr>
                    <w:t>和酚红</w:t>
                  </w:r>
                </w:p>
              </w:tc>
              <w:tc>
                <w:tcPr>
                  <w:tcW w:w="480" w:type="pct"/>
                  <w:tcBorders>
                    <w:tl2br w:val="nil"/>
                    <w:tr2bl w:val="nil"/>
                  </w:tcBorders>
                  <w:shd w:val="clear" w:color="auto" w:fill="auto"/>
                  <w:noWrap/>
                  <w:tcMar>
                    <w:top w:w="12" w:type="dxa"/>
                    <w:left w:w="12" w:type="dxa"/>
                    <w:right w:w="12" w:type="dxa"/>
                  </w:tcMar>
                  <w:vAlign w:val="center"/>
                </w:tcPr>
                <w:p w14:paraId="43BFBE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630285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100ml/瓶</w:t>
                  </w:r>
                </w:p>
              </w:tc>
              <w:tc>
                <w:tcPr>
                  <w:tcW w:w="691" w:type="pct"/>
                  <w:tcBorders>
                    <w:tl2br w:val="nil"/>
                    <w:tr2bl w:val="nil"/>
                  </w:tcBorders>
                  <w:shd w:val="clear" w:color="auto" w:fill="auto"/>
                  <w:noWrap/>
                  <w:tcMar>
                    <w:top w:w="12" w:type="dxa"/>
                    <w:left w:w="12" w:type="dxa"/>
                    <w:right w:w="12" w:type="dxa"/>
                  </w:tcMar>
                  <w:vAlign w:val="center"/>
                </w:tcPr>
                <w:p w14:paraId="7A0A3C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6F263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EA6E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PBS，</w:t>
                  </w:r>
                  <w:r>
                    <w:rPr>
                      <w:rStyle w:val="48"/>
                      <w:rFonts w:hint="default" w:ascii="Times New Roman" w:hAnsi="Times New Roman" w:eastAsia="宋体" w:cs="Times New Roman"/>
                      <w:color w:val="auto"/>
                      <w:sz w:val="18"/>
                      <w:szCs w:val="18"/>
                      <w:lang w:bidi="ar"/>
                    </w:rPr>
                    <w:t>pH 7.4 (1X)</w:t>
                  </w:r>
                  <w:r>
                    <w:rPr>
                      <w:rFonts w:hint="default" w:ascii="Times New Roman" w:hAnsi="Times New Roman" w:eastAsia="宋体" w:cs="Times New Roman"/>
                      <w:color w:val="auto"/>
                      <w:kern w:val="0"/>
                      <w:sz w:val="18"/>
                      <w:szCs w:val="18"/>
                      <w:lang w:bidi="ar"/>
                    </w:rPr>
                    <w:t>，不含氯化钙、氯化镁和酚红， 细胞培养级</w:t>
                  </w:r>
                </w:p>
              </w:tc>
              <w:tc>
                <w:tcPr>
                  <w:tcW w:w="480" w:type="pct"/>
                  <w:tcBorders>
                    <w:tl2br w:val="nil"/>
                    <w:tr2bl w:val="nil"/>
                  </w:tcBorders>
                  <w:shd w:val="clear" w:color="auto" w:fill="auto"/>
                  <w:noWrap/>
                  <w:tcMar>
                    <w:top w:w="12" w:type="dxa"/>
                    <w:left w:w="12" w:type="dxa"/>
                    <w:right w:w="12" w:type="dxa"/>
                  </w:tcMar>
                  <w:vAlign w:val="center"/>
                </w:tcPr>
                <w:p w14:paraId="639FA9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4DDB71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7D0BD9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6AA90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55639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6孔培养板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4FF4A2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459499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1块</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50</w:t>
                  </w:r>
                  <w:r>
                    <w:rPr>
                      <w:rFonts w:hint="default" w:ascii="Times New Roman" w:hAnsi="Times New Roman" w:eastAsia="宋体" w:cs="Times New Roman"/>
                      <w:color w:val="auto"/>
                      <w:kern w:val="0"/>
                      <w:sz w:val="18"/>
                      <w:szCs w:val="18"/>
                      <w:lang w:bidi="ar"/>
                    </w:rPr>
                    <w:t>块</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188483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67911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49E88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12孔培养板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511DD6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74545B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1块</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50</w:t>
                  </w:r>
                  <w:r>
                    <w:rPr>
                      <w:rFonts w:hint="default" w:ascii="Times New Roman" w:hAnsi="Times New Roman" w:eastAsia="宋体" w:cs="Times New Roman"/>
                      <w:color w:val="auto"/>
                      <w:kern w:val="0"/>
                      <w:sz w:val="18"/>
                      <w:szCs w:val="18"/>
                      <w:lang w:bidi="ar"/>
                    </w:rPr>
                    <w:t>块</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57C42F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25991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2E37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24孔培养板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664BBD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623592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1块</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100</w:t>
                  </w:r>
                  <w:r>
                    <w:rPr>
                      <w:rFonts w:hint="default" w:ascii="Times New Roman" w:hAnsi="Times New Roman" w:eastAsia="宋体" w:cs="Times New Roman"/>
                      <w:color w:val="auto"/>
                      <w:kern w:val="0"/>
                      <w:sz w:val="18"/>
                      <w:szCs w:val="18"/>
                      <w:lang w:bidi="ar"/>
                    </w:rPr>
                    <w:t>块</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4AF8A3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73A3D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67D9C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48孔培养板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2B2C5D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19DC39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1个</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100</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6EA3F2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3C3D4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69B28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96孔培养板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346F38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5CF817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1个</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100</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0CA14D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47C50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83FDF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35mm培养皿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260087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464F12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20个</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25</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0B5055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49256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A5837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60mm培养皿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35DE04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559DF9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20个</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 xml:space="preserve"> 25</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0CB6E6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4CD55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CDB9F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100mm培养皿 </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6C777C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616E90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箱20个</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 xml:space="preserve"> 25</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7F5B1A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7ADD8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4F58C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175cm2 T175培养瓶 正方斜口带滤膜</w:t>
                  </w:r>
                  <w:r>
                    <w:rPr>
                      <w:rStyle w:val="48"/>
                      <w:rFonts w:hint="default" w:ascii="Times New Roman" w:hAnsi="Times New Roman" w:eastAsia="宋体" w:cs="Times New Roman"/>
                      <w:color w:val="auto"/>
                      <w:sz w:val="18"/>
                      <w:szCs w:val="18"/>
                      <w:lang w:bidi="ar"/>
                    </w:rPr>
                    <w:t>Corning.</w:t>
                  </w:r>
                </w:p>
              </w:tc>
              <w:tc>
                <w:tcPr>
                  <w:tcW w:w="480" w:type="pct"/>
                  <w:tcBorders>
                    <w:tl2br w:val="nil"/>
                    <w:tr2bl w:val="nil"/>
                  </w:tcBorders>
                  <w:shd w:val="clear" w:color="auto" w:fill="auto"/>
                  <w:noWrap/>
                  <w:tcMar>
                    <w:top w:w="12" w:type="dxa"/>
                    <w:left w:w="12" w:type="dxa"/>
                    <w:right w:w="12" w:type="dxa"/>
                  </w:tcMar>
                  <w:vAlign w:val="center"/>
                </w:tcPr>
                <w:p w14:paraId="54E5E3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1476D0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5个</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10</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7A7A13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w:t>
                  </w:r>
                </w:p>
              </w:tc>
            </w:tr>
            <w:tr w14:paraId="0A4073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45C6F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滤膜培养瓶</w:t>
                  </w:r>
                  <w:r>
                    <w:rPr>
                      <w:rStyle w:val="48"/>
                      <w:rFonts w:hint="default" w:ascii="Times New Roman" w:hAnsi="Times New Roman" w:eastAsia="宋体" w:cs="Times New Roman"/>
                      <w:color w:val="auto"/>
                      <w:sz w:val="18"/>
                      <w:szCs w:val="18"/>
                      <w:lang w:bidi="ar"/>
                    </w:rPr>
                    <w:t xml:space="preserve"> 75cm²</w:t>
                  </w:r>
                </w:p>
              </w:tc>
              <w:tc>
                <w:tcPr>
                  <w:tcW w:w="480" w:type="pct"/>
                  <w:tcBorders>
                    <w:tl2br w:val="nil"/>
                    <w:tr2bl w:val="nil"/>
                  </w:tcBorders>
                  <w:shd w:val="clear" w:color="auto" w:fill="auto"/>
                  <w:noWrap/>
                  <w:tcMar>
                    <w:top w:w="12" w:type="dxa"/>
                    <w:left w:w="12" w:type="dxa"/>
                    <w:right w:w="12" w:type="dxa"/>
                  </w:tcMar>
                  <w:vAlign w:val="center"/>
                </w:tcPr>
                <w:p w14:paraId="0BEA9B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0499BB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5个</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20</w:t>
                  </w:r>
                  <w:r>
                    <w:rPr>
                      <w:rFonts w:hint="default" w:ascii="Times New Roman" w:hAnsi="Times New Roman" w:eastAsia="宋体" w:cs="Times New Roman"/>
                      <w:color w:val="auto"/>
                      <w:kern w:val="0"/>
                      <w:sz w:val="18"/>
                      <w:szCs w:val="18"/>
                      <w:lang w:bidi="ar"/>
                    </w:rPr>
                    <w:t>包</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50A27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50CA03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AF86F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北美胎牛血清（</w:t>
                  </w:r>
                  <w:r>
                    <w:rPr>
                      <w:rStyle w:val="48"/>
                      <w:rFonts w:hint="default" w:ascii="Times New Roman" w:hAnsi="Times New Roman" w:eastAsia="宋体" w:cs="Times New Roman"/>
                      <w:color w:val="auto"/>
                      <w:sz w:val="18"/>
                      <w:szCs w:val="18"/>
                      <w:lang w:bidi="ar"/>
                    </w:rPr>
                    <w:t>Sigma</w:t>
                  </w:r>
                  <w:r>
                    <w:rPr>
                      <w:rFonts w:hint="default" w:ascii="Times New Roman" w:hAnsi="Times New Roman" w:eastAsia="宋体" w:cs="Times New Roman"/>
                      <w:color w:val="auto"/>
                      <w:kern w:val="0"/>
                      <w:sz w:val="18"/>
                      <w:szCs w:val="18"/>
                      <w:lang w:bidi="ar"/>
                    </w:rPr>
                    <w:t>）</w:t>
                  </w:r>
                </w:p>
              </w:tc>
              <w:tc>
                <w:tcPr>
                  <w:tcW w:w="480" w:type="pct"/>
                  <w:tcBorders>
                    <w:tl2br w:val="nil"/>
                    <w:tr2bl w:val="nil"/>
                  </w:tcBorders>
                  <w:shd w:val="clear" w:color="auto" w:fill="auto"/>
                  <w:noWrap/>
                  <w:tcMar>
                    <w:top w:w="12" w:type="dxa"/>
                    <w:left w:w="12" w:type="dxa"/>
                    <w:right w:w="12" w:type="dxa"/>
                  </w:tcMar>
                  <w:vAlign w:val="center"/>
                </w:tcPr>
                <w:p w14:paraId="265310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637B7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5E7D5B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23548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AF920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内皮细胞培养基</w:t>
                  </w:r>
                  <w:r>
                    <w:rPr>
                      <w:rStyle w:val="48"/>
                      <w:rFonts w:hint="default" w:ascii="Times New Roman" w:hAnsi="Times New Roman" w:eastAsia="宋体" w:cs="Times New Roman"/>
                      <w:color w:val="auto"/>
                      <w:sz w:val="18"/>
                      <w:szCs w:val="18"/>
                      <w:lang w:bidi="ar"/>
                    </w:rPr>
                    <w:t>ECM</w:t>
                  </w:r>
                </w:p>
              </w:tc>
              <w:tc>
                <w:tcPr>
                  <w:tcW w:w="480" w:type="pct"/>
                  <w:tcBorders>
                    <w:tl2br w:val="nil"/>
                    <w:tr2bl w:val="nil"/>
                  </w:tcBorders>
                  <w:shd w:val="clear" w:color="auto" w:fill="auto"/>
                  <w:noWrap/>
                  <w:tcMar>
                    <w:top w:w="12" w:type="dxa"/>
                    <w:left w:w="12" w:type="dxa"/>
                    <w:right w:w="12" w:type="dxa"/>
                  </w:tcMar>
                  <w:vAlign w:val="center"/>
                </w:tcPr>
                <w:p w14:paraId="038153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42F8B1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3031AC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4017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5228B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钙</w:t>
                  </w:r>
                  <w:r>
                    <w:rPr>
                      <w:rFonts w:hint="eastAsia" w:cs="Times New Roman"/>
                      <w:color w:val="auto"/>
                      <w:kern w:val="0"/>
                      <w:sz w:val="18"/>
                      <w:szCs w:val="18"/>
                      <w:lang w:eastAsia="zh-CN" w:bidi="ar"/>
                    </w:rPr>
                    <w:t>萤光</w:t>
                  </w:r>
                  <w:r>
                    <w:rPr>
                      <w:rFonts w:hint="default" w:ascii="Times New Roman" w:hAnsi="Times New Roman" w:eastAsia="宋体" w:cs="Times New Roman"/>
                      <w:color w:val="auto"/>
                      <w:kern w:val="0"/>
                      <w:sz w:val="18"/>
                      <w:szCs w:val="18"/>
                      <w:lang w:bidi="ar"/>
                    </w:rPr>
                    <w:t>探针</w:t>
                  </w:r>
                  <w:r>
                    <w:rPr>
                      <w:rStyle w:val="48"/>
                      <w:rFonts w:hint="default" w:ascii="Times New Roman" w:hAnsi="Times New Roman" w:eastAsia="宋体" w:cs="Times New Roman"/>
                      <w:color w:val="auto"/>
                      <w:sz w:val="18"/>
                      <w:szCs w:val="18"/>
                      <w:lang w:bidi="ar"/>
                    </w:rPr>
                    <w:t xml:space="preserve"> Fluo 3-AM</w:t>
                  </w:r>
                </w:p>
              </w:tc>
              <w:tc>
                <w:tcPr>
                  <w:tcW w:w="480" w:type="pct"/>
                  <w:tcBorders>
                    <w:tl2br w:val="nil"/>
                    <w:tr2bl w:val="nil"/>
                  </w:tcBorders>
                  <w:shd w:val="clear" w:color="auto" w:fill="auto"/>
                  <w:noWrap/>
                  <w:tcMar>
                    <w:top w:w="12" w:type="dxa"/>
                    <w:left w:w="12" w:type="dxa"/>
                    <w:right w:w="12" w:type="dxa"/>
                  </w:tcMar>
                  <w:vAlign w:val="center"/>
                </w:tcPr>
                <w:p w14:paraId="60510F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621CD3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1mg</w:t>
                  </w:r>
                </w:p>
              </w:tc>
              <w:tc>
                <w:tcPr>
                  <w:tcW w:w="691" w:type="pct"/>
                  <w:tcBorders>
                    <w:tl2br w:val="nil"/>
                    <w:tr2bl w:val="nil"/>
                  </w:tcBorders>
                  <w:shd w:val="clear" w:color="auto" w:fill="auto"/>
                  <w:noWrap/>
                  <w:tcMar>
                    <w:top w:w="12" w:type="dxa"/>
                    <w:left w:w="12" w:type="dxa"/>
                    <w:right w:w="12" w:type="dxa"/>
                  </w:tcMar>
                  <w:vAlign w:val="center"/>
                </w:tcPr>
                <w:p w14:paraId="1EC421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B5A9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EECBB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0.2ml PCR管（圆盖）薄壁管</w:t>
                  </w:r>
                  <w:r>
                    <w:rPr>
                      <w:rFonts w:hint="eastAsia" w:cs="Times New Roman"/>
                      <w:color w:val="auto"/>
                      <w:kern w:val="0"/>
                      <w:sz w:val="18"/>
                      <w:szCs w:val="18"/>
                      <w:lang w:eastAsia="zh-CN" w:bidi="ar"/>
                    </w:rPr>
                    <w:t>。</w:t>
                  </w:r>
                </w:p>
              </w:tc>
              <w:tc>
                <w:tcPr>
                  <w:tcW w:w="480" w:type="pct"/>
                  <w:tcBorders>
                    <w:tl2br w:val="nil"/>
                    <w:tr2bl w:val="nil"/>
                  </w:tcBorders>
                  <w:shd w:val="clear" w:color="auto" w:fill="auto"/>
                  <w:noWrap/>
                  <w:tcMar>
                    <w:top w:w="12" w:type="dxa"/>
                    <w:left w:w="12" w:type="dxa"/>
                    <w:right w:w="12" w:type="dxa"/>
                  </w:tcMar>
                  <w:vAlign w:val="center"/>
                </w:tcPr>
                <w:p w14:paraId="0E15F9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37B7A2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0.2ml</w:t>
                  </w:r>
                </w:p>
              </w:tc>
              <w:tc>
                <w:tcPr>
                  <w:tcW w:w="691" w:type="pct"/>
                  <w:tcBorders>
                    <w:tl2br w:val="nil"/>
                    <w:tr2bl w:val="nil"/>
                  </w:tcBorders>
                  <w:shd w:val="clear" w:color="auto" w:fill="auto"/>
                  <w:noWrap/>
                  <w:tcMar>
                    <w:top w:w="12" w:type="dxa"/>
                    <w:left w:w="12" w:type="dxa"/>
                    <w:right w:w="12" w:type="dxa"/>
                  </w:tcMar>
                  <w:vAlign w:val="center"/>
                </w:tcPr>
                <w:p w14:paraId="41C3E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5DA0A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BC4B7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脂质体</w:t>
                  </w:r>
                  <w:r>
                    <w:rPr>
                      <w:rStyle w:val="48"/>
                      <w:rFonts w:hint="default" w:ascii="Times New Roman" w:hAnsi="Times New Roman" w:eastAsia="宋体" w:cs="Times New Roman"/>
                      <w:color w:val="auto"/>
                      <w:sz w:val="18"/>
                      <w:szCs w:val="18"/>
                      <w:lang w:bidi="ar"/>
                    </w:rPr>
                    <w:t>3000 Invitrogen</w:t>
                  </w:r>
                  <w:r>
                    <w:rPr>
                      <w:rFonts w:hint="default" w:ascii="Times New Roman" w:hAnsi="Times New Roman" w:eastAsia="宋体" w:cs="Times New Roman"/>
                      <w:color w:val="auto"/>
                      <w:kern w:val="0"/>
                      <w:sz w:val="18"/>
                      <w:szCs w:val="18"/>
                      <w:lang w:bidi="ar"/>
                    </w:rPr>
                    <w:t>原装</w:t>
                  </w:r>
                </w:p>
              </w:tc>
              <w:tc>
                <w:tcPr>
                  <w:tcW w:w="480" w:type="pct"/>
                  <w:tcBorders>
                    <w:tl2br w:val="nil"/>
                    <w:tr2bl w:val="nil"/>
                  </w:tcBorders>
                  <w:shd w:val="clear" w:color="auto" w:fill="auto"/>
                  <w:noWrap/>
                  <w:tcMar>
                    <w:top w:w="12" w:type="dxa"/>
                    <w:left w:w="12" w:type="dxa"/>
                    <w:right w:w="12" w:type="dxa"/>
                  </w:tcMar>
                  <w:vAlign w:val="center"/>
                </w:tcPr>
                <w:p w14:paraId="3CC4DE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26454A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1.5ml</w:t>
                  </w:r>
                </w:p>
              </w:tc>
              <w:tc>
                <w:tcPr>
                  <w:tcW w:w="691" w:type="pct"/>
                  <w:tcBorders>
                    <w:tl2br w:val="nil"/>
                    <w:tr2bl w:val="nil"/>
                  </w:tcBorders>
                  <w:shd w:val="clear" w:color="auto" w:fill="auto"/>
                  <w:noWrap/>
                  <w:tcMar>
                    <w:top w:w="12" w:type="dxa"/>
                    <w:left w:w="12" w:type="dxa"/>
                    <w:right w:w="12" w:type="dxa"/>
                  </w:tcMar>
                  <w:vAlign w:val="center"/>
                </w:tcPr>
                <w:p w14:paraId="2DDED0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2A2EE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F9E79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无内毒素小</w:t>
                  </w:r>
                  <w:r>
                    <w:rPr>
                      <w:rFonts w:hint="eastAsia" w:cs="Times New Roman"/>
                      <w:color w:val="auto"/>
                      <w:kern w:val="0"/>
                      <w:sz w:val="18"/>
                      <w:szCs w:val="18"/>
                      <w:lang w:eastAsia="zh-CN" w:bidi="ar"/>
                    </w:rPr>
                    <w:t>晶质粒</w:t>
                  </w:r>
                  <w:r>
                    <w:rPr>
                      <w:rFonts w:hint="default" w:ascii="Times New Roman" w:hAnsi="Times New Roman" w:eastAsia="宋体" w:cs="Times New Roman"/>
                      <w:color w:val="auto"/>
                      <w:kern w:val="0"/>
                      <w:sz w:val="18"/>
                      <w:szCs w:val="18"/>
                      <w:lang w:bidi="ar"/>
                    </w:rPr>
                    <w:t>提取试剂盒</w:t>
                  </w:r>
                </w:p>
              </w:tc>
              <w:tc>
                <w:tcPr>
                  <w:tcW w:w="480" w:type="pct"/>
                  <w:tcBorders>
                    <w:tl2br w:val="nil"/>
                    <w:tr2bl w:val="nil"/>
                  </w:tcBorders>
                  <w:shd w:val="clear" w:color="auto" w:fill="auto"/>
                  <w:noWrap/>
                  <w:tcMar>
                    <w:top w:w="12" w:type="dxa"/>
                    <w:left w:w="12" w:type="dxa"/>
                    <w:right w:w="12" w:type="dxa"/>
                  </w:tcMar>
                  <w:vAlign w:val="center"/>
                </w:tcPr>
                <w:p w14:paraId="03CA3A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09858F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50T</w:t>
                  </w:r>
                </w:p>
              </w:tc>
              <w:tc>
                <w:tcPr>
                  <w:tcW w:w="691" w:type="pct"/>
                  <w:tcBorders>
                    <w:tl2br w:val="nil"/>
                    <w:tr2bl w:val="nil"/>
                  </w:tcBorders>
                  <w:shd w:val="clear" w:color="auto" w:fill="auto"/>
                  <w:noWrap/>
                  <w:tcMar>
                    <w:top w:w="12" w:type="dxa"/>
                    <w:left w:w="12" w:type="dxa"/>
                    <w:right w:w="12" w:type="dxa"/>
                  </w:tcMar>
                  <w:vAlign w:val="center"/>
                </w:tcPr>
                <w:p w14:paraId="41636A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75C90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DBC4B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八联管</w:t>
                  </w:r>
                </w:p>
              </w:tc>
              <w:tc>
                <w:tcPr>
                  <w:tcW w:w="480" w:type="pct"/>
                  <w:tcBorders>
                    <w:tl2br w:val="nil"/>
                    <w:tr2bl w:val="nil"/>
                  </w:tcBorders>
                  <w:shd w:val="clear" w:color="auto" w:fill="auto"/>
                  <w:noWrap/>
                  <w:tcMar>
                    <w:top w:w="12" w:type="dxa"/>
                    <w:left w:w="12" w:type="dxa"/>
                    <w:right w:w="12" w:type="dxa"/>
                  </w:tcMar>
                  <w:vAlign w:val="center"/>
                </w:tcPr>
                <w:p w14:paraId="22E4B5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486CC4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120根</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盒</w:t>
                  </w:r>
                </w:p>
              </w:tc>
              <w:tc>
                <w:tcPr>
                  <w:tcW w:w="691" w:type="pct"/>
                  <w:tcBorders>
                    <w:tl2br w:val="nil"/>
                    <w:tr2bl w:val="nil"/>
                  </w:tcBorders>
                  <w:shd w:val="clear" w:color="auto" w:fill="auto"/>
                  <w:noWrap/>
                  <w:tcMar>
                    <w:top w:w="12" w:type="dxa"/>
                    <w:left w:w="12" w:type="dxa"/>
                    <w:right w:w="12" w:type="dxa"/>
                  </w:tcMar>
                  <w:vAlign w:val="center"/>
                </w:tcPr>
                <w:p w14:paraId="0CB2D2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62ED1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04C68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DNA产物纯化试剂盒</w:t>
                  </w:r>
                </w:p>
              </w:tc>
              <w:tc>
                <w:tcPr>
                  <w:tcW w:w="480" w:type="pct"/>
                  <w:tcBorders>
                    <w:tl2br w:val="nil"/>
                    <w:tr2bl w:val="nil"/>
                  </w:tcBorders>
                  <w:shd w:val="clear" w:color="auto" w:fill="auto"/>
                  <w:noWrap/>
                  <w:tcMar>
                    <w:top w:w="12" w:type="dxa"/>
                    <w:left w:w="12" w:type="dxa"/>
                    <w:right w:w="12" w:type="dxa"/>
                  </w:tcMar>
                  <w:vAlign w:val="center"/>
                </w:tcPr>
                <w:p w14:paraId="367F8F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3CD6FF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100T</w:t>
                  </w:r>
                </w:p>
              </w:tc>
              <w:tc>
                <w:tcPr>
                  <w:tcW w:w="691" w:type="pct"/>
                  <w:tcBorders>
                    <w:tl2br w:val="nil"/>
                    <w:tr2bl w:val="nil"/>
                  </w:tcBorders>
                  <w:shd w:val="clear" w:color="auto" w:fill="auto"/>
                  <w:noWrap/>
                  <w:tcMar>
                    <w:top w:w="12" w:type="dxa"/>
                    <w:left w:w="12" w:type="dxa"/>
                    <w:right w:w="12" w:type="dxa"/>
                  </w:tcMar>
                  <w:vAlign w:val="center"/>
                </w:tcPr>
                <w:p w14:paraId="3563D0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2BC5F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C6275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TriQuick Reagent总</w:t>
                  </w:r>
                  <w:r>
                    <w:rPr>
                      <w:rStyle w:val="48"/>
                      <w:rFonts w:hint="default" w:ascii="Times New Roman" w:hAnsi="Times New Roman" w:eastAsia="宋体" w:cs="Times New Roman"/>
                      <w:color w:val="auto"/>
                      <w:sz w:val="18"/>
                      <w:szCs w:val="18"/>
                      <w:lang w:bidi="ar"/>
                    </w:rPr>
                    <w:t>RNA</w:t>
                  </w:r>
                  <w:r>
                    <w:rPr>
                      <w:rFonts w:hint="default" w:ascii="Times New Roman" w:hAnsi="Times New Roman" w:eastAsia="宋体" w:cs="Times New Roman"/>
                      <w:color w:val="auto"/>
                      <w:kern w:val="0"/>
                      <w:sz w:val="18"/>
                      <w:szCs w:val="18"/>
                      <w:lang w:bidi="ar"/>
                    </w:rPr>
                    <w:t>提取试剂</w:t>
                  </w:r>
                </w:p>
              </w:tc>
              <w:tc>
                <w:tcPr>
                  <w:tcW w:w="480" w:type="pct"/>
                  <w:tcBorders>
                    <w:tl2br w:val="nil"/>
                    <w:tr2bl w:val="nil"/>
                  </w:tcBorders>
                  <w:shd w:val="clear" w:color="auto" w:fill="auto"/>
                  <w:noWrap/>
                  <w:tcMar>
                    <w:top w:w="12" w:type="dxa"/>
                    <w:left w:w="12" w:type="dxa"/>
                    <w:right w:w="12" w:type="dxa"/>
                  </w:tcMar>
                  <w:vAlign w:val="center"/>
                </w:tcPr>
                <w:p w14:paraId="4F1D5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6F8FC5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55B5A7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096CB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A1E34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Trizol Invitrogen原装 </w:t>
                  </w:r>
                  <w:r>
                    <w:rPr>
                      <w:rStyle w:val="48"/>
                      <w:rFonts w:hint="default" w:ascii="Times New Roman" w:hAnsi="Times New Roman" w:eastAsia="宋体" w:cs="Times New Roman"/>
                      <w:color w:val="auto"/>
                      <w:sz w:val="18"/>
                      <w:szCs w:val="18"/>
                      <w:lang w:bidi="ar"/>
                    </w:rPr>
                    <w:t>200ml</w:t>
                  </w:r>
                </w:p>
              </w:tc>
              <w:tc>
                <w:tcPr>
                  <w:tcW w:w="480" w:type="pct"/>
                  <w:tcBorders>
                    <w:tl2br w:val="nil"/>
                    <w:tr2bl w:val="nil"/>
                  </w:tcBorders>
                  <w:shd w:val="clear" w:color="auto" w:fill="auto"/>
                  <w:noWrap/>
                  <w:tcMar>
                    <w:top w:w="12" w:type="dxa"/>
                    <w:left w:w="12" w:type="dxa"/>
                    <w:right w:w="12" w:type="dxa"/>
                  </w:tcMar>
                  <w:vAlign w:val="center"/>
                </w:tcPr>
                <w:p w14:paraId="1C1BF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65E9FA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200ml</w:t>
                  </w:r>
                </w:p>
              </w:tc>
              <w:tc>
                <w:tcPr>
                  <w:tcW w:w="691" w:type="pct"/>
                  <w:tcBorders>
                    <w:tl2br w:val="nil"/>
                    <w:tr2bl w:val="nil"/>
                  </w:tcBorders>
                  <w:shd w:val="clear" w:color="auto" w:fill="auto"/>
                  <w:noWrap/>
                  <w:tcMar>
                    <w:top w:w="12" w:type="dxa"/>
                    <w:left w:w="12" w:type="dxa"/>
                    <w:right w:w="12" w:type="dxa"/>
                  </w:tcMar>
                  <w:vAlign w:val="center"/>
                </w:tcPr>
                <w:p w14:paraId="3D4A58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1BAF1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966EE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TE缓冲液</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PH=8.0)</w:t>
                  </w:r>
                </w:p>
              </w:tc>
              <w:tc>
                <w:tcPr>
                  <w:tcW w:w="480" w:type="pct"/>
                  <w:tcBorders>
                    <w:tl2br w:val="nil"/>
                    <w:tr2bl w:val="nil"/>
                  </w:tcBorders>
                  <w:shd w:val="clear" w:color="auto" w:fill="auto"/>
                  <w:noWrap/>
                  <w:tcMar>
                    <w:top w:w="12" w:type="dxa"/>
                    <w:left w:w="12" w:type="dxa"/>
                    <w:right w:w="12" w:type="dxa"/>
                  </w:tcMar>
                  <w:vAlign w:val="center"/>
                </w:tcPr>
                <w:p w14:paraId="47724C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01710E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73226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847D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26BC4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无酶无菌水</w:t>
                  </w:r>
                </w:p>
              </w:tc>
              <w:tc>
                <w:tcPr>
                  <w:tcW w:w="480" w:type="pct"/>
                  <w:tcBorders>
                    <w:tl2br w:val="nil"/>
                    <w:tr2bl w:val="nil"/>
                  </w:tcBorders>
                  <w:shd w:val="clear" w:color="auto" w:fill="auto"/>
                  <w:noWrap/>
                  <w:tcMar>
                    <w:top w:w="12" w:type="dxa"/>
                    <w:left w:w="12" w:type="dxa"/>
                    <w:right w:w="12" w:type="dxa"/>
                  </w:tcMar>
                  <w:vAlign w:val="center"/>
                </w:tcPr>
                <w:p w14:paraId="4D6C83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69C121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500ml*10瓶/箱</w:t>
                  </w:r>
                </w:p>
              </w:tc>
              <w:tc>
                <w:tcPr>
                  <w:tcW w:w="691" w:type="pct"/>
                  <w:tcBorders>
                    <w:tl2br w:val="nil"/>
                    <w:tr2bl w:val="nil"/>
                  </w:tcBorders>
                  <w:shd w:val="clear" w:color="auto" w:fill="auto"/>
                  <w:noWrap/>
                  <w:tcMar>
                    <w:top w:w="12" w:type="dxa"/>
                    <w:left w:w="12" w:type="dxa"/>
                    <w:right w:w="12" w:type="dxa"/>
                  </w:tcMar>
                  <w:vAlign w:val="center"/>
                </w:tcPr>
                <w:p w14:paraId="53895E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7A4083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CCAC1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10×DNA上样缓冲液</w:t>
                  </w:r>
                </w:p>
              </w:tc>
              <w:tc>
                <w:tcPr>
                  <w:tcW w:w="480" w:type="pct"/>
                  <w:tcBorders>
                    <w:tl2br w:val="nil"/>
                    <w:tr2bl w:val="nil"/>
                  </w:tcBorders>
                  <w:shd w:val="clear" w:color="auto" w:fill="auto"/>
                  <w:noWrap/>
                  <w:tcMar>
                    <w:top w:w="12" w:type="dxa"/>
                    <w:left w:w="12" w:type="dxa"/>
                    <w:right w:w="12" w:type="dxa"/>
                  </w:tcMar>
                  <w:vAlign w:val="center"/>
                </w:tcPr>
                <w:p w14:paraId="56735F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7CC910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100ml</w:t>
                  </w:r>
                </w:p>
              </w:tc>
              <w:tc>
                <w:tcPr>
                  <w:tcW w:w="691" w:type="pct"/>
                  <w:tcBorders>
                    <w:tl2br w:val="nil"/>
                    <w:tr2bl w:val="nil"/>
                  </w:tcBorders>
                  <w:shd w:val="clear" w:color="auto" w:fill="auto"/>
                  <w:noWrap/>
                  <w:tcMar>
                    <w:top w:w="12" w:type="dxa"/>
                    <w:left w:w="12" w:type="dxa"/>
                    <w:right w:w="12" w:type="dxa"/>
                  </w:tcMar>
                  <w:vAlign w:val="center"/>
                </w:tcPr>
                <w:p w14:paraId="5EA904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D3474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AE18E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SYBR Green Realtime PCR Master Mix TOYOBO原装</w:t>
                  </w:r>
                </w:p>
              </w:tc>
              <w:tc>
                <w:tcPr>
                  <w:tcW w:w="480" w:type="pct"/>
                  <w:tcBorders>
                    <w:tl2br w:val="nil"/>
                    <w:tr2bl w:val="nil"/>
                  </w:tcBorders>
                  <w:shd w:val="clear" w:color="auto" w:fill="auto"/>
                  <w:noWrap/>
                  <w:tcMar>
                    <w:top w:w="12" w:type="dxa"/>
                    <w:left w:w="12" w:type="dxa"/>
                    <w:right w:w="12" w:type="dxa"/>
                  </w:tcMar>
                  <w:vAlign w:val="center"/>
                </w:tcPr>
                <w:p w14:paraId="236DC0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290F06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1ml×5</w:t>
                  </w:r>
                </w:p>
              </w:tc>
              <w:tc>
                <w:tcPr>
                  <w:tcW w:w="691" w:type="pct"/>
                  <w:tcBorders>
                    <w:tl2br w:val="nil"/>
                    <w:tr2bl w:val="nil"/>
                  </w:tcBorders>
                  <w:shd w:val="clear" w:color="auto" w:fill="auto"/>
                  <w:noWrap/>
                  <w:tcMar>
                    <w:top w:w="12" w:type="dxa"/>
                    <w:left w:w="12" w:type="dxa"/>
                    <w:right w:w="12" w:type="dxa"/>
                  </w:tcMar>
                  <w:vAlign w:val="center"/>
                </w:tcPr>
                <w:p w14:paraId="7A6E91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2843D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E59D7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彩虹</w:t>
                  </w:r>
                  <w:r>
                    <w:rPr>
                      <w:rStyle w:val="48"/>
                      <w:rFonts w:hint="default" w:ascii="Times New Roman" w:hAnsi="Times New Roman" w:eastAsia="宋体" w:cs="Times New Roman"/>
                      <w:color w:val="auto"/>
                      <w:sz w:val="18"/>
                      <w:szCs w:val="18"/>
                      <w:lang w:bidi="ar"/>
                    </w:rPr>
                    <w:t>180</w:t>
                  </w:r>
                  <w:r>
                    <w:rPr>
                      <w:rFonts w:hint="default" w:ascii="Times New Roman" w:hAnsi="Times New Roman" w:eastAsia="宋体" w:cs="Times New Roman"/>
                      <w:color w:val="auto"/>
                      <w:kern w:val="0"/>
                      <w:sz w:val="18"/>
                      <w:szCs w:val="18"/>
                      <w:lang w:bidi="ar"/>
                    </w:rPr>
                    <w:t>广谱蛋白</w:t>
                  </w:r>
                  <w:r>
                    <w:rPr>
                      <w:rStyle w:val="48"/>
                      <w:rFonts w:hint="default" w:ascii="Times New Roman" w:hAnsi="Times New Roman" w:eastAsia="宋体" w:cs="Times New Roman"/>
                      <w:color w:val="auto"/>
                      <w:sz w:val="18"/>
                      <w:szCs w:val="18"/>
                      <w:lang w:bidi="ar"/>
                    </w:rPr>
                    <w:t>Marker</w:t>
                  </w:r>
                  <w:r>
                    <w:rPr>
                      <w:rFonts w:hint="default" w:ascii="Times New Roman" w:hAnsi="Times New Roman" w:eastAsia="宋体" w:cs="Times New Roman"/>
                      <w:color w:val="auto"/>
                      <w:kern w:val="0"/>
                      <w:sz w:val="18"/>
                      <w:szCs w:val="18"/>
                      <w:lang w:bidi="ar"/>
                    </w:rPr>
                    <w:t>（</w:t>
                  </w:r>
                  <w:r>
                    <w:rPr>
                      <w:rStyle w:val="48"/>
                      <w:rFonts w:hint="default" w:ascii="Times New Roman" w:hAnsi="Times New Roman" w:eastAsia="宋体" w:cs="Times New Roman"/>
                      <w:color w:val="auto"/>
                      <w:sz w:val="18"/>
                      <w:szCs w:val="18"/>
                      <w:lang w:bidi="ar"/>
                    </w:rPr>
                    <w:t>11-180KD</w:t>
                  </w:r>
                  <w:r>
                    <w:rPr>
                      <w:rStyle w:val="48"/>
                      <w:rFonts w:hint="eastAsia" w:cs="Times New Roman"/>
                      <w:color w:val="auto"/>
                      <w:sz w:val="18"/>
                      <w:szCs w:val="18"/>
                      <w:lang w:eastAsia="zh-CN" w:bidi="ar"/>
                    </w:rPr>
                    <w:t>）</w:t>
                  </w:r>
                </w:p>
              </w:tc>
              <w:tc>
                <w:tcPr>
                  <w:tcW w:w="480" w:type="pct"/>
                  <w:tcBorders>
                    <w:tl2br w:val="nil"/>
                    <w:tr2bl w:val="nil"/>
                  </w:tcBorders>
                  <w:shd w:val="clear" w:color="auto" w:fill="auto"/>
                  <w:noWrap/>
                  <w:tcMar>
                    <w:top w:w="12" w:type="dxa"/>
                    <w:left w:w="12" w:type="dxa"/>
                    <w:right w:w="12" w:type="dxa"/>
                  </w:tcMar>
                  <w:vAlign w:val="center"/>
                </w:tcPr>
                <w:p w14:paraId="41625F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467F0A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2*250ul</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100T)</w:t>
                  </w:r>
                </w:p>
              </w:tc>
              <w:tc>
                <w:tcPr>
                  <w:tcW w:w="691" w:type="pct"/>
                  <w:tcBorders>
                    <w:tl2br w:val="nil"/>
                    <w:tr2bl w:val="nil"/>
                  </w:tcBorders>
                  <w:shd w:val="clear" w:color="auto" w:fill="auto"/>
                  <w:noWrap/>
                  <w:tcMar>
                    <w:top w:w="12" w:type="dxa"/>
                    <w:left w:w="12" w:type="dxa"/>
                    <w:right w:w="12" w:type="dxa"/>
                  </w:tcMar>
                  <w:vAlign w:val="center"/>
                </w:tcPr>
                <w:p w14:paraId="26A99D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6BF42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BAE82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彩虹</w:t>
                  </w:r>
                  <w:r>
                    <w:rPr>
                      <w:rStyle w:val="48"/>
                      <w:rFonts w:hint="default" w:ascii="Times New Roman" w:hAnsi="Times New Roman" w:eastAsia="宋体" w:cs="Times New Roman"/>
                      <w:color w:val="auto"/>
                      <w:sz w:val="18"/>
                      <w:szCs w:val="18"/>
                      <w:lang w:bidi="ar"/>
                    </w:rPr>
                    <w:t>245</w:t>
                  </w:r>
                  <w:r>
                    <w:rPr>
                      <w:rFonts w:hint="default" w:ascii="Times New Roman" w:hAnsi="Times New Roman" w:eastAsia="宋体" w:cs="Times New Roman"/>
                      <w:color w:val="auto"/>
                      <w:kern w:val="0"/>
                      <w:sz w:val="18"/>
                      <w:szCs w:val="18"/>
                      <w:lang w:bidi="ar"/>
                    </w:rPr>
                    <w:t>广谱蛋白</w:t>
                  </w:r>
                  <w:r>
                    <w:rPr>
                      <w:rStyle w:val="48"/>
                      <w:rFonts w:hint="default" w:ascii="Times New Roman" w:hAnsi="Times New Roman" w:eastAsia="宋体" w:cs="Times New Roman"/>
                      <w:color w:val="auto"/>
                      <w:sz w:val="18"/>
                      <w:szCs w:val="18"/>
                      <w:lang w:bidi="ar"/>
                    </w:rPr>
                    <w:t xml:space="preserve">Marker </w:t>
                  </w:r>
                  <w:r>
                    <w:rPr>
                      <w:rFonts w:hint="default" w:ascii="Times New Roman" w:hAnsi="Times New Roman" w:eastAsia="宋体" w:cs="Times New Roman"/>
                      <w:color w:val="auto"/>
                      <w:kern w:val="0"/>
                      <w:sz w:val="18"/>
                      <w:szCs w:val="18"/>
                      <w:lang w:bidi="ar"/>
                    </w:rPr>
                    <w:t>（</w:t>
                  </w:r>
                  <w:r>
                    <w:rPr>
                      <w:rStyle w:val="48"/>
                      <w:rFonts w:hint="default" w:ascii="Times New Roman" w:hAnsi="Times New Roman" w:eastAsia="宋体" w:cs="Times New Roman"/>
                      <w:color w:val="auto"/>
                      <w:sz w:val="18"/>
                      <w:szCs w:val="18"/>
                      <w:lang w:bidi="ar"/>
                    </w:rPr>
                    <w:t>11-245KD</w:t>
                  </w:r>
                  <w:r>
                    <w:rPr>
                      <w:rStyle w:val="48"/>
                      <w:rFonts w:hint="eastAsia" w:cs="Times New Roman"/>
                      <w:color w:val="auto"/>
                      <w:sz w:val="18"/>
                      <w:szCs w:val="18"/>
                      <w:lang w:eastAsia="zh-CN" w:bidi="ar"/>
                    </w:rPr>
                    <w:t>）</w:t>
                  </w:r>
                </w:p>
              </w:tc>
              <w:tc>
                <w:tcPr>
                  <w:tcW w:w="480" w:type="pct"/>
                  <w:tcBorders>
                    <w:tl2br w:val="nil"/>
                    <w:tr2bl w:val="nil"/>
                  </w:tcBorders>
                  <w:shd w:val="clear" w:color="auto" w:fill="auto"/>
                  <w:noWrap/>
                  <w:tcMar>
                    <w:top w:w="12" w:type="dxa"/>
                    <w:left w:w="12" w:type="dxa"/>
                    <w:right w:w="12" w:type="dxa"/>
                  </w:tcMar>
                  <w:vAlign w:val="center"/>
                </w:tcPr>
                <w:p w14:paraId="2A11BB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3E45ED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2*250ul</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100T)</w:t>
                  </w:r>
                </w:p>
              </w:tc>
              <w:tc>
                <w:tcPr>
                  <w:tcW w:w="691" w:type="pct"/>
                  <w:tcBorders>
                    <w:tl2br w:val="nil"/>
                    <w:tr2bl w:val="nil"/>
                  </w:tcBorders>
                  <w:shd w:val="clear" w:color="auto" w:fill="auto"/>
                  <w:noWrap/>
                  <w:tcMar>
                    <w:top w:w="12" w:type="dxa"/>
                    <w:left w:w="12" w:type="dxa"/>
                    <w:right w:w="12" w:type="dxa"/>
                  </w:tcMar>
                  <w:vAlign w:val="center"/>
                </w:tcPr>
                <w:p w14:paraId="40886F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0AF30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23A57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SDS-PAGE凝胶制备试剂盒</w:t>
                  </w:r>
                </w:p>
              </w:tc>
              <w:tc>
                <w:tcPr>
                  <w:tcW w:w="480" w:type="pct"/>
                  <w:tcBorders>
                    <w:tl2br w:val="nil"/>
                    <w:tr2bl w:val="nil"/>
                  </w:tcBorders>
                  <w:shd w:val="clear" w:color="auto" w:fill="auto"/>
                  <w:noWrap/>
                  <w:tcMar>
                    <w:top w:w="12" w:type="dxa"/>
                    <w:left w:w="12" w:type="dxa"/>
                    <w:right w:w="12" w:type="dxa"/>
                  </w:tcMar>
                  <w:vAlign w:val="center"/>
                </w:tcPr>
                <w:p w14:paraId="3408FB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221F70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50T</w:t>
                  </w:r>
                </w:p>
              </w:tc>
              <w:tc>
                <w:tcPr>
                  <w:tcW w:w="691" w:type="pct"/>
                  <w:tcBorders>
                    <w:tl2br w:val="nil"/>
                    <w:tr2bl w:val="nil"/>
                  </w:tcBorders>
                  <w:shd w:val="clear" w:color="auto" w:fill="auto"/>
                  <w:noWrap/>
                  <w:tcMar>
                    <w:top w:w="12" w:type="dxa"/>
                    <w:left w:w="12" w:type="dxa"/>
                    <w:right w:w="12" w:type="dxa"/>
                  </w:tcMar>
                  <w:vAlign w:val="center"/>
                </w:tcPr>
                <w:p w14:paraId="735806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6E436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ED8AA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1.5M Tris-HCl(pH8.8)</w:t>
                  </w:r>
                </w:p>
              </w:tc>
              <w:tc>
                <w:tcPr>
                  <w:tcW w:w="480" w:type="pct"/>
                  <w:tcBorders>
                    <w:tl2br w:val="nil"/>
                    <w:tr2bl w:val="nil"/>
                  </w:tcBorders>
                  <w:shd w:val="clear" w:color="auto" w:fill="auto"/>
                  <w:noWrap/>
                  <w:tcMar>
                    <w:top w:w="12" w:type="dxa"/>
                    <w:left w:w="12" w:type="dxa"/>
                    <w:right w:w="12" w:type="dxa"/>
                  </w:tcMar>
                  <w:vAlign w:val="center"/>
                </w:tcPr>
                <w:p w14:paraId="54FA5F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3BEBC9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5B07FC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7267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11CCB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1M Tris-HCl (pH6.8)</w:t>
                  </w:r>
                </w:p>
              </w:tc>
              <w:tc>
                <w:tcPr>
                  <w:tcW w:w="480" w:type="pct"/>
                  <w:tcBorders>
                    <w:tl2br w:val="nil"/>
                    <w:tr2bl w:val="nil"/>
                  </w:tcBorders>
                  <w:shd w:val="clear" w:color="auto" w:fill="auto"/>
                  <w:noWrap/>
                  <w:tcMar>
                    <w:top w:w="12" w:type="dxa"/>
                    <w:left w:w="12" w:type="dxa"/>
                    <w:right w:w="12" w:type="dxa"/>
                  </w:tcMar>
                  <w:vAlign w:val="center"/>
                </w:tcPr>
                <w:p w14:paraId="33E160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458D41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6E7D16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D866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4A983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1M Tris-HCl(PH=7.0)</w:t>
                  </w:r>
                </w:p>
              </w:tc>
              <w:tc>
                <w:tcPr>
                  <w:tcW w:w="480" w:type="pct"/>
                  <w:tcBorders>
                    <w:tl2br w:val="nil"/>
                    <w:tr2bl w:val="nil"/>
                  </w:tcBorders>
                  <w:shd w:val="clear" w:color="auto" w:fill="auto"/>
                  <w:noWrap/>
                  <w:tcMar>
                    <w:top w:w="12" w:type="dxa"/>
                    <w:left w:w="12" w:type="dxa"/>
                    <w:right w:w="12" w:type="dxa"/>
                  </w:tcMar>
                  <w:vAlign w:val="center"/>
                </w:tcPr>
                <w:p w14:paraId="34665D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61780D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272616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7247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457F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1M Tris-HCl(PH=7.5)</w:t>
                  </w:r>
                </w:p>
              </w:tc>
              <w:tc>
                <w:tcPr>
                  <w:tcW w:w="480" w:type="pct"/>
                  <w:tcBorders>
                    <w:tl2br w:val="nil"/>
                    <w:tr2bl w:val="nil"/>
                  </w:tcBorders>
                  <w:shd w:val="clear" w:color="auto" w:fill="auto"/>
                  <w:noWrap/>
                  <w:tcMar>
                    <w:top w:w="12" w:type="dxa"/>
                    <w:left w:w="12" w:type="dxa"/>
                    <w:right w:w="12" w:type="dxa"/>
                  </w:tcMar>
                  <w:vAlign w:val="center"/>
                </w:tcPr>
                <w:p w14:paraId="443B4F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7E9F96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27D3D0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95A4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17C6C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1M Tris-HCl(PH=8.0)</w:t>
                  </w:r>
                </w:p>
              </w:tc>
              <w:tc>
                <w:tcPr>
                  <w:tcW w:w="480" w:type="pct"/>
                  <w:tcBorders>
                    <w:tl2br w:val="nil"/>
                    <w:tr2bl w:val="nil"/>
                  </w:tcBorders>
                  <w:shd w:val="clear" w:color="auto" w:fill="auto"/>
                  <w:noWrap/>
                  <w:tcMar>
                    <w:top w:w="12" w:type="dxa"/>
                    <w:left w:w="12" w:type="dxa"/>
                    <w:right w:w="12" w:type="dxa"/>
                  </w:tcMar>
                  <w:vAlign w:val="center"/>
                </w:tcPr>
                <w:p w14:paraId="3FACB4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282C3C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34189F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2901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583DB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1M Tris-HCl(PH=9.0)</w:t>
                  </w:r>
                </w:p>
              </w:tc>
              <w:tc>
                <w:tcPr>
                  <w:tcW w:w="480" w:type="pct"/>
                  <w:tcBorders>
                    <w:tl2br w:val="nil"/>
                    <w:tr2bl w:val="nil"/>
                  </w:tcBorders>
                  <w:shd w:val="clear" w:color="auto" w:fill="auto"/>
                  <w:noWrap/>
                  <w:tcMar>
                    <w:top w:w="12" w:type="dxa"/>
                    <w:left w:w="12" w:type="dxa"/>
                    <w:right w:w="12" w:type="dxa"/>
                  </w:tcMar>
                  <w:vAlign w:val="center"/>
                </w:tcPr>
                <w:p w14:paraId="610663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1A3401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0DAC22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6B7E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CDAA1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10×丽春红</w:t>
                  </w:r>
                </w:p>
              </w:tc>
              <w:tc>
                <w:tcPr>
                  <w:tcW w:w="480" w:type="pct"/>
                  <w:tcBorders>
                    <w:tl2br w:val="nil"/>
                    <w:tr2bl w:val="nil"/>
                  </w:tcBorders>
                  <w:shd w:val="clear" w:color="auto" w:fill="auto"/>
                  <w:noWrap/>
                  <w:tcMar>
                    <w:top w:w="12" w:type="dxa"/>
                    <w:left w:w="12" w:type="dxa"/>
                    <w:right w:w="12" w:type="dxa"/>
                  </w:tcMar>
                  <w:vAlign w:val="center"/>
                </w:tcPr>
                <w:p w14:paraId="670B87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5DBD25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10ml</w:t>
                  </w:r>
                </w:p>
              </w:tc>
              <w:tc>
                <w:tcPr>
                  <w:tcW w:w="691" w:type="pct"/>
                  <w:tcBorders>
                    <w:tl2br w:val="nil"/>
                    <w:tr2bl w:val="nil"/>
                  </w:tcBorders>
                  <w:shd w:val="clear" w:color="auto" w:fill="auto"/>
                  <w:noWrap/>
                  <w:tcMar>
                    <w:top w:w="12" w:type="dxa"/>
                    <w:left w:w="12" w:type="dxa"/>
                    <w:right w:w="12" w:type="dxa"/>
                  </w:tcMar>
                  <w:vAlign w:val="center"/>
                </w:tcPr>
                <w:p w14:paraId="459CFC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37CF10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540D6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结晶紫</w:t>
                  </w:r>
                </w:p>
              </w:tc>
              <w:tc>
                <w:tcPr>
                  <w:tcW w:w="480" w:type="pct"/>
                  <w:tcBorders>
                    <w:tl2br w:val="nil"/>
                    <w:tr2bl w:val="nil"/>
                  </w:tcBorders>
                  <w:shd w:val="clear" w:color="auto" w:fill="auto"/>
                  <w:noWrap/>
                  <w:tcMar>
                    <w:top w:w="12" w:type="dxa"/>
                    <w:left w:w="12" w:type="dxa"/>
                    <w:right w:w="12" w:type="dxa"/>
                  </w:tcMar>
                  <w:vAlign w:val="center"/>
                </w:tcPr>
                <w:p w14:paraId="796FE0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543AC3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25g</w:t>
                  </w:r>
                </w:p>
              </w:tc>
              <w:tc>
                <w:tcPr>
                  <w:tcW w:w="691" w:type="pct"/>
                  <w:tcBorders>
                    <w:tl2br w:val="nil"/>
                    <w:tr2bl w:val="nil"/>
                  </w:tcBorders>
                  <w:shd w:val="clear" w:color="auto" w:fill="auto"/>
                  <w:noWrap/>
                  <w:tcMar>
                    <w:top w:w="12" w:type="dxa"/>
                    <w:left w:w="12" w:type="dxa"/>
                    <w:right w:w="12" w:type="dxa"/>
                  </w:tcMar>
                  <w:vAlign w:val="center"/>
                </w:tcPr>
                <w:p w14:paraId="1D97F6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4CB05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590" w:type="pct"/>
                  <w:tcBorders>
                    <w:tl2br w:val="nil"/>
                    <w:tr2bl w:val="nil"/>
                  </w:tcBorders>
                  <w:shd w:val="clear" w:color="auto" w:fill="auto"/>
                  <w:noWrap/>
                  <w:tcMar>
                    <w:top w:w="12" w:type="dxa"/>
                    <w:left w:w="12" w:type="dxa"/>
                    <w:right w:w="12" w:type="dxa"/>
                  </w:tcMar>
                  <w:vAlign w:val="center"/>
                </w:tcPr>
                <w:p w14:paraId="2E60E3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牛血清白蛋白</w:t>
                  </w:r>
                  <w:r>
                    <w:rPr>
                      <w:rStyle w:val="48"/>
                      <w:rFonts w:hint="default" w:ascii="Times New Roman" w:hAnsi="Times New Roman" w:eastAsia="宋体" w:cs="Times New Roman"/>
                      <w:color w:val="auto"/>
                      <w:sz w:val="18"/>
                      <w:szCs w:val="18"/>
                      <w:lang w:bidi="ar"/>
                    </w:rPr>
                    <w:t xml:space="preserve"> BSA</w:t>
                  </w:r>
                  <w:r>
                    <w:rPr>
                      <w:rStyle w:val="48"/>
                      <w:rFonts w:hint="eastAsia" w:cs="Times New Roman"/>
                      <w:color w:val="auto"/>
                      <w:sz w:val="18"/>
                      <w:szCs w:val="18"/>
                      <w:lang w:eastAsia="zh-CN" w:bidi="ar"/>
                    </w:rPr>
                    <w:t>（</w:t>
                  </w:r>
                  <w:r>
                    <w:rPr>
                      <w:rFonts w:hint="default" w:ascii="Times New Roman" w:hAnsi="Times New Roman" w:eastAsia="宋体" w:cs="Times New Roman"/>
                      <w:color w:val="auto"/>
                      <w:kern w:val="0"/>
                      <w:sz w:val="18"/>
                      <w:szCs w:val="18"/>
                      <w:lang w:bidi="ar"/>
                    </w:rPr>
                    <w:t>全组分</w:t>
                  </w:r>
                  <w:r>
                    <w:rPr>
                      <w:rFonts w:hint="eastAsia" w:cs="Times New Roman"/>
                      <w:color w:val="auto"/>
                      <w:kern w:val="0"/>
                      <w:sz w:val="18"/>
                      <w:szCs w:val="18"/>
                      <w:lang w:eastAsia="zh-CN" w:bidi="ar"/>
                    </w:rPr>
                    <w:t>）</w:t>
                  </w:r>
                </w:p>
              </w:tc>
              <w:tc>
                <w:tcPr>
                  <w:tcW w:w="480" w:type="pct"/>
                  <w:tcBorders>
                    <w:tl2br w:val="nil"/>
                    <w:tr2bl w:val="nil"/>
                  </w:tcBorders>
                  <w:shd w:val="clear" w:color="auto" w:fill="auto"/>
                  <w:noWrap/>
                  <w:tcMar>
                    <w:top w:w="12" w:type="dxa"/>
                    <w:left w:w="12" w:type="dxa"/>
                    <w:right w:w="12" w:type="dxa"/>
                  </w:tcMar>
                  <w:vAlign w:val="center"/>
                </w:tcPr>
                <w:p w14:paraId="58ECB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0A97A8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100g</w:t>
                  </w:r>
                </w:p>
              </w:tc>
              <w:tc>
                <w:tcPr>
                  <w:tcW w:w="691" w:type="pct"/>
                  <w:tcBorders>
                    <w:tl2br w:val="nil"/>
                    <w:tr2bl w:val="nil"/>
                  </w:tcBorders>
                  <w:shd w:val="clear" w:color="auto" w:fill="auto"/>
                  <w:noWrap/>
                  <w:tcMar>
                    <w:top w:w="12" w:type="dxa"/>
                    <w:left w:w="12" w:type="dxa"/>
                    <w:right w:w="12" w:type="dxa"/>
                  </w:tcMar>
                  <w:vAlign w:val="center"/>
                </w:tcPr>
                <w:p w14:paraId="090EAD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781D3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6C36B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D2000 DNA Ladder</w:t>
                  </w:r>
                </w:p>
              </w:tc>
              <w:tc>
                <w:tcPr>
                  <w:tcW w:w="480" w:type="pct"/>
                  <w:tcBorders>
                    <w:tl2br w:val="nil"/>
                    <w:tr2bl w:val="nil"/>
                  </w:tcBorders>
                  <w:shd w:val="clear" w:color="auto" w:fill="auto"/>
                  <w:noWrap/>
                  <w:tcMar>
                    <w:top w:w="12" w:type="dxa"/>
                    <w:left w:w="12" w:type="dxa"/>
                    <w:right w:w="12" w:type="dxa"/>
                  </w:tcMar>
                  <w:vAlign w:val="center"/>
                </w:tcPr>
                <w:p w14:paraId="5B5CEA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775796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100T</w:t>
                  </w:r>
                </w:p>
              </w:tc>
              <w:tc>
                <w:tcPr>
                  <w:tcW w:w="691" w:type="pct"/>
                  <w:tcBorders>
                    <w:tl2br w:val="nil"/>
                    <w:tr2bl w:val="nil"/>
                  </w:tcBorders>
                  <w:shd w:val="clear" w:color="auto" w:fill="auto"/>
                  <w:noWrap/>
                  <w:tcMar>
                    <w:top w:w="12" w:type="dxa"/>
                    <w:left w:w="12" w:type="dxa"/>
                    <w:right w:w="12" w:type="dxa"/>
                  </w:tcMar>
                  <w:vAlign w:val="center"/>
                </w:tcPr>
                <w:p w14:paraId="2F017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2D24E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9D933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1kb DNA Ladder</w:t>
                  </w:r>
                </w:p>
              </w:tc>
              <w:tc>
                <w:tcPr>
                  <w:tcW w:w="480" w:type="pct"/>
                  <w:tcBorders>
                    <w:tl2br w:val="nil"/>
                    <w:tr2bl w:val="nil"/>
                  </w:tcBorders>
                  <w:shd w:val="clear" w:color="auto" w:fill="auto"/>
                  <w:noWrap/>
                  <w:tcMar>
                    <w:top w:w="12" w:type="dxa"/>
                    <w:left w:w="12" w:type="dxa"/>
                    <w:right w:w="12" w:type="dxa"/>
                  </w:tcMar>
                  <w:vAlign w:val="center"/>
                </w:tcPr>
                <w:p w14:paraId="322675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629E46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100T</w:t>
                  </w:r>
                </w:p>
              </w:tc>
              <w:tc>
                <w:tcPr>
                  <w:tcW w:w="691" w:type="pct"/>
                  <w:tcBorders>
                    <w:tl2br w:val="nil"/>
                    <w:tr2bl w:val="nil"/>
                  </w:tcBorders>
                  <w:shd w:val="clear" w:color="auto" w:fill="auto"/>
                  <w:noWrap/>
                  <w:tcMar>
                    <w:top w:w="12" w:type="dxa"/>
                    <w:left w:w="12" w:type="dxa"/>
                    <w:right w:w="12" w:type="dxa"/>
                  </w:tcMar>
                  <w:vAlign w:val="center"/>
                </w:tcPr>
                <w:p w14:paraId="769330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40E48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2590" w:type="pct"/>
                  <w:tcBorders>
                    <w:tl2br w:val="nil"/>
                    <w:tr2bl w:val="nil"/>
                  </w:tcBorders>
                  <w:shd w:val="clear" w:color="auto" w:fill="auto"/>
                  <w:noWrap/>
                  <w:tcMar>
                    <w:top w:w="12" w:type="dxa"/>
                    <w:left w:w="12" w:type="dxa"/>
                    <w:right w:w="12" w:type="dxa"/>
                  </w:tcMar>
                  <w:vAlign w:val="center"/>
                </w:tcPr>
                <w:p w14:paraId="55ECC9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PVDF膜（</w:t>
                  </w:r>
                  <w:r>
                    <w:rPr>
                      <w:rStyle w:val="48"/>
                      <w:rFonts w:hint="default" w:ascii="Times New Roman" w:hAnsi="Times New Roman" w:eastAsia="宋体" w:cs="Times New Roman"/>
                      <w:color w:val="auto"/>
                      <w:sz w:val="18"/>
                      <w:szCs w:val="18"/>
                      <w:lang w:bidi="ar"/>
                    </w:rPr>
                    <w:t>0.45um</w:t>
                  </w:r>
                  <w:r>
                    <w:rPr>
                      <w:rFonts w:hint="default" w:ascii="Times New Roman" w:hAnsi="Times New Roman" w:eastAsia="宋体" w:cs="Times New Roman"/>
                      <w:color w:val="auto"/>
                      <w:kern w:val="0"/>
                      <w:sz w:val="18"/>
                      <w:szCs w:val="18"/>
                      <w:lang w:bidi="ar"/>
                    </w:rPr>
                    <w:t>）</w:t>
                  </w:r>
                  <w:r>
                    <w:rPr>
                      <w:rStyle w:val="48"/>
                      <w:rFonts w:hint="default" w:ascii="Times New Roman" w:hAnsi="Times New Roman" w:eastAsia="宋体" w:cs="Times New Roman"/>
                      <w:color w:val="auto"/>
                      <w:sz w:val="18"/>
                      <w:szCs w:val="18"/>
                      <w:lang w:bidi="ar"/>
                    </w:rPr>
                    <w:t>Millipore</w:t>
                  </w:r>
                </w:p>
              </w:tc>
              <w:tc>
                <w:tcPr>
                  <w:tcW w:w="480" w:type="pct"/>
                  <w:tcBorders>
                    <w:tl2br w:val="nil"/>
                    <w:tr2bl w:val="nil"/>
                  </w:tcBorders>
                  <w:shd w:val="clear" w:color="auto" w:fill="auto"/>
                  <w:noWrap/>
                  <w:tcMar>
                    <w:top w:w="12" w:type="dxa"/>
                    <w:left w:w="12" w:type="dxa"/>
                    <w:right w:w="12" w:type="dxa"/>
                  </w:tcMar>
                  <w:vAlign w:val="center"/>
                </w:tcPr>
                <w:p w14:paraId="0415CA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卷</w:t>
                  </w:r>
                </w:p>
              </w:tc>
              <w:tc>
                <w:tcPr>
                  <w:tcW w:w="1238" w:type="pct"/>
                  <w:tcBorders>
                    <w:tl2br w:val="nil"/>
                    <w:tr2bl w:val="nil"/>
                  </w:tcBorders>
                  <w:shd w:val="clear" w:color="auto" w:fill="auto"/>
                  <w:noWrap/>
                  <w:tcMar>
                    <w:top w:w="12" w:type="dxa"/>
                    <w:left w:w="12" w:type="dxa"/>
                    <w:right w:w="12" w:type="dxa"/>
                  </w:tcMar>
                  <w:vAlign w:val="center"/>
                </w:tcPr>
                <w:p w14:paraId="1AD979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26.5*3.75</w:t>
                  </w:r>
                </w:p>
              </w:tc>
              <w:tc>
                <w:tcPr>
                  <w:tcW w:w="691" w:type="pct"/>
                  <w:tcBorders>
                    <w:tl2br w:val="nil"/>
                    <w:tr2bl w:val="nil"/>
                  </w:tcBorders>
                  <w:shd w:val="clear" w:color="auto" w:fill="auto"/>
                  <w:noWrap/>
                  <w:tcMar>
                    <w:top w:w="12" w:type="dxa"/>
                    <w:left w:w="12" w:type="dxa"/>
                    <w:right w:w="12" w:type="dxa"/>
                  </w:tcMar>
                  <w:vAlign w:val="center"/>
                </w:tcPr>
                <w:p w14:paraId="51B659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39FB5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39" w:hRule="atLeast"/>
              </w:trPr>
              <w:tc>
                <w:tcPr>
                  <w:tcW w:w="2590" w:type="pct"/>
                  <w:tcBorders>
                    <w:tl2br w:val="nil"/>
                    <w:tr2bl w:val="nil"/>
                  </w:tcBorders>
                  <w:shd w:val="clear" w:color="auto" w:fill="auto"/>
                  <w:noWrap/>
                  <w:tcMar>
                    <w:top w:w="12" w:type="dxa"/>
                    <w:left w:w="12" w:type="dxa"/>
                    <w:right w:w="12" w:type="dxa"/>
                  </w:tcMar>
                  <w:vAlign w:val="center"/>
                </w:tcPr>
                <w:p w14:paraId="30A830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5×蛋白上样缓冲液（含</w:t>
                  </w:r>
                  <w:r>
                    <w:rPr>
                      <w:rStyle w:val="48"/>
                      <w:rFonts w:hint="default" w:ascii="Times New Roman" w:hAnsi="Times New Roman" w:eastAsia="宋体" w:cs="Times New Roman"/>
                      <w:color w:val="auto"/>
                      <w:sz w:val="18"/>
                      <w:szCs w:val="18"/>
                      <w:lang w:bidi="ar"/>
                    </w:rPr>
                    <w:t>DTT</w:t>
                  </w:r>
                  <w:r>
                    <w:rPr>
                      <w:rFonts w:hint="default" w:ascii="Times New Roman" w:hAnsi="Times New Roman" w:eastAsia="宋体" w:cs="Times New Roman"/>
                      <w:color w:val="auto"/>
                      <w:kern w:val="0"/>
                      <w:sz w:val="18"/>
                      <w:szCs w:val="18"/>
                      <w:lang w:bidi="ar"/>
                    </w:rPr>
                    <w:t>）</w:t>
                  </w:r>
                </w:p>
              </w:tc>
              <w:tc>
                <w:tcPr>
                  <w:tcW w:w="480" w:type="pct"/>
                  <w:tcBorders>
                    <w:tl2br w:val="nil"/>
                    <w:tr2bl w:val="nil"/>
                  </w:tcBorders>
                  <w:shd w:val="clear" w:color="auto" w:fill="auto"/>
                  <w:noWrap/>
                  <w:tcMar>
                    <w:top w:w="12" w:type="dxa"/>
                    <w:left w:w="12" w:type="dxa"/>
                    <w:right w:w="12" w:type="dxa"/>
                  </w:tcMar>
                  <w:vAlign w:val="center"/>
                </w:tcPr>
                <w:p w14:paraId="59206F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514C07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10ml</w:t>
                  </w:r>
                </w:p>
              </w:tc>
              <w:tc>
                <w:tcPr>
                  <w:tcW w:w="691" w:type="pct"/>
                  <w:tcBorders>
                    <w:tl2br w:val="nil"/>
                    <w:tr2bl w:val="nil"/>
                  </w:tcBorders>
                  <w:shd w:val="clear" w:color="auto" w:fill="auto"/>
                  <w:noWrap/>
                  <w:tcMar>
                    <w:top w:w="12" w:type="dxa"/>
                    <w:left w:w="12" w:type="dxa"/>
                    <w:right w:w="12" w:type="dxa"/>
                  </w:tcMar>
                  <w:vAlign w:val="center"/>
                </w:tcPr>
                <w:p w14:paraId="5C5AAE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4DB81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2590" w:type="pct"/>
                  <w:tcBorders>
                    <w:tl2br w:val="nil"/>
                    <w:tr2bl w:val="nil"/>
                  </w:tcBorders>
                  <w:shd w:val="clear" w:color="auto" w:fill="auto"/>
                  <w:noWrap/>
                  <w:tcMar>
                    <w:top w:w="12" w:type="dxa"/>
                    <w:left w:w="12" w:type="dxa"/>
                    <w:right w:w="12" w:type="dxa"/>
                  </w:tcMar>
                  <w:vAlign w:val="center"/>
                </w:tcPr>
                <w:p w14:paraId="425520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Western blotting（人</w:t>
                  </w:r>
                  <w:r>
                    <w:rPr>
                      <w:rStyle w:val="48"/>
                      <w:rFonts w:hint="default" w:ascii="Times New Roman" w:hAnsi="Times New Roman" w:eastAsia="宋体" w:cs="Times New Roman"/>
                      <w:color w:val="auto"/>
                      <w:sz w:val="18"/>
                      <w:szCs w:val="18"/>
                      <w:lang w:bidi="ar"/>
                    </w:rPr>
                    <w:t>IgG</w:t>
                  </w:r>
                  <w:r>
                    <w:rPr>
                      <w:rFonts w:hint="default" w:ascii="Times New Roman" w:hAnsi="Times New Roman" w:eastAsia="宋体" w:cs="Times New Roman"/>
                      <w:color w:val="auto"/>
                      <w:kern w:val="0"/>
                      <w:sz w:val="18"/>
                      <w:szCs w:val="18"/>
                      <w:lang w:bidi="ar"/>
                    </w:rPr>
                    <w:t>）</w:t>
                  </w:r>
                  <w:r>
                    <w:rPr>
                      <w:rStyle w:val="48"/>
                      <w:rFonts w:hint="default" w:ascii="Times New Roman" w:hAnsi="Times New Roman" w:eastAsia="宋体" w:cs="Times New Roman"/>
                      <w:color w:val="auto"/>
                      <w:sz w:val="18"/>
                      <w:szCs w:val="18"/>
                      <w:lang w:bidi="ar"/>
                    </w:rPr>
                    <w:t>ECL</w:t>
                  </w:r>
                  <w:r>
                    <w:rPr>
                      <w:rFonts w:hint="default" w:ascii="Times New Roman" w:hAnsi="Times New Roman" w:eastAsia="宋体" w:cs="Times New Roman"/>
                      <w:color w:val="auto"/>
                      <w:kern w:val="0"/>
                      <w:sz w:val="18"/>
                      <w:szCs w:val="18"/>
                      <w:lang w:bidi="ar"/>
                    </w:rPr>
                    <w:t>化学发光法检测试剂盒</w:t>
                  </w:r>
                </w:p>
              </w:tc>
              <w:tc>
                <w:tcPr>
                  <w:tcW w:w="480" w:type="pct"/>
                  <w:tcBorders>
                    <w:tl2br w:val="nil"/>
                    <w:tr2bl w:val="nil"/>
                  </w:tcBorders>
                  <w:shd w:val="clear" w:color="auto" w:fill="auto"/>
                  <w:noWrap/>
                  <w:tcMar>
                    <w:top w:w="12" w:type="dxa"/>
                    <w:left w:w="12" w:type="dxa"/>
                    <w:right w:w="12" w:type="dxa"/>
                  </w:tcMar>
                  <w:vAlign w:val="center"/>
                </w:tcPr>
                <w:p w14:paraId="18EB35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5F39F0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一盒</w:t>
                  </w:r>
                </w:p>
              </w:tc>
              <w:tc>
                <w:tcPr>
                  <w:tcW w:w="691" w:type="pct"/>
                  <w:tcBorders>
                    <w:tl2br w:val="nil"/>
                    <w:tr2bl w:val="nil"/>
                  </w:tcBorders>
                  <w:shd w:val="clear" w:color="auto" w:fill="auto"/>
                  <w:noWrap/>
                  <w:tcMar>
                    <w:top w:w="12" w:type="dxa"/>
                    <w:left w:w="12" w:type="dxa"/>
                    <w:right w:w="12" w:type="dxa"/>
                  </w:tcMar>
                  <w:vAlign w:val="center"/>
                </w:tcPr>
                <w:p w14:paraId="7202D7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3BAD9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7" w:hRule="atLeast"/>
              </w:trPr>
              <w:tc>
                <w:tcPr>
                  <w:tcW w:w="2590" w:type="pct"/>
                  <w:tcBorders>
                    <w:tl2br w:val="nil"/>
                    <w:tr2bl w:val="nil"/>
                  </w:tcBorders>
                  <w:shd w:val="clear" w:color="auto" w:fill="auto"/>
                  <w:noWrap/>
                  <w:tcMar>
                    <w:top w:w="12" w:type="dxa"/>
                    <w:left w:w="12" w:type="dxa"/>
                    <w:right w:w="12" w:type="dxa"/>
                  </w:tcMar>
                  <w:vAlign w:val="center"/>
                </w:tcPr>
                <w:p w14:paraId="07CC69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普通</w:t>
                  </w:r>
                  <w:r>
                    <w:rPr>
                      <w:rStyle w:val="48"/>
                      <w:rFonts w:hint="default" w:ascii="Times New Roman" w:hAnsi="Times New Roman" w:eastAsia="宋体" w:cs="Times New Roman"/>
                      <w:color w:val="auto"/>
                      <w:sz w:val="18"/>
                      <w:szCs w:val="18"/>
                      <w:lang w:bidi="ar"/>
                    </w:rPr>
                    <w:t>RIPA</w:t>
                  </w:r>
                  <w:r>
                    <w:rPr>
                      <w:rFonts w:hint="default" w:ascii="Times New Roman" w:hAnsi="Times New Roman" w:eastAsia="宋体" w:cs="Times New Roman"/>
                      <w:color w:val="auto"/>
                      <w:kern w:val="0"/>
                      <w:sz w:val="18"/>
                      <w:szCs w:val="18"/>
                      <w:lang w:bidi="ar"/>
                    </w:rPr>
                    <w:t>裂解液</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组织</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细胞</w:t>
                  </w:r>
                  <w:r>
                    <w:rPr>
                      <w:rFonts w:hint="eastAsia" w:cs="Times New Roman"/>
                      <w:color w:val="auto"/>
                      <w:kern w:val="0"/>
                      <w:sz w:val="18"/>
                      <w:szCs w:val="18"/>
                      <w:lang w:eastAsia="zh-CN" w:bidi="ar"/>
                    </w:rPr>
                    <w:t>）</w:t>
                  </w:r>
                </w:p>
              </w:tc>
              <w:tc>
                <w:tcPr>
                  <w:tcW w:w="480" w:type="pct"/>
                  <w:tcBorders>
                    <w:tl2br w:val="nil"/>
                    <w:tr2bl w:val="nil"/>
                  </w:tcBorders>
                  <w:shd w:val="clear" w:color="auto" w:fill="auto"/>
                  <w:noWrap/>
                  <w:tcMar>
                    <w:top w:w="12" w:type="dxa"/>
                    <w:left w:w="12" w:type="dxa"/>
                    <w:right w:w="12" w:type="dxa"/>
                  </w:tcMar>
                  <w:vAlign w:val="center"/>
                </w:tcPr>
                <w:p w14:paraId="199FAB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42A2D2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100ml</w:t>
                  </w:r>
                </w:p>
              </w:tc>
              <w:tc>
                <w:tcPr>
                  <w:tcW w:w="691" w:type="pct"/>
                  <w:tcBorders>
                    <w:tl2br w:val="nil"/>
                    <w:tr2bl w:val="nil"/>
                  </w:tcBorders>
                  <w:shd w:val="clear" w:color="auto" w:fill="auto"/>
                  <w:noWrap/>
                  <w:tcMar>
                    <w:top w:w="12" w:type="dxa"/>
                    <w:left w:w="12" w:type="dxa"/>
                    <w:right w:w="12" w:type="dxa"/>
                  </w:tcMar>
                  <w:vAlign w:val="center"/>
                </w:tcPr>
                <w:p w14:paraId="4DBFF9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w:t>
                  </w:r>
                </w:p>
              </w:tc>
            </w:tr>
            <w:tr w14:paraId="47186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2" w:hRule="atLeast"/>
              </w:trPr>
              <w:tc>
                <w:tcPr>
                  <w:tcW w:w="2590" w:type="pct"/>
                  <w:tcBorders>
                    <w:tl2br w:val="nil"/>
                    <w:tr2bl w:val="nil"/>
                  </w:tcBorders>
                  <w:shd w:val="clear" w:color="auto" w:fill="auto"/>
                  <w:noWrap/>
                  <w:tcMar>
                    <w:top w:w="12" w:type="dxa"/>
                    <w:left w:w="12" w:type="dxa"/>
                    <w:right w:w="12" w:type="dxa"/>
                  </w:tcMar>
                  <w:vAlign w:val="center"/>
                </w:tcPr>
                <w:p w14:paraId="3215A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曲拉通</w:t>
                  </w:r>
                  <w:r>
                    <w:rPr>
                      <w:rStyle w:val="48"/>
                      <w:rFonts w:hint="default" w:ascii="Times New Roman" w:hAnsi="Times New Roman" w:eastAsia="宋体" w:cs="Times New Roman"/>
                      <w:color w:val="auto"/>
                      <w:sz w:val="18"/>
                      <w:szCs w:val="18"/>
                      <w:lang w:bidi="ar"/>
                    </w:rPr>
                    <w:t xml:space="preserve"> Triton X-100</w:t>
                  </w:r>
                </w:p>
              </w:tc>
              <w:tc>
                <w:tcPr>
                  <w:tcW w:w="480" w:type="pct"/>
                  <w:tcBorders>
                    <w:tl2br w:val="nil"/>
                    <w:tr2bl w:val="nil"/>
                  </w:tcBorders>
                  <w:shd w:val="clear" w:color="auto" w:fill="auto"/>
                  <w:noWrap/>
                  <w:tcMar>
                    <w:top w:w="12" w:type="dxa"/>
                    <w:left w:w="12" w:type="dxa"/>
                    <w:right w:w="12" w:type="dxa"/>
                  </w:tcMar>
                  <w:vAlign w:val="center"/>
                </w:tcPr>
                <w:p w14:paraId="6A5202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30C54E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7F549E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1EEDBE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ABA34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Lowry法蛋白浓度测定试剂盒</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1000T</w:t>
                  </w:r>
                  <w:r>
                    <w:rPr>
                      <w:rStyle w:val="48"/>
                      <w:rFonts w:hint="eastAsia" w:cs="Times New Roman"/>
                      <w:color w:val="auto"/>
                      <w:sz w:val="18"/>
                      <w:szCs w:val="18"/>
                      <w:lang w:eastAsia="zh-CN" w:bidi="ar"/>
                    </w:rPr>
                    <w:t>）</w:t>
                  </w:r>
                </w:p>
              </w:tc>
              <w:tc>
                <w:tcPr>
                  <w:tcW w:w="480" w:type="pct"/>
                  <w:tcBorders>
                    <w:tl2br w:val="nil"/>
                    <w:tr2bl w:val="nil"/>
                  </w:tcBorders>
                  <w:shd w:val="clear" w:color="auto" w:fill="auto"/>
                  <w:noWrap/>
                  <w:tcMar>
                    <w:top w:w="12" w:type="dxa"/>
                    <w:left w:w="12" w:type="dxa"/>
                    <w:right w:w="12" w:type="dxa"/>
                  </w:tcMar>
                  <w:vAlign w:val="center"/>
                </w:tcPr>
                <w:p w14:paraId="3244A2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392F8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1000微孔</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100T</w:t>
                  </w:r>
                  <w:r>
                    <w:rPr>
                      <w:rFonts w:hint="eastAsia" w:cs="Times New Roman"/>
                      <w:color w:val="auto"/>
                      <w:kern w:val="0"/>
                      <w:sz w:val="18"/>
                      <w:szCs w:val="18"/>
                      <w:lang w:eastAsia="zh-CN" w:bidi="ar"/>
                    </w:rPr>
                    <w:t>）</w:t>
                  </w:r>
                </w:p>
              </w:tc>
              <w:tc>
                <w:tcPr>
                  <w:tcW w:w="691" w:type="pct"/>
                  <w:tcBorders>
                    <w:tl2br w:val="nil"/>
                    <w:tr2bl w:val="nil"/>
                  </w:tcBorders>
                  <w:shd w:val="clear" w:color="auto" w:fill="auto"/>
                  <w:noWrap/>
                  <w:tcMar>
                    <w:top w:w="12" w:type="dxa"/>
                    <w:left w:w="12" w:type="dxa"/>
                    <w:right w:w="12" w:type="dxa"/>
                  </w:tcMar>
                  <w:vAlign w:val="center"/>
                </w:tcPr>
                <w:p w14:paraId="333706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0C8B3C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52" w:hRule="atLeast"/>
              </w:trPr>
              <w:tc>
                <w:tcPr>
                  <w:tcW w:w="2590" w:type="pct"/>
                  <w:tcBorders>
                    <w:tl2br w:val="nil"/>
                    <w:tr2bl w:val="nil"/>
                  </w:tcBorders>
                  <w:shd w:val="clear" w:color="auto" w:fill="auto"/>
                  <w:noWrap/>
                  <w:tcMar>
                    <w:top w:w="12" w:type="dxa"/>
                    <w:left w:w="12" w:type="dxa"/>
                    <w:right w:w="12" w:type="dxa"/>
                  </w:tcMar>
                  <w:vAlign w:val="center"/>
                </w:tcPr>
                <w:p w14:paraId="63044B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吐温</w:t>
                  </w:r>
                  <w:r>
                    <w:rPr>
                      <w:rStyle w:val="48"/>
                      <w:rFonts w:hint="default" w:ascii="Times New Roman" w:hAnsi="Times New Roman" w:eastAsia="宋体" w:cs="Times New Roman"/>
                      <w:color w:val="auto"/>
                      <w:sz w:val="18"/>
                      <w:szCs w:val="18"/>
                      <w:lang w:bidi="ar"/>
                    </w:rPr>
                    <w:t>-80</w:t>
                  </w:r>
                </w:p>
              </w:tc>
              <w:tc>
                <w:tcPr>
                  <w:tcW w:w="480" w:type="pct"/>
                  <w:tcBorders>
                    <w:tl2br w:val="nil"/>
                    <w:tr2bl w:val="nil"/>
                  </w:tcBorders>
                  <w:shd w:val="clear" w:color="auto" w:fill="auto"/>
                  <w:noWrap/>
                  <w:tcMar>
                    <w:top w:w="12" w:type="dxa"/>
                    <w:left w:w="12" w:type="dxa"/>
                    <w:right w:w="12" w:type="dxa"/>
                  </w:tcMar>
                  <w:vAlign w:val="center"/>
                </w:tcPr>
                <w:p w14:paraId="70DD43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5692DC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77B4BF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3B2BA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BF704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柯达显影液</w:t>
                  </w:r>
                </w:p>
              </w:tc>
              <w:tc>
                <w:tcPr>
                  <w:tcW w:w="480" w:type="pct"/>
                  <w:tcBorders>
                    <w:tl2br w:val="nil"/>
                    <w:tr2bl w:val="nil"/>
                  </w:tcBorders>
                  <w:shd w:val="clear" w:color="auto" w:fill="auto"/>
                  <w:noWrap/>
                  <w:tcMar>
                    <w:top w:w="12" w:type="dxa"/>
                    <w:left w:w="12" w:type="dxa"/>
                    <w:right w:w="12" w:type="dxa"/>
                  </w:tcMar>
                  <w:vAlign w:val="center"/>
                </w:tcPr>
                <w:p w14:paraId="06280D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7D84E2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20L*2</w:t>
                  </w:r>
                </w:p>
              </w:tc>
              <w:tc>
                <w:tcPr>
                  <w:tcW w:w="691" w:type="pct"/>
                  <w:tcBorders>
                    <w:tl2br w:val="nil"/>
                    <w:tr2bl w:val="nil"/>
                  </w:tcBorders>
                  <w:shd w:val="clear" w:color="auto" w:fill="auto"/>
                  <w:noWrap/>
                  <w:tcMar>
                    <w:top w:w="12" w:type="dxa"/>
                    <w:left w:w="12" w:type="dxa"/>
                    <w:right w:w="12" w:type="dxa"/>
                  </w:tcMar>
                  <w:vAlign w:val="center"/>
                </w:tcPr>
                <w:p w14:paraId="6C0E75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1B95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7B9D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柯达定影液</w:t>
                  </w:r>
                </w:p>
              </w:tc>
              <w:tc>
                <w:tcPr>
                  <w:tcW w:w="480" w:type="pct"/>
                  <w:tcBorders>
                    <w:tl2br w:val="nil"/>
                    <w:tr2bl w:val="nil"/>
                  </w:tcBorders>
                  <w:shd w:val="clear" w:color="auto" w:fill="auto"/>
                  <w:noWrap/>
                  <w:tcMar>
                    <w:top w:w="12" w:type="dxa"/>
                    <w:left w:w="12" w:type="dxa"/>
                    <w:right w:w="12" w:type="dxa"/>
                  </w:tcMar>
                  <w:vAlign w:val="center"/>
                </w:tcPr>
                <w:p w14:paraId="0D230B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0013EE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20L*2</w:t>
                  </w:r>
                </w:p>
              </w:tc>
              <w:tc>
                <w:tcPr>
                  <w:tcW w:w="691" w:type="pct"/>
                  <w:tcBorders>
                    <w:tl2br w:val="nil"/>
                    <w:tr2bl w:val="nil"/>
                  </w:tcBorders>
                  <w:shd w:val="clear" w:color="auto" w:fill="auto"/>
                  <w:noWrap/>
                  <w:tcMar>
                    <w:top w:w="12" w:type="dxa"/>
                    <w:left w:w="12" w:type="dxa"/>
                    <w:right w:w="12" w:type="dxa"/>
                  </w:tcMar>
                  <w:vAlign w:val="center"/>
                </w:tcPr>
                <w:p w14:paraId="33047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DA96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39302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抗体稀释液（普通型）</w:t>
                  </w:r>
                </w:p>
              </w:tc>
              <w:tc>
                <w:tcPr>
                  <w:tcW w:w="480" w:type="pct"/>
                  <w:tcBorders>
                    <w:tl2br w:val="nil"/>
                    <w:tr2bl w:val="nil"/>
                  </w:tcBorders>
                  <w:shd w:val="clear" w:color="auto" w:fill="auto"/>
                  <w:noWrap/>
                  <w:tcMar>
                    <w:top w:w="12" w:type="dxa"/>
                    <w:left w:w="12" w:type="dxa"/>
                    <w:right w:w="12" w:type="dxa"/>
                  </w:tcMar>
                  <w:vAlign w:val="center"/>
                </w:tcPr>
                <w:p w14:paraId="5F802E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6858A0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100ml</w:t>
                  </w:r>
                </w:p>
              </w:tc>
              <w:tc>
                <w:tcPr>
                  <w:tcW w:w="691" w:type="pct"/>
                  <w:tcBorders>
                    <w:tl2br w:val="nil"/>
                    <w:tr2bl w:val="nil"/>
                  </w:tcBorders>
                  <w:shd w:val="clear" w:color="auto" w:fill="auto"/>
                  <w:noWrap/>
                  <w:tcMar>
                    <w:top w:w="12" w:type="dxa"/>
                    <w:left w:w="12" w:type="dxa"/>
                    <w:right w:w="12" w:type="dxa"/>
                  </w:tcMar>
                  <w:vAlign w:val="center"/>
                </w:tcPr>
                <w:p w14:paraId="128646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7D613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584A9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Alexa Fluor® 488 conjugate  Invitrogen原装</w:t>
                  </w:r>
                </w:p>
              </w:tc>
              <w:tc>
                <w:tcPr>
                  <w:tcW w:w="480" w:type="pct"/>
                  <w:tcBorders>
                    <w:tl2br w:val="nil"/>
                    <w:tr2bl w:val="nil"/>
                  </w:tcBorders>
                  <w:shd w:val="clear" w:color="auto" w:fill="auto"/>
                  <w:noWrap/>
                  <w:tcMar>
                    <w:top w:w="12" w:type="dxa"/>
                    <w:left w:w="12" w:type="dxa"/>
                    <w:right w:w="12" w:type="dxa"/>
                  </w:tcMar>
                  <w:vAlign w:val="center"/>
                </w:tcPr>
                <w:p w14:paraId="4ABAB4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5E337D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0.5ml</w:t>
                  </w:r>
                </w:p>
              </w:tc>
              <w:tc>
                <w:tcPr>
                  <w:tcW w:w="691" w:type="pct"/>
                  <w:tcBorders>
                    <w:tl2br w:val="nil"/>
                    <w:tr2bl w:val="nil"/>
                  </w:tcBorders>
                  <w:shd w:val="clear" w:color="auto" w:fill="auto"/>
                  <w:noWrap/>
                  <w:tcMar>
                    <w:top w:w="12" w:type="dxa"/>
                    <w:left w:w="12" w:type="dxa"/>
                    <w:right w:w="12" w:type="dxa"/>
                  </w:tcMar>
                  <w:vAlign w:val="center"/>
                </w:tcPr>
                <w:p w14:paraId="1E9CC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70364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6215C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SF488标记鬼笔环肽（绿色）</w:t>
                  </w:r>
                </w:p>
              </w:tc>
              <w:tc>
                <w:tcPr>
                  <w:tcW w:w="480" w:type="pct"/>
                  <w:tcBorders>
                    <w:tl2br w:val="nil"/>
                    <w:tr2bl w:val="nil"/>
                  </w:tcBorders>
                  <w:shd w:val="clear" w:color="auto" w:fill="auto"/>
                  <w:noWrap/>
                  <w:tcMar>
                    <w:top w:w="12" w:type="dxa"/>
                    <w:left w:w="12" w:type="dxa"/>
                    <w:right w:w="12" w:type="dxa"/>
                  </w:tcMar>
                  <w:vAlign w:val="center"/>
                </w:tcPr>
                <w:p w14:paraId="7B496D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2DCCFB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300T</w:t>
                  </w:r>
                </w:p>
              </w:tc>
              <w:tc>
                <w:tcPr>
                  <w:tcW w:w="691" w:type="pct"/>
                  <w:tcBorders>
                    <w:tl2br w:val="nil"/>
                    <w:tr2bl w:val="nil"/>
                  </w:tcBorders>
                  <w:shd w:val="clear" w:color="auto" w:fill="auto"/>
                  <w:noWrap/>
                  <w:tcMar>
                    <w:top w:w="12" w:type="dxa"/>
                    <w:left w:w="12" w:type="dxa"/>
                    <w:right w:w="12" w:type="dxa"/>
                  </w:tcMar>
                  <w:vAlign w:val="center"/>
                </w:tcPr>
                <w:p w14:paraId="778FAE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7AEBB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00234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Alexa Fluor 594标记的山羊抗兔</w:t>
                  </w:r>
                  <w:r>
                    <w:rPr>
                      <w:rStyle w:val="48"/>
                      <w:rFonts w:hint="default" w:ascii="Times New Roman" w:hAnsi="Times New Roman" w:eastAsia="宋体" w:cs="Times New Roman"/>
                      <w:color w:val="auto"/>
                      <w:sz w:val="18"/>
                      <w:szCs w:val="18"/>
                      <w:lang w:bidi="ar"/>
                    </w:rPr>
                    <w:t>IgG</w:t>
                  </w:r>
                </w:p>
              </w:tc>
              <w:tc>
                <w:tcPr>
                  <w:tcW w:w="480" w:type="pct"/>
                  <w:tcBorders>
                    <w:tl2br w:val="nil"/>
                    <w:tr2bl w:val="nil"/>
                  </w:tcBorders>
                  <w:shd w:val="clear" w:color="auto" w:fill="auto"/>
                  <w:noWrap/>
                  <w:tcMar>
                    <w:top w:w="12" w:type="dxa"/>
                    <w:left w:w="12" w:type="dxa"/>
                    <w:right w:w="12" w:type="dxa"/>
                  </w:tcMar>
                  <w:vAlign w:val="center"/>
                </w:tcPr>
                <w:p w14:paraId="731BA6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3A2E5A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100ul</w:t>
                  </w:r>
                </w:p>
              </w:tc>
              <w:tc>
                <w:tcPr>
                  <w:tcW w:w="691" w:type="pct"/>
                  <w:tcBorders>
                    <w:tl2br w:val="nil"/>
                    <w:tr2bl w:val="nil"/>
                  </w:tcBorders>
                  <w:shd w:val="clear" w:color="auto" w:fill="auto"/>
                  <w:noWrap/>
                  <w:tcMar>
                    <w:top w:w="12" w:type="dxa"/>
                    <w:left w:w="12" w:type="dxa"/>
                    <w:right w:w="12" w:type="dxa"/>
                  </w:tcMar>
                  <w:vAlign w:val="center"/>
                </w:tcPr>
                <w:p w14:paraId="179F15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6AFF8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F6B1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全蛋白提取试剂盒</w:t>
                  </w:r>
                </w:p>
              </w:tc>
              <w:tc>
                <w:tcPr>
                  <w:tcW w:w="480" w:type="pct"/>
                  <w:tcBorders>
                    <w:tl2br w:val="nil"/>
                    <w:tr2bl w:val="nil"/>
                  </w:tcBorders>
                  <w:shd w:val="clear" w:color="auto" w:fill="auto"/>
                  <w:noWrap/>
                  <w:tcMar>
                    <w:top w:w="12" w:type="dxa"/>
                    <w:left w:w="12" w:type="dxa"/>
                    <w:right w:w="12" w:type="dxa"/>
                  </w:tcMar>
                  <w:vAlign w:val="center"/>
                </w:tcPr>
                <w:p w14:paraId="1A390E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35EA1D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50T</w:t>
                  </w:r>
                </w:p>
              </w:tc>
              <w:tc>
                <w:tcPr>
                  <w:tcW w:w="691" w:type="pct"/>
                  <w:tcBorders>
                    <w:tl2br w:val="nil"/>
                    <w:tr2bl w:val="nil"/>
                  </w:tcBorders>
                  <w:shd w:val="clear" w:color="auto" w:fill="auto"/>
                  <w:noWrap/>
                  <w:tcMar>
                    <w:top w:w="12" w:type="dxa"/>
                    <w:left w:w="12" w:type="dxa"/>
                    <w:right w:w="12" w:type="dxa"/>
                  </w:tcMar>
                  <w:vAlign w:val="center"/>
                </w:tcPr>
                <w:p w14:paraId="1BC342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5BE60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27CD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线粒体蛋白提取试剂盒</w:t>
                  </w:r>
                </w:p>
              </w:tc>
              <w:tc>
                <w:tcPr>
                  <w:tcW w:w="480" w:type="pct"/>
                  <w:tcBorders>
                    <w:tl2br w:val="nil"/>
                    <w:tr2bl w:val="nil"/>
                  </w:tcBorders>
                  <w:shd w:val="clear" w:color="auto" w:fill="auto"/>
                  <w:noWrap/>
                  <w:tcMar>
                    <w:top w:w="12" w:type="dxa"/>
                    <w:left w:w="12" w:type="dxa"/>
                    <w:right w:w="12" w:type="dxa"/>
                  </w:tcMar>
                  <w:vAlign w:val="center"/>
                </w:tcPr>
                <w:p w14:paraId="7D5EDC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0D3A4E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 tests</w:t>
                  </w:r>
                </w:p>
              </w:tc>
              <w:tc>
                <w:tcPr>
                  <w:tcW w:w="691" w:type="pct"/>
                  <w:tcBorders>
                    <w:tl2br w:val="nil"/>
                    <w:tr2bl w:val="nil"/>
                  </w:tcBorders>
                  <w:shd w:val="clear" w:color="auto" w:fill="auto"/>
                  <w:noWrap/>
                  <w:tcMar>
                    <w:top w:w="12" w:type="dxa"/>
                    <w:left w:w="12" w:type="dxa"/>
                    <w:right w:w="12" w:type="dxa"/>
                  </w:tcMar>
                  <w:vAlign w:val="center"/>
                </w:tcPr>
                <w:p w14:paraId="0C2994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57262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0BB86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Bradford法蛋白浓度测定试剂盒</w:t>
                  </w:r>
                </w:p>
              </w:tc>
              <w:tc>
                <w:tcPr>
                  <w:tcW w:w="480" w:type="pct"/>
                  <w:tcBorders>
                    <w:tl2br w:val="nil"/>
                    <w:tr2bl w:val="nil"/>
                  </w:tcBorders>
                  <w:shd w:val="clear" w:color="auto" w:fill="auto"/>
                  <w:noWrap/>
                  <w:tcMar>
                    <w:top w:w="12" w:type="dxa"/>
                    <w:left w:w="12" w:type="dxa"/>
                    <w:right w:w="12" w:type="dxa"/>
                  </w:tcMar>
                  <w:vAlign w:val="center"/>
                </w:tcPr>
                <w:p w14:paraId="180765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15A0D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2500微孔</w:t>
                  </w:r>
                  <w:r>
                    <w:rPr>
                      <w:rFonts w:hint="eastAsia" w:cs="Times New Roman"/>
                      <w:color w:val="auto"/>
                      <w:kern w:val="0"/>
                      <w:sz w:val="18"/>
                      <w:szCs w:val="18"/>
                      <w:lang w:eastAsia="zh-CN" w:bidi="ar"/>
                    </w:rPr>
                    <w:t>（</w:t>
                  </w:r>
                  <w:r>
                    <w:rPr>
                      <w:rFonts w:hint="default" w:ascii="Times New Roman" w:hAnsi="Times New Roman" w:eastAsia="宋体" w:cs="Times New Roman"/>
                      <w:color w:val="auto"/>
                      <w:kern w:val="0"/>
                      <w:sz w:val="18"/>
                      <w:szCs w:val="18"/>
                      <w:lang w:bidi="ar"/>
                    </w:rPr>
                    <w:t>100T</w:t>
                  </w:r>
                  <w:r>
                    <w:rPr>
                      <w:rFonts w:hint="eastAsia" w:cs="Times New Roman"/>
                      <w:color w:val="auto"/>
                      <w:kern w:val="0"/>
                      <w:sz w:val="18"/>
                      <w:szCs w:val="18"/>
                      <w:lang w:eastAsia="zh-CN" w:bidi="ar"/>
                    </w:rPr>
                    <w:t>）</w:t>
                  </w:r>
                </w:p>
              </w:tc>
              <w:tc>
                <w:tcPr>
                  <w:tcW w:w="691" w:type="pct"/>
                  <w:tcBorders>
                    <w:tl2br w:val="nil"/>
                    <w:tr2bl w:val="nil"/>
                  </w:tcBorders>
                  <w:shd w:val="clear" w:color="auto" w:fill="auto"/>
                  <w:noWrap/>
                  <w:tcMar>
                    <w:top w:w="12" w:type="dxa"/>
                    <w:left w:w="12" w:type="dxa"/>
                    <w:right w:w="12" w:type="dxa"/>
                  </w:tcMar>
                  <w:vAlign w:val="center"/>
                </w:tcPr>
                <w:p w14:paraId="60B0D8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325F2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77585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膜蛋白和胞浆蛋白提取试剂盒（</w:t>
                  </w:r>
                  <w:r>
                    <w:rPr>
                      <w:rStyle w:val="48"/>
                      <w:rFonts w:hint="default" w:ascii="Times New Roman" w:hAnsi="Times New Roman" w:eastAsia="宋体" w:cs="Times New Roman"/>
                      <w:color w:val="auto"/>
                      <w:sz w:val="18"/>
                      <w:szCs w:val="18"/>
                      <w:lang w:bidi="ar"/>
                    </w:rPr>
                    <w:t>Triton X-114</w:t>
                  </w:r>
                  <w:r>
                    <w:rPr>
                      <w:rFonts w:hint="default" w:ascii="Times New Roman" w:hAnsi="Times New Roman" w:eastAsia="宋体" w:cs="Times New Roman"/>
                      <w:color w:val="auto"/>
                      <w:kern w:val="0"/>
                      <w:sz w:val="18"/>
                      <w:szCs w:val="18"/>
                      <w:lang w:bidi="ar"/>
                    </w:rPr>
                    <w:t>法）</w:t>
                  </w:r>
                </w:p>
              </w:tc>
              <w:tc>
                <w:tcPr>
                  <w:tcW w:w="480" w:type="pct"/>
                  <w:tcBorders>
                    <w:tl2br w:val="nil"/>
                    <w:tr2bl w:val="nil"/>
                  </w:tcBorders>
                  <w:shd w:val="clear" w:color="auto" w:fill="auto"/>
                  <w:noWrap/>
                  <w:tcMar>
                    <w:top w:w="12" w:type="dxa"/>
                    <w:left w:w="12" w:type="dxa"/>
                    <w:right w:w="12" w:type="dxa"/>
                  </w:tcMar>
                  <w:vAlign w:val="center"/>
                </w:tcPr>
                <w:p w14:paraId="6A7EBB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67D606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 tests</w:t>
                  </w:r>
                </w:p>
              </w:tc>
              <w:tc>
                <w:tcPr>
                  <w:tcW w:w="691" w:type="pct"/>
                  <w:tcBorders>
                    <w:tl2br w:val="nil"/>
                    <w:tr2bl w:val="nil"/>
                  </w:tcBorders>
                  <w:shd w:val="clear" w:color="auto" w:fill="auto"/>
                  <w:noWrap/>
                  <w:tcMar>
                    <w:top w:w="12" w:type="dxa"/>
                    <w:left w:w="12" w:type="dxa"/>
                    <w:right w:w="12" w:type="dxa"/>
                  </w:tcMar>
                  <w:vAlign w:val="center"/>
                </w:tcPr>
                <w:p w14:paraId="2FEDD2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071F5F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576AA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硝酸纤维素膜</w:t>
                  </w:r>
                  <w:r>
                    <w:rPr>
                      <w:rStyle w:val="48"/>
                      <w:rFonts w:hint="default" w:ascii="Times New Roman" w:hAnsi="Times New Roman" w:eastAsia="宋体" w:cs="Times New Roman"/>
                      <w:color w:val="auto"/>
                      <w:sz w:val="18"/>
                      <w:szCs w:val="18"/>
                      <w:lang w:bidi="ar"/>
                    </w:rPr>
                    <w:t>NC</w:t>
                  </w:r>
                  <w:r>
                    <w:rPr>
                      <w:rFonts w:hint="default" w:ascii="Times New Roman" w:hAnsi="Times New Roman" w:eastAsia="宋体" w:cs="Times New Roman"/>
                      <w:color w:val="auto"/>
                      <w:kern w:val="0"/>
                      <w:sz w:val="18"/>
                      <w:szCs w:val="18"/>
                      <w:lang w:bidi="ar"/>
                    </w:rPr>
                    <w:t>膜（</w:t>
                  </w:r>
                  <w:r>
                    <w:rPr>
                      <w:rStyle w:val="48"/>
                      <w:rFonts w:hint="default" w:ascii="Times New Roman" w:hAnsi="Times New Roman" w:eastAsia="宋体" w:cs="Times New Roman"/>
                      <w:color w:val="auto"/>
                      <w:sz w:val="18"/>
                      <w:szCs w:val="18"/>
                      <w:lang w:bidi="ar"/>
                    </w:rPr>
                    <w:t>0.45um</w:t>
                  </w:r>
                  <w:r>
                    <w:rPr>
                      <w:rFonts w:hint="default" w:ascii="Times New Roman" w:hAnsi="Times New Roman" w:eastAsia="宋体" w:cs="Times New Roman"/>
                      <w:color w:val="auto"/>
                      <w:kern w:val="0"/>
                      <w:sz w:val="18"/>
                      <w:szCs w:val="18"/>
                      <w:lang w:bidi="ar"/>
                    </w:rPr>
                    <w:t>）</w:t>
                  </w:r>
                  <w:r>
                    <w:rPr>
                      <w:rStyle w:val="48"/>
                      <w:rFonts w:hint="default" w:ascii="Times New Roman" w:hAnsi="Times New Roman" w:eastAsia="宋体" w:cs="Times New Roman"/>
                      <w:color w:val="auto"/>
                      <w:sz w:val="18"/>
                      <w:szCs w:val="18"/>
                      <w:lang w:bidi="ar"/>
                    </w:rPr>
                    <w:t>AMersham</w:t>
                  </w:r>
                </w:p>
              </w:tc>
              <w:tc>
                <w:tcPr>
                  <w:tcW w:w="480" w:type="pct"/>
                  <w:tcBorders>
                    <w:tl2br w:val="nil"/>
                    <w:tr2bl w:val="nil"/>
                  </w:tcBorders>
                  <w:shd w:val="clear" w:color="auto" w:fill="auto"/>
                  <w:noWrap/>
                  <w:tcMar>
                    <w:top w:w="12" w:type="dxa"/>
                    <w:left w:w="12" w:type="dxa"/>
                    <w:right w:w="12" w:type="dxa"/>
                  </w:tcMar>
                  <w:vAlign w:val="center"/>
                </w:tcPr>
                <w:p w14:paraId="7768A7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卷</w:t>
                  </w:r>
                </w:p>
              </w:tc>
              <w:tc>
                <w:tcPr>
                  <w:tcW w:w="1238" w:type="pct"/>
                  <w:tcBorders>
                    <w:tl2br w:val="nil"/>
                    <w:tr2bl w:val="nil"/>
                  </w:tcBorders>
                  <w:shd w:val="clear" w:color="auto" w:fill="auto"/>
                  <w:noWrap/>
                  <w:tcMar>
                    <w:top w:w="12" w:type="dxa"/>
                    <w:left w:w="12" w:type="dxa"/>
                    <w:right w:w="12" w:type="dxa"/>
                  </w:tcMar>
                  <w:vAlign w:val="center"/>
                </w:tcPr>
                <w:p w14:paraId="5D8FC7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30cm*3m</w:t>
                  </w:r>
                </w:p>
              </w:tc>
              <w:tc>
                <w:tcPr>
                  <w:tcW w:w="691" w:type="pct"/>
                  <w:tcBorders>
                    <w:tl2br w:val="nil"/>
                    <w:tr2bl w:val="nil"/>
                  </w:tcBorders>
                  <w:shd w:val="clear" w:color="auto" w:fill="auto"/>
                  <w:noWrap/>
                  <w:tcMar>
                    <w:top w:w="12" w:type="dxa"/>
                    <w:left w:w="12" w:type="dxa"/>
                    <w:right w:w="12" w:type="dxa"/>
                  </w:tcMar>
                  <w:vAlign w:val="center"/>
                </w:tcPr>
                <w:p w14:paraId="22E064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3A7D4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D462B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10×PBST</w:t>
                  </w:r>
                </w:p>
              </w:tc>
              <w:tc>
                <w:tcPr>
                  <w:tcW w:w="480" w:type="pct"/>
                  <w:tcBorders>
                    <w:tl2br w:val="nil"/>
                    <w:tr2bl w:val="nil"/>
                  </w:tcBorders>
                  <w:shd w:val="clear" w:color="auto" w:fill="auto"/>
                  <w:noWrap/>
                  <w:tcMar>
                    <w:top w:w="12" w:type="dxa"/>
                    <w:left w:w="12" w:type="dxa"/>
                    <w:right w:w="12" w:type="dxa"/>
                  </w:tcMar>
                  <w:vAlign w:val="center"/>
                </w:tcPr>
                <w:p w14:paraId="4D3E8B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741EE4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7ED2E7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w:t>
                  </w:r>
                </w:p>
              </w:tc>
            </w:tr>
            <w:tr w14:paraId="169C6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6D4A1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PBS缓冲液干粉</w:t>
                  </w:r>
                </w:p>
              </w:tc>
              <w:tc>
                <w:tcPr>
                  <w:tcW w:w="480" w:type="pct"/>
                  <w:tcBorders>
                    <w:tl2br w:val="nil"/>
                    <w:tr2bl w:val="nil"/>
                  </w:tcBorders>
                  <w:shd w:val="clear" w:color="auto" w:fill="auto"/>
                  <w:noWrap/>
                  <w:tcMar>
                    <w:top w:w="12" w:type="dxa"/>
                    <w:left w:w="12" w:type="dxa"/>
                    <w:right w:w="12" w:type="dxa"/>
                  </w:tcMar>
                  <w:vAlign w:val="center"/>
                </w:tcPr>
                <w:p w14:paraId="46F6E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包</w:t>
                  </w:r>
                </w:p>
              </w:tc>
              <w:tc>
                <w:tcPr>
                  <w:tcW w:w="1238" w:type="pct"/>
                  <w:tcBorders>
                    <w:tl2br w:val="nil"/>
                    <w:tr2bl w:val="nil"/>
                  </w:tcBorders>
                  <w:shd w:val="clear" w:color="auto" w:fill="auto"/>
                  <w:noWrap/>
                  <w:tcMar>
                    <w:top w:w="12" w:type="dxa"/>
                    <w:left w:w="12" w:type="dxa"/>
                    <w:right w:w="12" w:type="dxa"/>
                  </w:tcMar>
                  <w:vAlign w:val="center"/>
                </w:tcPr>
                <w:p w14:paraId="00DE30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100*2L</w:t>
                  </w:r>
                </w:p>
              </w:tc>
              <w:tc>
                <w:tcPr>
                  <w:tcW w:w="691" w:type="pct"/>
                  <w:tcBorders>
                    <w:tl2br w:val="nil"/>
                    <w:tr2bl w:val="nil"/>
                  </w:tcBorders>
                  <w:shd w:val="clear" w:color="auto" w:fill="auto"/>
                  <w:noWrap/>
                  <w:tcMar>
                    <w:top w:w="12" w:type="dxa"/>
                    <w:left w:w="12" w:type="dxa"/>
                    <w:right w:w="12" w:type="dxa"/>
                  </w:tcMar>
                  <w:vAlign w:val="center"/>
                </w:tcPr>
                <w:p w14:paraId="624F52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2C04D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EBA1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青链霉素混合液</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100×</w:t>
                  </w:r>
                  <w:r>
                    <w:rPr>
                      <w:rStyle w:val="48"/>
                      <w:rFonts w:hint="eastAsia" w:cs="Times New Roman"/>
                      <w:color w:val="auto"/>
                      <w:sz w:val="18"/>
                      <w:szCs w:val="18"/>
                      <w:lang w:eastAsia="zh-CN" w:bidi="ar"/>
                    </w:rPr>
                    <w:t>）</w:t>
                  </w:r>
                  <w:r>
                    <w:rPr>
                      <w:rFonts w:hint="default" w:ascii="Times New Roman" w:hAnsi="Times New Roman" w:eastAsia="宋体" w:cs="Times New Roman"/>
                      <w:color w:val="auto"/>
                      <w:kern w:val="0"/>
                      <w:sz w:val="18"/>
                      <w:szCs w:val="18"/>
                      <w:lang w:bidi="ar"/>
                    </w:rPr>
                    <w:t>细胞培养专用</w:t>
                  </w:r>
                </w:p>
              </w:tc>
              <w:tc>
                <w:tcPr>
                  <w:tcW w:w="480" w:type="pct"/>
                  <w:tcBorders>
                    <w:tl2br w:val="nil"/>
                    <w:tr2bl w:val="nil"/>
                  </w:tcBorders>
                  <w:shd w:val="clear" w:color="auto" w:fill="auto"/>
                  <w:noWrap/>
                  <w:tcMar>
                    <w:top w:w="12" w:type="dxa"/>
                    <w:left w:w="12" w:type="dxa"/>
                    <w:right w:w="12" w:type="dxa"/>
                  </w:tcMar>
                  <w:vAlign w:val="center"/>
                </w:tcPr>
                <w:p w14:paraId="4AF83F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箱</w:t>
                  </w:r>
                </w:p>
              </w:tc>
              <w:tc>
                <w:tcPr>
                  <w:tcW w:w="1238" w:type="pct"/>
                  <w:tcBorders>
                    <w:tl2br w:val="nil"/>
                    <w:tr2bl w:val="nil"/>
                  </w:tcBorders>
                  <w:shd w:val="clear" w:color="auto" w:fill="auto"/>
                  <w:noWrap/>
                  <w:tcMar>
                    <w:top w:w="12" w:type="dxa"/>
                    <w:left w:w="12" w:type="dxa"/>
                    <w:right w:w="12" w:type="dxa"/>
                  </w:tcMar>
                  <w:vAlign w:val="center"/>
                </w:tcPr>
                <w:p w14:paraId="206726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 xml:space="preserve">100ml/瓶 </w:t>
                  </w:r>
                  <w:r>
                    <w:rPr>
                      <w:rStyle w:val="48"/>
                      <w:rFonts w:hint="default" w:ascii="Times New Roman" w:hAnsi="Times New Roman" w:eastAsia="宋体" w:cs="Times New Roman"/>
                      <w:color w:val="auto"/>
                      <w:sz w:val="18"/>
                      <w:szCs w:val="18"/>
                      <w:lang w:bidi="ar"/>
                    </w:rPr>
                    <w:t>20</w:t>
                  </w:r>
                  <w:r>
                    <w:rPr>
                      <w:rFonts w:hint="default" w:ascii="Times New Roman" w:hAnsi="Times New Roman" w:eastAsia="宋体" w:cs="Times New Roman"/>
                      <w:color w:val="auto"/>
                      <w:kern w:val="0"/>
                      <w:sz w:val="18"/>
                      <w:szCs w:val="18"/>
                      <w:lang w:bidi="ar"/>
                    </w:rPr>
                    <w:t>瓶</w:t>
                  </w:r>
                  <w:r>
                    <w:rPr>
                      <w:rStyle w:val="48"/>
                      <w:rFonts w:hint="default" w:ascii="Times New Roman" w:hAnsi="Times New Roman" w:eastAsia="宋体" w:cs="Times New Roman"/>
                      <w:color w:val="auto"/>
                      <w:sz w:val="18"/>
                      <w:szCs w:val="18"/>
                      <w:lang w:bidi="ar"/>
                    </w:rPr>
                    <w:t>/</w:t>
                  </w:r>
                  <w:r>
                    <w:rPr>
                      <w:rFonts w:hint="default" w:ascii="Times New Roman" w:hAnsi="Times New Roman" w:eastAsia="宋体" w:cs="Times New Roman"/>
                      <w:color w:val="auto"/>
                      <w:kern w:val="0"/>
                      <w:sz w:val="18"/>
                      <w:szCs w:val="18"/>
                      <w:lang w:bidi="ar"/>
                    </w:rPr>
                    <w:t>箱</w:t>
                  </w:r>
                </w:p>
              </w:tc>
              <w:tc>
                <w:tcPr>
                  <w:tcW w:w="691" w:type="pct"/>
                  <w:tcBorders>
                    <w:tl2br w:val="nil"/>
                    <w:tr2bl w:val="nil"/>
                  </w:tcBorders>
                  <w:shd w:val="clear" w:color="auto" w:fill="auto"/>
                  <w:noWrap/>
                  <w:tcMar>
                    <w:top w:w="12" w:type="dxa"/>
                    <w:left w:w="12" w:type="dxa"/>
                    <w:right w:w="12" w:type="dxa"/>
                  </w:tcMar>
                  <w:vAlign w:val="center"/>
                </w:tcPr>
                <w:p w14:paraId="10BDAE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DD3F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B6419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G418</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25mg/ml</w:t>
                  </w:r>
                  <w:r>
                    <w:rPr>
                      <w:rStyle w:val="48"/>
                      <w:rFonts w:hint="eastAsia" w:cs="Times New Roman"/>
                      <w:color w:val="auto"/>
                      <w:sz w:val="18"/>
                      <w:szCs w:val="18"/>
                      <w:lang w:eastAsia="zh-CN" w:bidi="ar"/>
                    </w:rPr>
                    <w:t>)</w:t>
                  </w:r>
                </w:p>
              </w:tc>
              <w:tc>
                <w:tcPr>
                  <w:tcW w:w="480" w:type="pct"/>
                  <w:tcBorders>
                    <w:tl2br w:val="nil"/>
                    <w:tr2bl w:val="nil"/>
                  </w:tcBorders>
                  <w:shd w:val="clear" w:color="auto" w:fill="auto"/>
                  <w:noWrap/>
                  <w:tcMar>
                    <w:top w:w="12" w:type="dxa"/>
                    <w:left w:w="12" w:type="dxa"/>
                    <w:right w:w="12" w:type="dxa"/>
                  </w:tcMar>
                  <w:vAlign w:val="center"/>
                </w:tcPr>
                <w:p w14:paraId="7400C6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7086B7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 ml</w:t>
                  </w:r>
                </w:p>
              </w:tc>
              <w:tc>
                <w:tcPr>
                  <w:tcW w:w="691" w:type="pct"/>
                  <w:tcBorders>
                    <w:tl2br w:val="nil"/>
                    <w:tr2bl w:val="nil"/>
                  </w:tcBorders>
                  <w:shd w:val="clear" w:color="auto" w:fill="auto"/>
                  <w:noWrap/>
                  <w:tcMar>
                    <w:top w:w="12" w:type="dxa"/>
                    <w:left w:w="12" w:type="dxa"/>
                    <w:right w:w="12" w:type="dxa"/>
                  </w:tcMar>
                  <w:vAlign w:val="center"/>
                </w:tcPr>
                <w:p w14:paraId="74847D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7E566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40749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嘌呤霉素</w:t>
                  </w:r>
                </w:p>
              </w:tc>
              <w:tc>
                <w:tcPr>
                  <w:tcW w:w="480" w:type="pct"/>
                  <w:tcBorders>
                    <w:tl2br w:val="nil"/>
                    <w:tr2bl w:val="nil"/>
                  </w:tcBorders>
                  <w:shd w:val="clear" w:color="auto" w:fill="auto"/>
                  <w:noWrap/>
                  <w:tcMar>
                    <w:top w:w="12" w:type="dxa"/>
                    <w:left w:w="12" w:type="dxa"/>
                    <w:right w:w="12" w:type="dxa"/>
                  </w:tcMar>
                  <w:vAlign w:val="center"/>
                </w:tcPr>
                <w:p w14:paraId="086005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0E6039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100mg</w:t>
                  </w:r>
                </w:p>
              </w:tc>
              <w:tc>
                <w:tcPr>
                  <w:tcW w:w="691" w:type="pct"/>
                  <w:tcBorders>
                    <w:tl2br w:val="nil"/>
                    <w:tr2bl w:val="nil"/>
                  </w:tcBorders>
                  <w:shd w:val="clear" w:color="auto" w:fill="auto"/>
                  <w:noWrap/>
                  <w:tcMar>
                    <w:top w:w="12" w:type="dxa"/>
                    <w:left w:w="12" w:type="dxa"/>
                    <w:right w:w="12" w:type="dxa"/>
                  </w:tcMar>
                  <w:vAlign w:val="center"/>
                </w:tcPr>
                <w:p w14:paraId="458F5D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49FC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4BF13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重组</w:t>
                  </w:r>
                  <w:r>
                    <w:rPr>
                      <w:rStyle w:val="48"/>
                      <w:rFonts w:hint="default" w:ascii="Times New Roman" w:hAnsi="Times New Roman" w:eastAsia="宋体" w:cs="Times New Roman"/>
                      <w:color w:val="auto"/>
                      <w:sz w:val="18"/>
                      <w:szCs w:val="18"/>
                      <w:lang w:bidi="ar"/>
                    </w:rPr>
                    <w:t>Anti-GFAP</w:t>
                  </w:r>
                  <w:r>
                    <w:rPr>
                      <w:rFonts w:hint="default" w:ascii="Times New Roman" w:hAnsi="Times New Roman" w:eastAsia="宋体" w:cs="Times New Roman"/>
                      <w:color w:val="auto"/>
                      <w:kern w:val="0"/>
                      <w:sz w:val="18"/>
                      <w:szCs w:val="18"/>
                      <w:lang w:bidi="ar"/>
                    </w:rPr>
                    <w:t>抗体</w:t>
                  </w:r>
                  <w:r>
                    <w:rPr>
                      <w:rStyle w:val="48"/>
                      <w:rFonts w:hint="default" w:ascii="Times New Roman" w:hAnsi="Times New Roman" w:eastAsia="宋体" w:cs="Times New Roman"/>
                      <w:color w:val="auto"/>
                      <w:sz w:val="18"/>
                      <w:szCs w:val="18"/>
                      <w:lang w:bidi="ar"/>
                    </w:rPr>
                    <w:t>[EPR1034Y]</w:t>
                  </w:r>
                </w:p>
              </w:tc>
              <w:tc>
                <w:tcPr>
                  <w:tcW w:w="480" w:type="pct"/>
                  <w:tcBorders>
                    <w:tl2br w:val="nil"/>
                    <w:tr2bl w:val="nil"/>
                  </w:tcBorders>
                  <w:shd w:val="clear" w:color="auto" w:fill="auto"/>
                  <w:noWrap/>
                  <w:tcMar>
                    <w:top w:w="12" w:type="dxa"/>
                    <w:left w:w="12" w:type="dxa"/>
                    <w:right w:w="12" w:type="dxa"/>
                  </w:tcMar>
                  <w:vAlign w:val="center"/>
                </w:tcPr>
                <w:p w14:paraId="0C010F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5BBAF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100ul</w:t>
                  </w:r>
                </w:p>
              </w:tc>
              <w:tc>
                <w:tcPr>
                  <w:tcW w:w="691" w:type="pct"/>
                  <w:tcBorders>
                    <w:tl2br w:val="nil"/>
                    <w:tr2bl w:val="nil"/>
                  </w:tcBorders>
                  <w:shd w:val="clear" w:color="auto" w:fill="auto"/>
                  <w:noWrap/>
                  <w:tcMar>
                    <w:top w:w="12" w:type="dxa"/>
                    <w:left w:w="12" w:type="dxa"/>
                    <w:right w:w="12" w:type="dxa"/>
                  </w:tcMar>
                  <w:vAlign w:val="center"/>
                </w:tcPr>
                <w:p w14:paraId="103A95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F3B6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6F5FC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Anti-Heme Oxygenase 1抗体</w:t>
                  </w:r>
                  <w:r>
                    <w:rPr>
                      <w:rStyle w:val="48"/>
                      <w:rFonts w:hint="default" w:ascii="Times New Roman" w:hAnsi="Times New Roman" w:eastAsia="宋体" w:cs="Times New Roman"/>
                      <w:color w:val="auto"/>
                      <w:sz w:val="18"/>
                      <w:szCs w:val="18"/>
                      <w:lang w:bidi="ar"/>
                    </w:rPr>
                    <w:t>[HO-1-1]</w:t>
                  </w:r>
                </w:p>
              </w:tc>
              <w:tc>
                <w:tcPr>
                  <w:tcW w:w="480" w:type="pct"/>
                  <w:tcBorders>
                    <w:tl2br w:val="nil"/>
                    <w:tr2bl w:val="nil"/>
                  </w:tcBorders>
                  <w:shd w:val="clear" w:color="auto" w:fill="auto"/>
                  <w:noWrap/>
                  <w:tcMar>
                    <w:top w:w="12" w:type="dxa"/>
                    <w:left w:w="12" w:type="dxa"/>
                    <w:right w:w="12" w:type="dxa"/>
                  </w:tcMar>
                  <w:vAlign w:val="center"/>
                </w:tcPr>
                <w:p w14:paraId="361900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3F71AC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100ug</w:t>
                  </w:r>
                </w:p>
              </w:tc>
              <w:tc>
                <w:tcPr>
                  <w:tcW w:w="691" w:type="pct"/>
                  <w:tcBorders>
                    <w:tl2br w:val="nil"/>
                    <w:tr2bl w:val="nil"/>
                  </w:tcBorders>
                  <w:shd w:val="clear" w:color="auto" w:fill="auto"/>
                  <w:noWrap/>
                  <w:tcMar>
                    <w:top w:w="12" w:type="dxa"/>
                    <w:left w:w="12" w:type="dxa"/>
                    <w:right w:w="12" w:type="dxa"/>
                  </w:tcMar>
                  <w:vAlign w:val="center"/>
                </w:tcPr>
                <w:p w14:paraId="784C6C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1B25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154CD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重组</w:t>
                  </w:r>
                  <w:r>
                    <w:rPr>
                      <w:rStyle w:val="48"/>
                      <w:rFonts w:hint="default" w:ascii="Times New Roman" w:hAnsi="Times New Roman" w:eastAsia="宋体" w:cs="Times New Roman"/>
                      <w:color w:val="auto"/>
                      <w:sz w:val="18"/>
                      <w:szCs w:val="18"/>
                      <w:lang w:bidi="ar"/>
                    </w:rPr>
                    <w:t>Anti-Beclin 1</w:t>
                  </w:r>
                  <w:r>
                    <w:rPr>
                      <w:rFonts w:hint="default" w:ascii="Times New Roman" w:hAnsi="Times New Roman" w:eastAsia="宋体" w:cs="Times New Roman"/>
                      <w:color w:val="auto"/>
                      <w:kern w:val="0"/>
                      <w:sz w:val="18"/>
                      <w:szCs w:val="18"/>
                      <w:lang w:bidi="ar"/>
                    </w:rPr>
                    <w:t>抗体</w:t>
                  </w:r>
                  <w:r>
                    <w:rPr>
                      <w:rStyle w:val="48"/>
                      <w:rFonts w:hint="default" w:ascii="Times New Roman" w:hAnsi="Times New Roman" w:eastAsia="宋体" w:cs="Times New Roman"/>
                      <w:color w:val="auto"/>
                      <w:sz w:val="18"/>
                      <w:szCs w:val="18"/>
                      <w:lang w:bidi="ar"/>
                    </w:rPr>
                    <w:t>[EPR20473]</w:t>
                  </w:r>
                </w:p>
              </w:tc>
              <w:tc>
                <w:tcPr>
                  <w:tcW w:w="480" w:type="pct"/>
                  <w:tcBorders>
                    <w:tl2br w:val="nil"/>
                    <w:tr2bl w:val="nil"/>
                  </w:tcBorders>
                  <w:shd w:val="clear" w:color="auto" w:fill="auto"/>
                  <w:noWrap/>
                  <w:tcMar>
                    <w:top w:w="12" w:type="dxa"/>
                    <w:left w:w="12" w:type="dxa"/>
                    <w:right w:w="12" w:type="dxa"/>
                  </w:tcMar>
                  <w:vAlign w:val="center"/>
                </w:tcPr>
                <w:p w14:paraId="69DD16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0BA35B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100ul</w:t>
                  </w:r>
                </w:p>
              </w:tc>
              <w:tc>
                <w:tcPr>
                  <w:tcW w:w="691" w:type="pct"/>
                  <w:tcBorders>
                    <w:tl2br w:val="nil"/>
                    <w:tr2bl w:val="nil"/>
                  </w:tcBorders>
                  <w:shd w:val="clear" w:color="auto" w:fill="auto"/>
                  <w:noWrap/>
                  <w:tcMar>
                    <w:top w:w="12" w:type="dxa"/>
                    <w:left w:w="12" w:type="dxa"/>
                    <w:right w:w="12" w:type="dxa"/>
                  </w:tcMar>
                  <w:vAlign w:val="center"/>
                </w:tcPr>
                <w:p w14:paraId="3A4BCC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F9D2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9B0E3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beta-Actin (C4) Antibody</w:t>
                  </w:r>
                </w:p>
              </w:tc>
              <w:tc>
                <w:tcPr>
                  <w:tcW w:w="480" w:type="pct"/>
                  <w:tcBorders>
                    <w:tl2br w:val="nil"/>
                    <w:tr2bl w:val="nil"/>
                  </w:tcBorders>
                  <w:shd w:val="clear" w:color="auto" w:fill="auto"/>
                  <w:noWrap/>
                  <w:tcMar>
                    <w:top w:w="12" w:type="dxa"/>
                    <w:left w:w="12" w:type="dxa"/>
                    <w:right w:w="12" w:type="dxa"/>
                  </w:tcMar>
                  <w:vAlign w:val="center"/>
                </w:tcPr>
                <w:p w14:paraId="357A1E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05E91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200ul</w:t>
                  </w:r>
                </w:p>
              </w:tc>
              <w:tc>
                <w:tcPr>
                  <w:tcW w:w="691" w:type="pct"/>
                  <w:tcBorders>
                    <w:tl2br w:val="nil"/>
                    <w:tr2bl w:val="nil"/>
                  </w:tcBorders>
                  <w:shd w:val="clear" w:color="auto" w:fill="auto"/>
                  <w:noWrap/>
                  <w:tcMar>
                    <w:top w:w="12" w:type="dxa"/>
                    <w:left w:w="12" w:type="dxa"/>
                    <w:right w:w="12" w:type="dxa"/>
                  </w:tcMar>
                  <w:vAlign w:val="center"/>
                </w:tcPr>
                <w:p w14:paraId="0C539D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6C71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CD8FD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核糖核酸酶</w:t>
                  </w:r>
                  <w:r>
                    <w:rPr>
                      <w:rStyle w:val="48"/>
                      <w:rFonts w:hint="default" w:ascii="Times New Roman" w:hAnsi="Times New Roman" w:eastAsia="宋体" w:cs="Times New Roman"/>
                      <w:color w:val="auto"/>
                      <w:sz w:val="18"/>
                      <w:szCs w:val="18"/>
                      <w:lang w:bidi="ar"/>
                    </w:rPr>
                    <w:t>A RNAse A</w:t>
                  </w:r>
                </w:p>
              </w:tc>
              <w:tc>
                <w:tcPr>
                  <w:tcW w:w="480" w:type="pct"/>
                  <w:tcBorders>
                    <w:tl2br w:val="nil"/>
                    <w:tr2bl w:val="nil"/>
                  </w:tcBorders>
                  <w:shd w:val="clear" w:color="auto" w:fill="auto"/>
                  <w:noWrap/>
                  <w:tcMar>
                    <w:top w:w="12" w:type="dxa"/>
                    <w:left w:w="12" w:type="dxa"/>
                    <w:right w:w="12" w:type="dxa"/>
                  </w:tcMar>
                  <w:vAlign w:val="center"/>
                </w:tcPr>
                <w:p w14:paraId="1B05C1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1605F3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1g</w:t>
                  </w:r>
                </w:p>
              </w:tc>
              <w:tc>
                <w:tcPr>
                  <w:tcW w:w="691" w:type="pct"/>
                  <w:tcBorders>
                    <w:tl2br w:val="nil"/>
                    <w:tr2bl w:val="nil"/>
                  </w:tcBorders>
                  <w:shd w:val="clear" w:color="auto" w:fill="auto"/>
                  <w:noWrap/>
                  <w:tcMar>
                    <w:top w:w="12" w:type="dxa"/>
                    <w:left w:w="12" w:type="dxa"/>
                    <w:right w:w="12" w:type="dxa"/>
                  </w:tcMar>
                  <w:vAlign w:val="center"/>
                </w:tcPr>
                <w:p w14:paraId="08AE54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7992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60C24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通用</w:t>
                  </w:r>
                  <w:r>
                    <w:rPr>
                      <w:rStyle w:val="48"/>
                      <w:rFonts w:hint="default" w:ascii="Times New Roman" w:hAnsi="Times New Roman" w:eastAsia="宋体" w:cs="Times New Roman"/>
                      <w:color w:val="auto"/>
                      <w:sz w:val="18"/>
                      <w:szCs w:val="18"/>
                      <w:lang w:bidi="ar"/>
                    </w:rPr>
                    <w:t>SP</w:t>
                  </w:r>
                  <w:r>
                    <w:rPr>
                      <w:rFonts w:hint="default" w:ascii="Times New Roman" w:hAnsi="Times New Roman" w:eastAsia="宋体" w:cs="Times New Roman"/>
                      <w:color w:val="auto"/>
                      <w:kern w:val="0"/>
                      <w:sz w:val="18"/>
                      <w:szCs w:val="18"/>
                      <w:lang w:bidi="ar"/>
                    </w:rPr>
                    <w:t>检测试剂盒</w:t>
                  </w:r>
                </w:p>
              </w:tc>
              <w:tc>
                <w:tcPr>
                  <w:tcW w:w="480" w:type="pct"/>
                  <w:tcBorders>
                    <w:tl2br w:val="nil"/>
                    <w:tr2bl w:val="nil"/>
                  </w:tcBorders>
                  <w:shd w:val="clear" w:color="auto" w:fill="auto"/>
                  <w:noWrap/>
                  <w:tcMar>
                    <w:top w:w="12" w:type="dxa"/>
                    <w:left w:w="12" w:type="dxa"/>
                    <w:right w:w="12" w:type="dxa"/>
                  </w:tcMar>
                  <w:vAlign w:val="center"/>
                </w:tcPr>
                <w:p w14:paraId="269764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4D5AEF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110ml</w:t>
                  </w:r>
                </w:p>
              </w:tc>
              <w:tc>
                <w:tcPr>
                  <w:tcW w:w="691" w:type="pct"/>
                  <w:tcBorders>
                    <w:tl2br w:val="nil"/>
                    <w:tr2bl w:val="nil"/>
                  </w:tcBorders>
                  <w:shd w:val="clear" w:color="auto" w:fill="auto"/>
                  <w:noWrap/>
                  <w:tcMar>
                    <w:top w:w="12" w:type="dxa"/>
                    <w:left w:w="12" w:type="dxa"/>
                    <w:right w:w="12" w:type="dxa"/>
                  </w:tcMar>
                  <w:vAlign w:val="center"/>
                </w:tcPr>
                <w:p w14:paraId="0B5DD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F109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E4E40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多聚</w:t>
                  </w:r>
                  <w:r>
                    <w:rPr>
                      <w:rStyle w:val="48"/>
                      <w:rFonts w:hint="default" w:ascii="Times New Roman" w:hAnsi="Times New Roman" w:eastAsia="宋体" w:cs="Times New Roman"/>
                      <w:color w:val="auto"/>
                      <w:sz w:val="18"/>
                      <w:szCs w:val="18"/>
                      <w:lang w:bidi="ar"/>
                    </w:rPr>
                    <w:t>-L-</w:t>
                  </w:r>
                  <w:r>
                    <w:rPr>
                      <w:rFonts w:hint="default" w:ascii="Times New Roman" w:hAnsi="Times New Roman" w:eastAsia="宋体" w:cs="Times New Roman"/>
                      <w:color w:val="auto"/>
                      <w:kern w:val="0"/>
                      <w:sz w:val="18"/>
                      <w:szCs w:val="18"/>
                      <w:lang w:bidi="ar"/>
                    </w:rPr>
                    <w:t>赖氨酸</w:t>
                  </w:r>
                  <w:r>
                    <w:rPr>
                      <w:rFonts w:hint="eastAsia" w:cs="Times New Roman"/>
                      <w:color w:val="auto"/>
                      <w:kern w:val="0"/>
                      <w:sz w:val="18"/>
                      <w:szCs w:val="18"/>
                      <w:lang w:eastAsia="zh-CN" w:bidi="ar"/>
                    </w:rPr>
                    <w:t>（15万-30万）</w:t>
                  </w:r>
                </w:p>
              </w:tc>
              <w:tc>
                <w:tcPr>
                  <w:tcW w:w="480" w:type="pct"/>
                  <w:tcBorders>
                    <w:tl2br w:val="nil"/>
                    <w:tr2bl w:val="nil"/>
                  </w:tcBorders>
                  <w:shd w:val="clear" w:color="auto" w:fill="auto"/>
                  <w:noWrap/>
                  <w:tcMar>
                    <w:top w:w="12" w:type="dxa"/>
                    <w:left w:w="12" w:type="dxa"/>
                    <w:right w:w="12" w:type="dxa"/>
                  </w:tcMar>
                  <w:vAlign w:val="center"/>
                </w:tcPr>
                <w:p w14:paraId="556473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2B2437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100mg</w:t>
                  </w:r>
                </w:p>
              </w:tc>
              <w:tc>
                <w:tcPr>
                  <w:tcW w:w="691" w:type="pct"/>
                  <w:tcBorders>
                    <w:tl2br w:val="nil"/>
                    <w:tr2bl w:val="nil"/>
                  </w:tcBorders>
                  <w:shd w:val="clear" w:color="auto" w:fill="auto"/>
                  <w:noWrap/>
                  <w:tcMar>
                    <w:top w:w="12" w:type="dxa"/>
                    <w:left w:w="12" w:type="dxa"/>
                    <w:right w:w="12" w:type="dxa"/>
                  </w:tcMar>
                  <w:vAlign w:val="center"/>
                </w:tcPr>
                <w:p w14:paraId="2E2B55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1419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2B92A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免疫组化笔</w:t>
                  </w:r>
                </w:p>
              </w:tc>
              <w:tc>
                <w:tcPr>
                  <w:tcW w:w="480" w:type="pct"/>
                  <w:tcBorders>
                    <w:tl2br w:val="nil"/>
                    <w:tr2bl w:val="nil"/>
                  </w:tcBorders>
                  <w:shd w:val="clear" w:color="auto" w:fill="auto"/>
                  <w:noWrap/>
                  <w:tcMar>
                    <w:top w:w="12" w:type="dxa"/>
                    <w:left w:w="12" w:type="dxa"/>
                    <w:right w:w="12" w:type="dxa"/>
                  </w:tcMar>
                  <w:vAlign w:val="center"/>
                </w:tcPr>
                <w:p w14:paraId="467FEE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7E02AC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小号</w:t>
                  </w:r>
                </w:p>
              </w:tc>
              <w:tc>
                <w:tcPr>
                  <w:tcW w:w="691" w:type="pct"/>
                  <w:tcBorders>
                    <w:tl2br w:val="nil"/>
                    <w:tr2bl w:val="nil"/>
                  </w:tcBorders>
                  <w:shd w:val="clear" w:color="auto" w:fill="auto"/>
                  <w:noWrap/>
                  <w:tcMar>
                    <w:top w:w="12" w:type="dxa"/>
                    <w:left w:w="12" w:type="dxa"/>
                    <w:right w:w="12" w:type="dxa"/>
                  </w:tcMar>
                  <w:vAlign w:val="center"/>
                </w:tcPr>
                <w:p w14:paraId="6A5180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DC24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B0B1A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柠檬酸组织抗原修复液（</w:t>
                  </w:r>
                  <w:r>
                    <w:rPr>
                      <w:rStyle w:val="48"/>
                      <w:rFonts w:hint="default" w:ascii="Times New Roman" w:hAnsi="Times New Roman" w:eastAsia="宋体" w:cs="Times New Roman"/>
                      <w:color w:val="auto"/>
                      <w:sz w:val="18"/>
                      <w:szCs w:val="18"/>
                      <w:lang w:bidi="ar"/>
                    </w:rPr>
                    <w:t>100x</w:t>
                  </w:r>
                  <w:r>
                    <w:rPr>
                      <w:rStyle w:val="48"/>
                      <w:rFonts w:hint="eastAsia" w:cs="Times New Roman"/>
                      <w:color w:val="auto"/>
                      <w:sz w:val="18"/>
                      <w:szCs w:val="18"/>
                      <w:lang w:eastAsia="zh-CN" w:bidi="ar"/>
                    </w:rPr>
                    <w:t>）</w:t>
                  </w:r>
                  <w:r>
                    <w:rPr>
                      <w:rStyle w:val="48"/>
                      <w:rFonts w:hint="default" w:ascii="Times New Roman" w:hAnsi="Times New Roman" w:eastAsia="宋体" w:cs="Times New Roman"/>
                      <w:color w:val="auto"/>
                      <w:sz w:val="18"/>
                      <w:szCs w:val="18"/>
                      <w:lang w:bidi="ar"/>
                    </w:rPr>
                    <w:t>(IVD)</w:t>
                  </w:r>
                </w:p>
              </w:tc>
              <w:tc>
                <w:tcPr>
                  <w:tcW w:w="480" w:type="pct"/>
                  <w:tcBorders>
                    <w:tl2br w:val="nil"/>
                    <w:tr2bl w:val="nil"/>
                  </w:tcBorders>
                  <w:shd w:val="clear" w:color="auto" w:fill="auto"/>
                  <w:noWrap/>
                  <w:tcMar>
                    <w:top w:w="12" w:type="dxa"/>
                    <w:left w:w="12" w:type="dxa"/>
                    <w:right w:w="12" w:type="dxa"/>
                  </w:tcMar>
                  <w:vAlign w:val="center"/>
                </w:tcPr>
                <w:p w14:paraId="15D18C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69CB07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250ml/瓶</w:t>
                  </w:r>
                </w:p>
              </w:tc>
              <w:tc>
                <w:tcPr>
                  <w:tcW w:w="691" w:type="pct"/>
                  <w:tcBorders>
                    <w:tl2br w:val="nil"/>
                    <w:tr2bl w:val="nil"/>
                  </w:tcBorders>
                  <w:shd w:val="clear" w:color="auto" w:fill="auto"/>
                  <w:noWrap/>
                  <w:tcMar>
                    <w:top w:w="12" w:type="dxa"/>
                    <w:left w:w="12" w:type="dxa"/>
                    <w:right w:w="12" w:type="dxa"/>
                  </w:tcMar>
                  <w:vAlign w:val="center"/>
                </w:tcPr>
                <w:p w14:paraId="5D3B8B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B886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E4A6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抗荧光衰减封片剂</w:t>
                  </w:r>
                </w:p>
              </w:tc>
              <w:tc>
                <w:tcPr>
                  <w:tcW w:w="480" w:type="pct"/>
                  <w:tcBorders>
                    <w:tl2br w:val="nil"/>
                    <w:tr2bl w:val="nil"/>
                  </w:tcBorders>
                  <w:shd w:val="clear" w:color="auto" w:fill="auto"/>
                  <w:noWrap/>
                  <w:tcMar>
                    <w:top w:w="12" w:type="dxa"/>
                    <w:left w:w="12" w:type="dxa"/>
                    <w:right w:w="12" w:type="dxa"/>
                  </w:tcMar>
                  <w:vAlign w:val="center"/>
                </w:tcPr>
                <w:p w14:paraId="697A9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6A8E10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100ml</w:t>
                  </w:r>
                </w:p>
              </w:tc>
              <w:tc>
                <w:tcPr>
                  <w:tcW w:w="691" w:type="pct"/>
                  <w:tcBorders>
                    <w:tl2br w:val="nil"/>
                    <w:tr2bl w:val="nil"/>
                  </w:tcBorders>
                  <w:shd w:val="clear" w:color="auto" w:fill="auto"/>
                  <w:noWrap/>
                  <w:tcMar>
                    <w:top w:w="12" w:type="dxa"/>
                    <w:left w:w="12" w:type="dxa"/>
                    <w:right w:w="12" w:type="dxa"/>
                  </w:tcMar>
                  <w:vAlign w:val="center"/>
                </w:tcPr>
                <w:p w14:paraId="7FB4DD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1AEEA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FB60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EDTA抗原修复液（</w:t>
                  </w:r>
                  <w:r>
                    <w:rPr>
                      <w:rStyle w:val="48"/>
                      <w:rFonts w:hint="default" w:ascii="Times New Roman" w:hAnsi="Times New Roman" w:eastAsia="宋体" w:cs="Times New Roman"/>
                      <w:color w:val="auto"/>
                      <w:sz w:val="18"/>
                      <w:szCs w:val="18"/>
                      <w:lang w:bidi="ar"/>
                    </w:rPr>
                    <w:t>50X</w:t>
                  </w:r>
                  <w:r>
                    <w:rPr>
                      <w:rFonts w:hint="default" w:ascii="Times New Roman" w:hAnsi="Times New Roman" w:eastAsia="宋体" w:cs="Times New Roman"/>
                      <w:color w:val="auto"/>
                      <w:kern w:val="0"/>
                      <w:sz w:val="18"/>
                      <w:szCs w:val="18"/>
                      <w:lang w:bidi="ar"/>
                    </w:rPr>
                    <w:t xml:space="preserve">） </w:t>
                  </w:r>
                  <w:r>
                    <w:rPr>
                      <w:rStyle w:val="48"/>
                      <w:rFonts w:hint="default" w:ascii="Times New Roman" w:hAnsi="Times New Roman" w:eastAsia="宋体" w:cs="Times New Roman"/>
                      <w:color w:val="auto"/>
                      <w:sz w:val="18"/>
                      <w:szCs w:val="18"/>
                      <w:lang w:bidi="ar"/>
                    </w:rPr>
                    <w:t>ph8.0</w:t>
                  </w:r>
                </w:p>
              </w:tc>
              <w:tc>
                <w:tcPr>
                  <w:tcW w:w="480" w:type="pct"/>
                  <w:tcBorders>
                    <w:tl2br w:val="nil"/>
                    <w:tr2bl w:val="nil"/>
                  </w:tcBorders>
                  <w:shd w:val="clear" w:color="auto" w:fill="auto"/>
                  <w:noWrap/>
                  <w:tcMar>
                    <w:top w:w="12" w:type="dxa"/>
                    <w:left w:w="12" w:type="dxa"/>
                    <w:right w:w="12" w:type="dxa"/>
                  </w:tcMar>
                  <w:vAlign w:val="center"/>
                </w:tcPr>
                <w:p w14:paraId="118C38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5AE77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5CC77D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0DA70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5B7B9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DAB显色试剂盒（</w:t>
                  </w:r>
                  <w:r>
                    <w:rPr>
                      <w:rStyle w:val="48"/>
                      <w:rFonts w:hint="default" w:ascii="Times New Roman" w:hAnsi="Times New Roman" w:eastAsia="宋体" w:cs="Times New Roman"/>
                      <w:color w:val="auto"/>
                      <w:sz w:val="18"/>
                      <w:szCs w:val="18"/>
                      <w:lang w:bidi="ar"/>
                    </w:rPr>
                    <w:t>20×</w:t>
                  </w:r>
                  <w:r>
                    <w:rPr>
                      <w:rFonts w:hint="default" w:ascii="Times New Roman" w:hAnsi="Times New Roman" w:eastAsia="宋体" w:cs="Times New Roman"/>
                      <w:color w:val="auto"/>
                      <w:kern w:val="0"/>
                      <w:sz w:val="18"/>
                      <w:szCs w:val="18"/>
                      <w:lang w:bidi="ar"/>
                    </w:rPr>
                    <w:t>）</w:t>
                  </w:r>
                </w:p>
              </w:tc>
              <w:tc>
                <w:tcPr>
                  <w:tcW w:w="480" w:type="pct"/>
                  <w:tcBorders>
                    <w:tl2br w:val="nil"/>
                    <w:tr2bl w:val="nil"/>
                  </w:tcBorders>
                  <w:shd w:val="clear" w:color="auto" w:fill="auto"/>
                  <w:noWrap/>
                  <w:tcMar>
                    <w:top w:w="12" w:type="dxa"/>
                    <w:left w:w="12" w:type="dxa"/>
                    <w:right w:w="12" w:type="dxa"/>
                  </w:tcMar>
                  <w:vAlign w:val="center"/>
                </w:tcPr>
                <w:p w14:paraId="7BBCCA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2583E1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2*10ml</w:t>
                  </w:r>
                </w:p>
              </w:tc>
              <w:tc>
                <w:tcPr>
                  <w:tcW w:w="691" w:type="pct"/>
                  <w:tcBorders>
                    <w:tl2br w:val="nil"/>
                    <w:tr2bl w:val="nil"/>
                  </w:tcBorders>
                  <w:shd w:val="clear" w:color="auto" w:fill="auto"/>
                  <w:noWrap/>
                  <w:tcMar>
                    <w:top w:w="12" w:type="dxa"/>
                    <w:left w:w="12" w:type="dxa"/>
                    <w:right w:w="12" w:type="dxa"/>
                  </w:tcMar>
                  <w:vAlign w:val="center"/>
                </w:tcPr>
                <w:p w14:paraId="341A77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196A0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6A574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4％组织细胞固定液</w:t>
                  </w:r>
                </w:p>
              </w:tc>
              <w:tc>
                <w:tcPr>
                  <w:tcW w:w="480" w:type="pct"/>
                  <w:tcBorders>
                    <w:tl2br w:val="nil"/>
                    <w:tr2bl w:val="nil"/>
                  </w:tcBorders>
                  <w:shd w:val="clear" w:color="auto" w:fill="auto"/>
                  <w:noWrap/>
                  <w:tcMar>
                    <w:top w:w="12" w:type="dxa"/>
                    <w:left w:w="12" w:type="dxa"/>
                    <w:right w:w="12" w:type="dxa"/>
                  </w:tcMar>
                  <w:vAlign w:val="center"/>
                </w:tcPr>
                <w:p w14:paraId="007B1D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178599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500ml</w:t>
                  </w:r>
                </w:p>
              </w:tc>
              <w:tc>
                <w:tcPr>
                  <w:tcW w:w="691" w:type="pct"/>
                  <w:tcBorders>
                    <w:tl2br w:val="nil"/>
                    <w:tr2bl w:val="nil"/>
                  </w:tcBorders>
                  <w:shd w:val="clear" w:color="auto" w:fill="auto"/>
                  <w:noWrap/>
                  <w:tcMar>
                    <w:top w:w="12" w:type="dxa"/>
                    <w:left w:w="12" w:type="dxa"/>
                    <w:right w:w="12" w:type="dxa"/>
                  </w:tcMar>
                  <w:vAlign w:val="center"/>
                </w:tcPr>
                <w:p w14:paraId="59F734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w:t>
                  </w:r>
                </w:p>
              </w:tc>
            </w:tr>
            <w:tr w14:paraId="0E71A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AF493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JC-10 线粒体膜电位荧光探针</w:t>
                  </w:r>
                </w:p>
              </w:tc>
              <w:tc>
                <w:tcPr>
                  <w:tcW w:w="480" w:type="pct"/>
                  <w:tcBorders>
                    <w:tl2br w:val="nil"/>
                    <w:tr2bl w:val="nil"/>
                  </w:tcBorders>
                  <w:shd w:val="clear" w:color="auto" w:fill="auto"/>
                  <w:noWrap/>
                  <w:tcMar>
                    <w:top w:w="12" w:type="dxa"/>
                    <w:left w:w="12" w:type="dxa"/>
                    <w:right w:w="12" w:type="dxa"/>
                  </w:tcMar>
                  <w:vAlign w:val="center"/>
                </w:tcPr>
                <w:p w14:paraId="133C07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625A17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5mg</w:t>
                  </w:r>
                </w:p>
              </w:tc>
              <w:tc>
                <w:tcPr>
                  <w:tcW w:w="691" w:type="pct"/>
                  <w:tcBorders>
                    <w:tl2br w:val="nil"/>
                    <w:tr2bl w:val="nil"/>
                  </w:tcBorders>
                  <w:shd w:val="clear" w:color="auto" w:fill="auto"/>
                  <w:noWrap/>
                  <w:tcMar>
                    <w:top w:w="12" w:type="dxa"/>
                    <w:left w:w="12" w:type="dxa"/>
                    <w:right w:w="12" w:type="dxa"/>
                  </w:tcMar>
                  <w:vAlign w:val="center"/>
                </w:tcPr>
                <w:p w14:paraId="739EA5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6C867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F13FA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Fluo-4, AM   钙荧光探针</w:t>
                  </w:r>
                  <w:r>
                    <w:rPr>
                      <w:rStyle w:val="48"/>
                      <w:rFonts w:hint="default" w:ascii="Times New Roman" w:hAnsi="Times New Roman" w:eastAsia="宋体" w:cs="Times New Roman"/>
                      <w:color w:val="auto"/>
                      <w:sz w:val="18"/>
                      <w:szCs w:val="18"/>
                      <w:lang w:bidi="ar"/>
                    </w:rPr>
                    <w:t>Fluo-4, AM</w:t>
                  </w:r>
                </w:p>
              </w:tc>
              <w:tc>
                <w:tcPr>
                  <w:tcW w:w="480" w:type="pct"/>
                  <w:tcBorders>
                    <w:tl2br w:val="nil"/>
                    <w:tr2bl w:val="nil"/>
                  </w:tcBorders>
                  <w:shd w:val="clear" w:color="auto" w:fill="auto"/>
                  <w:noWrap/>
                  <w:tcMar>
                    <w:top w:w="12" w:type="dxa"/>
                    <w:left w:w="12" w:type="dxa"/>
                    <w:right w:w="12" w:type="dxa"/>
                  </w:tcMar>
                  <w:vAlign w:val="center"/>
                </w:tcPr>
                <w:p w14:paraId="0CF8CA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5C3858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10×100 μg</w:t>
                  </w:r>
                </w:p>
              </w:tc>
              <w:tc>
                <w:tcPr>
                  <w:tcW w:w="691" w:type="pct"/>
                  <w:tcBorders>
                    <w:tl2br w:val="nil"/>
                    <w:tr2bl w:val="nil"/>
                  </w:tcBorders>
                  <w:shd w:val="clear" w:color="auto" w:fill="auto"/>
                  <w:noWrap/>
                  <w:tcMar>
                    <w:top w:w="12" w:type="dxa"/>
                    <w:left w:w="12" w:type="dxa"/>
                    <w:right w:w="12" w:type="dxa"/>
                  </w:tcMar>
                  <w:vAlign w:val="center"/>
                </w:tcPr>
                <w:p w14:paraId="7F474B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53C3C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F1D4A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细胞凋亡</w:t>
                  </w:r>
                  <w:r>
                    <w:rPr>
                      <w:rStyle w:val="48"/>
                      <w:rFonts w:hint="default" w:ascii="Times New Roman" w:hAnsi="Times New Roman" w:eastAsia="宋体" w:cs="Times New Roman"/>
                      <w:color w:val="auto"/>
                      <w:sz w:val="18"/>
                      <w:szCs w:val="18"/>
                      <w:lang w:bidi="ar"/>
                    </w:rPr>
                    <w:t>-Hoechst</w:t>
                  </w:r>
                  <w:r>
                    <w:rPr>
                      <w:rFonts w:hint="default" w:ascii="Times New Roman" w:hAnsi="Times New Roman" w:eastAsia="宋体" w:cs="Times New Roman"/>
                      <w:color w:val="auto"/>
                      <w:kern w:val="0"/>
                      <w:sz w:val="18"/>
                      <w:szCs w:val="18"/>
                      <w:lang w:bidi="ar"/>
                    </w:rPr>
                    <w:t>染色试剂盒</w:t>
                  </w:r>
                </w:p>
              </w:tc>
              <w:tc>
                <w:tcPr>
                  <w:tcW w:w="480" w:type="pct"/>
                  <w:tcBorders>
                    <w:tl2br w:val="nil"/>
                    <w:tr2bl w:val="nil"/>
                  </w:tcBorders>
                  <w:shd w:val="clear" w:color="auto" w:fill="auto"/>
                  <w:noWrap/>
                  <w:tcMar>
                    <w:top w:w="12" w:type="dxa"/>
                    <w:left w:w="12" w:type="dxa"/>
                    <w:right w:w="12" w:type="dxa"/>
                  </w:tcMar>
                  <w:vAlign w:val="center"/>
                </w:tcPr>
                <w:p w14:paraId="6693A1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7DA154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100T</w:t>
                  </w:r>
                </w:p>
              </w:tc>
              <w:tc>
                <w:tcPr>
                  <w:tcW w:w="691" w:type="pct"/>
                  <w:tcBorders>
                    <w:tl2br w:val="nil"/>
                    <w:tr2bl w:val="nil"/>
                  </w:tcBorders>
                  <w:shd w:val="clear" w:color="auto" w:fill="auto"/>
                  <w:noWrap/>
                  <w:tcMar>
                    <w:top w:w="12" w:type="dxa"/>
                    <w:left w:w="12" w:type="dxa"/>
                    <w:right w:w="12" w:type="dxa"/>
                  </w:tcMar>
                  <w:vAlign w:val="center"/>
                </w:tcPr>
                <w:p w14:paraId="4F109F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A236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AEF91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Hoechst 33342染色液（</w:t>
                  </w:r>
                  <w:r>
                    <w:rPr>
                      <w:rStyle w:val="48"/>
                      <w:rFonts w:hint="default" w:ascii="Times New Roman" w:hAnsi="Times New Roman" w:eastAsia="宋体" w:cs="Times New Roman"/>
                      <w:color w:val="auto"/>
                      <w:sz w:val="18"/>
                      <w:szCs w:val="18"/>
                      <w:lang w:bidi="ar"/>
                    </w:rPr>
                    <w:t>1mg/mL</w:t>
                  </w:r>
                  <w:r>
                    <w:rPr>
                      <w:rFonts w:hint="default" w:ascii="Times New Roman" w:hAnsi="Times New Roman" w:eastAsia="宋体" w:cs="Times New Roman"/>
                      <w:color w:val="auto"/>
                      <w:kern w:val="0"/>
                      <w:sz w:val="18"/>
                      <w:szCs w:val="18"/>
                      <w:lang w:bidi="ar"/>
                    </w:rPr>
                    <w:t>）</w:t>
                  </w:r>
                  <w:r>
                    <w:rPr>
                      <w:rStyle w:val="48"/>
                      <w:rFonts w:hint="default" w:ascii="Times New Roman" w:hAnsi="Times New Roman" w:eastAsia="宋体" w:cs="Times New Roman"/>
                      <w:color w:val="auto"/>
                      <w:sz w:val="18"/>
                      <w:szCs w:val="18"/>
                      <w:lang w:bidi="ar"/>
                    </w:rPr>
                    <w:t>.</w:t>
                  </w:r>
                </w:p>
              </w:tc>
              <w:tc>
                <w:tcPr>
                  <w:tcW w:w="480" w:type="pct"/>
                  <w:tcBorders>
                    <w:tl2br w:val="nil"/>
                    <w:tr2bl w:val="nil"/>
                  </w:tcBorders>
                  <w:shd w:val="clear" w:color="auto" w:fill="auto"/>
                  <w:noWrap/>
                  <w:tcMar>
                    <w:top w:w="12" w:type="dxa"/>
                    <w:left w:w="12" w:type="dxa"/>
                    <w:right w:w="12" w:type="dxa"/>
                  </w:tcMar>
                  <w:vAlign w:val="center"/>
                </w:tcPr>
                <w:p w14:paraId="671634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1B50F7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1mL</w:t>
                  </w:r>
                </w:p>
              </w:tc>
              <w:tc>
                <w:tcPr>
                  <w:tcW w:w="691" w:type="pct"/>
                  <w:tcBorders>
                    <w:tl2br w:val="nil"/>
                    <w:tr2bl w:val="nil"/>
                  </w:tcBorders>
                  <w:shd w:val="clear" w:color="auto" w:fill="auto"/>
                  <w:noWrap/>
                  <w:tcMar>
                    <w:top w:w="12" w:type="dxa"/>
                    <w:left w:w="12" w:type="dxa"/>
                    <w:right w:w="12" w:type="dxa"/>
                  </w:tcMar>
                  <w:vAlign w:val="center"/>
                </w:tcPr>
                <w:p w14:paraId="398224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C0E8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17E95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DCFH-DA 活性氧</w:t>
                  </w:r>
                  <w:r>
                    <w:rPr>
                      <w:rStyle w:val="48"/>
                      <w:rFonts w:hint="default" w:ascii="Times New Roman" w:hAnsi="Times New Roman" w:eastAsia="宋体" w:cs="Times New Roman"/>
                      <w:color w:val="auto"/>
                      <w:sz w:val="18"/>
                      <w:szCs w:val="18"/>
                      <w:lang w:bidi="ar"/>
                    </w:rPr>
                    <w:t>ROS</w:t>
                  </w:r>
                  <w:r>
                    <w:rPr>
                      <w:rFonts w:hint="default" w:ascii="Times New Roman" w:hAnsi="Times New Roman" w:eastAsia="宋体" w:cs="Times New Roman"/>
                      <w:color w:val="auto"/>
                      <w:kern w:val="0"/>
                      <w:sz w:val="18"/>
                      <w:szCs w:val="18"/>
                      <w:lang w:bidi="ar"/>
                    </w:rPr>
                    <w:t>荧光探针</w:t>
                  </w:r>
                </w:p>
              </w:tc>
              <w:tc>
                <w:tcPr>
                  <w:tcW w:w="480" w:type="pct"/>
                  <w:tcBorders>
                    <w:tl2br w:val="nil"/>
                    <w:tr2bl w:val="nil"/>
                  </w:tcBorders>
                  <w:shd w:val="clear" w:color="auto" w:fill="auto"/>
                  <w:noWrap/>
                  <w:tcMar>
                    <w:top w:w="12" w:type="dxa"/>
                    <w:left w:w="12" w:type="dxa"/>
                    <w:right w:w="12" w:type="dxa"/>
                  </w:tcMar>
                  <w:vAlign w:val="center"/>
                </w:tcPr>
                <w:p w14:paraId="3D448E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w:t>
                  </w:r>
                </w:p>
              </w:tc>
              <w:tc>
                <w:tcPr>
                  <w:tcW w:w="1238" w:type="pct"/>
                  <w:tcBorders>
                    <w:tl2br w:val="nil"/>
                    <w:tr2bl w:val="nil"/>
                  </w:tcBorders>
                  <w:shd w:val="clear" w:color="auto" w:fill="auto"/>
                  <w:noWrap/>
                  <w:tcMar>
                    <w:top w:w="12" w:type="dxa"/>
                    <w:left w:w="12" w:type="dxa"/>
                    <w:right w:w="12" w:type="dxa"/>
                  </w:tcMar>
                  <w:vAlign w:val="center"/>
                </w:tcPr>
                <w:p w14:paraId="6A6FA2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100mg</w:t>
                  </w:r>
                </w:p>
              </w:tc>
              <w:tc>
                <w:tcPr>
                  <w:tcW w:w="691" w:type="pct"/>
                  <w:tcBorders>
                    <w:tl2br w:val="nil"/>
                    <w:tr2bl w:val="nil"/>
                  </w:tcBorders>
                  <w:shd w:val="clear" w:color="auto" w:fill="auto"/>
                  <w:noWrap/>
                  <w:tcMar>
                    <w:top w:w="12" w:type="dxa"/>
                    <w:left w:w="12" w:type="dxa"/>
                    <w:right w:w="12" w:type="dxa"/>
                  </w:tcMar>
                  <w:vAlign w:val="center"/>
                </w:tcPr>
                <w:p w14:paraId="1B8EE2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78678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1733D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台盼蓝染色液</w:t>
                  </w:r>
                  <w:r>
                    <w:rPr>
                      <w:rFonts w:hint="eastAsia" w:cs="Times New Roman"/>
                      <w:color w:val="auto"/>
                      <w:kern w:val="0"/>
                      <w:sz w:val="18"/>
                      <w:szCs w:val="18"/>
                      <w:lang w:eastAsia="zh-CN" w:bidi="ar"/>
                    </w:rPr>
                    <w:t>（</w:t>
                  </w:r>
                  <w:r>
                    <w:rPr>
                      <w:rStyle w:val="48"/>
                      <w:rFonts w:hint="default" w:ascii="Times New Roman" w:hAnsi="Times New Roman" w:eastAsia="宋体" w:cs="Times New Roman"/>
                      <w:color w:val="auto"/>
                      <w:sz w:val="18"/>
                      <w:szCs w:val="18"/>
                      <w:lang w:bidi="ar"/>
                    </w:rPr>
                    <w:t>0.4%</w:t>
                  </w:r>
                  <w:r>
                    <w:rPr>
                      <w:rStyle w:val="48"/>
                      <w:rFonts w:hint="eastAsia" w:cs="Times New Roman"/>
                      <w:color w:val="auto"/>
                      <w:sz w:val="18"/>
                      <w:szCs w:val="18"/>
                      <w:lang w:eastAsia="zh-CN" w:bidi="ar"/>
                    </w:rPr>
                    <w:t>）</w:t>
                  </w:r>
                </w:p>
              </w:tc>
              <w:tc>
                <w:tcPr>
                  <w:tcW w:w="480" w:type="pct"/>
                  <w:tcBorders>
                    <w:tl2br w:val="nil"/>
                    <w:tr2bl w:val="nil"/>
                  </w:tcBorders>
                  <w:shd w:val="clear" w:color="auto" w:fill="auto"/>
                  <w:noWrap/>
                  <w:tcMar>
                    <w:top w:w="12" w:type="dxa"/>
                    <w:left w:w="12" w:type="dxa"/>
                    <w:right w:w="12" w:type="dxa"/>
                  </w:tcMar>
                  <w:vAlign w:val="center"/>
                </w:tcPr>
                <w:p w14:paraId="18C6EE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68AC87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100ml</w:t>
                  </w:r>
                </w:p>
              </w:tc>
              <w:tc>
                <w:tcPr>
                  <w:tcW w:w="691" w:type="pct"/>
                  <w:tcBorders>
                    <w:tl2br w:val="nil"/>
                    <w:tr2bl w:val="nil"/>
                  </w:tcBorders>
                  <w:shd w:val="clear" w:color="auto" w:fill="auto"/>
                  <w:noWrap/>
                  <w:tcMar>
                    <w:top w:w="12" w:type="dxa"/>
                    <w:left w:w="12" w:type="dxa"/>
                    <w:right w:w="12" w:type="dxa"/>
                  </w:tcMar>
                  <w:vAlign w:val="center"/>
                </w:tcPr>
                <w:p w14:paraId="13AD7B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3A4E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35105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MTT噻唑蓝</w:t>
                  </w:r>
                </w:p>
              </w:tc>
              <w:tc>
                <w:tcPr>
                  <w:tcW w:w="480" w:type="pct"/>
                  <w:tcBorders>
                    <w:tl2br w:val="nil"/>
                    <w:tr2bl w:val="nil"/>
                  </w:tcBorders>
                  <w:shd w:val="clear" w:color="auto" w:fill="auto"/>
                  <w:noWrap/>
                  <w:tcMar>
                    <w:top w:w="12" w:type="dxa"/>
                    <w:left w:w="12" w:type="dxa"/>
                    <w:right w:w="12" w:type="dxa"/>
                  </w:tcMar>
                  <w:vAlign w:val="center"/>
                </w:tcPr>
                <w:p w14:paraId="0691CF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瓶</w:t>
                  </w:r>
                </w:p>
              </w:tc>
              <w:tc>
                <w:tcPr>
                  <w:tcW w:w="1238" w:type="pct"/>
                  <w:tcBorders>
                    <w:tl2br w:val="nil"/>
                    <w:tr2bl w:val="nil"/>
                  </w:tcBorders>
                  <w:shd w:val="clear" w:color="auto" w:fill="auto"/>
                  <w:noWrap/>
                  <w:tcMar>
                    <w:top w:w="12" w:type="dxa"/>
                    <w:left w:w="12" w:type="dxa"/>
                    <w:right w:w="12" w:type="dxa"/>
                  </w:tcMar>
                  <w:vAlign w:val="center"/>
                </w:tcPr>
                <w:p w14:paraId="59597A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1g</w:t>
                  </w:r>
                </w:p>
              </w:tc>
              <w:tc>
                <w:tcPr>
                  <w:tcW w:w="691" w:type="pct"/>
                  <w:tcBorders>
                    <w:tl2br w:val="nil"/>
                    <w:tr2bl w:val="nil"/>
                  </w:tcBorders>
                  <w:shd w:val="clear" w:color="auto" w:fill="auto"/>
                  <w:noWrap/>
                  <w:tcMar>
                    <w:top w:w="12" w:type="dxa"/>
                    <w:left w:w="12" w:type="dxa"/>
                    <w:right w:w="12" w:type="dxa"/>
                  </w:tcMar>
                  <w:vAlign w:val="center"/>
                </w:tcPr>
                <w:p w14:paraId="74CD56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EAC8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AA62D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Annexin V-FITC/PI双染细胞凋亡检测试剂盒</w:t>
                  </w:r>
                </w:p>
              </w:tc>
              <w:tc>
                <w:tcPr>
                  <w:tcW w:w="480" w:type="pct"/>
                  <w:tcBorders>
                    <w:tl2br w:val="nil"/>
                    <w:tr2bl w:val="nil"/>
                  </w:tcBorders>
                  <w:shd w:val="clear" w:color="auto" w:fill="auto"/>
                  <w:noWrap/>
                  <w:tcMar>
                    <w:top w:w="12" w:type="dxa"/>
                    <w:left w:w="12" w:type="dxa"/>
                    <w:right w:w="12" w:type="dxa"/>
                  </w:tcMar>
                  <w:vAlign w:val="center"/>
                </w:tcPr>
                <w:p w14:paraId="4454A3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6422F7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300 tests</w:t>
                  </w:r>
                </w:p>
              </w:tc>
              <w:tc>
                <w:tcPr>
                  <w:tcW w:w="691" w:type="pct"/>
                  <w:tcBorders>
                    <w:tl2br w:val="nil"/>
                    <w:tr2bl w:val="nil"/>
                  </w:tcBorders>
                  <w:shd w:val="clear" w:color="auto" w:fill="auto"/>
                  <w:noWrap/>
                  <w:tcMar>
                    <w:top w:w="12" w:type="dxa"/>
                    <w:left w:w="12" w:type="dxa"/>
                    <w:right w:w="12" w:type="dxa"/>
                  </w:tcMar>
                  <w:vAlign w:val="center"/>
                </w:tcPr>
                <w:p w14:paraId="19BCF3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32432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E6C8B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细胞凋亡</w:t>
                  </w:r>
                  <w:r>
                    <w:rPr>
                      <w:rStyle w:val="48"/>
                      <w:rFonts w:hint="default" w:ascii="Times New Roman" w:hAnsi="Times New Roman" w:eastAsia="宋体" w:cs="Times New Roman"/>
                      <w:color w:val="auto"/>
                      <w:sz w:val="18"/>
                      <w:szCs w:val="18"/>
                      <w:lang w:bidi="ar"/>
                    </w:rPr>
                    <w:t>DNA Ladder</w:t>
                  </w:r>
                  <w:r>
                    <w:rPr>
                      <w:rFonts w:hint="default" w:ascii="Times New Roman" w:hAnsi="Times New Roman" w:eastAsia="宋体" w:cs="Times New Roman"/>
                      <w:color w:val="auto"/>
                      <w:kern w:val="0"/>
                      <w:sz w:val="18"/>
                      <w:szCs w:val="18"/>
                      <w:lang w:bidi="ar"/>
                    </w:rPr>
                    <w:t>检测试剂盒</w:t>
                  </w:r>
                </w:p>
              </w:tc>
              <w:tc>
                <w:tcPr>
                  <w:tcW w:w="480" w:type="pct"/>
                  <w:tcBorders>
                    <w:tl2br w:val="nil"/>
                    <w:tr2bl w:val="nil"/>
                  </w:tcBorders>
                  <w:shd w:val="clear" w:color="auto" w:fill="auto"/>
                  <w:noWrap/>
                  <w:tcMar>
                    <w:top w:w="12" w:type="dxa"/>
                    <w:left w:w="12" w:type="dxa"/>
                    <w:right w:w="12" w:type="dxa"/>
                  </w:tcMar>
                  <w:vAlign w:val="center"/>
                </w:tcPr>
                <w:p w14:paraId="54AF7A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7B7149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 tests</w:t>
                  </w:r>
                </w:p>
              </w:tc>
              <w:tc>
                <w:tcPr>
                  <w:tcW w:w="691" w:type="pct"/>
                  <w:tcBorders>
                    <w:tl2br w:val="nil"/>
                    <w:tr2bl w:val="nil"/>
                  </w:tcBorders>
                  <w:shd w:val="clear" w:color="auto" w:fill="auto"/>
                  <w:noWrap/>
                  <w:tcMar>
                    <w:top w:w="12" w:type="dxa"/>
                    <w:left w:w="12" w:type="dxa"/>
                    <w:right w:w="12" w:type="dxa"/>
                  </w:tcMar>
                  <w:vAlign w:val="center"/>
                </w:tcPr>
                <w:p w14:paraId="1B1401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0E293C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8A781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细胞凋亡</w:t>
                  </w:r>
                  <w:r>
                    <w:rPr>
                      <w:rStyle w:val="48"/>
                      <w:rFonts w:hint="default" w:ascii="Times New Roman" w:hAnsi="Times New Roman" w:eastAsia="宋体" w:cs="Times New Roman"/>
                      <w:color w:val="auto"/>
                      <w:sz w:val="18"/>
                      <w:szCs w:val="18"/>
                      <w:lang w:bidi="ar"/>
                    </w:rPr>
                    <w:t>DNA Ladder</w:t>
                  </w:r>
                  <w:r>
                    <w:rPr>
                      <w:rFonts w:hint="default" w:ascii="Times New Roman" w:hAnsi="Times New Roman" w:eastAsia="宋体" w:cs="Times New Roman"/>
                      <w:color w:val="auto"/>
                      <w:kern w:val="0"/>
                      <w:sz w:val="18"/>
                      <w:szCs w:val="18"/>
                      <w:lang w:bidi="ar"/>
                    </w:rPr>
                    <w:t>抽提试剂盒</w:t>
                  </w:r>
                </w:p>
              </w:tc>
              <w:tc>
                <w:tcPr>
                  <w:tcW w:w="480" w:type="pct"/>
                  <w:tcBorders>
                    <w:tl2br w:val="nil"/>
                    <w:tr2bl w:val="nil"/>
                  </w:tcBorders>
                  <w:shd w:val="clear" w:color="auto" w:fill="auto"/>
                  <w:noWrap/>
                  <w:tcMar>
                    <w:top w:w="12" w:type="dxa"/>
                    <w:left w:w="12" w:type="dxa"/>
                    <w:right w:w="12" w:type="dxa"/>
                  </w:tcMar>
                  <w:vAlign w:val="center"/>
                </w:tcPr>
                <w:p w14:paraId="647B0A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2AA700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 tests</w:t>
                  </w:r>
                </w:p>
              </w:tc>
              <w:tc>
                <w:tcPr>
                  <w:tcW w:w="691" w:type="pct"/>
                  <w:tcBorders>
                    <w:tl2br w:val="nil"/>
                    <w:tr2bl w:val="nil"/>
                  </w:tcBorders>
                  <w:shd w:val="clear" w:color="auto" w:fill="auto"/>
                  <w:noWrap/>
                  <w:tcMar>
                    <w:top w:w="12" w:type="dxa"/>
                    <w:left w:w="12" w:type="dxa"/>
                    <w:right w:w="12" w:type="dxa"/>
                  </w:tcMar>
                  <w:vAlign w:val="center"/>
                </w:tcPr>
                <w:p w14:paraId="2563E4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4ED77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FF891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一步法</w:t>
                  </w:r>
                  <w:r>
                    <w:rPr>
                      <w:rStyle w:val="48"/>
                      <w:rFonts w:hint="default" w:ascii="Times New Roman" w:hAnsi="Times New Roman" w:eastAsia="宋体" w:cs="Times New Roman"/>
                      <w:color w:val="auto"/>
                      <w:sz w:val="18"/>
                      <w:szCs w:val="18"/>
                      <w:lang w:bidi="ar"/>
                    </w:rPr>
                    <w:t>TUNEL</w:t>
                  </w:r>
                  <w:r>
                    <w:rPr>
                      <w:rFonts w:hint="default" w:ascii="Times New Roman" w:hAnsi="Times New Roman" w:eastAsia="宋体" w:cs="Times New Roman"/>
                      <w:color w:val="auto"/>
                      <w:kern w:val="0"/>
                      <w:sz w:val="18"/>
                      <w:szCs w:val="18"/>
                      <w:lang w:bidi="ar"/>
                    </w:rPr>
                    <w:t>细胞凋亡原位检测试剂盒，升级装（红色</w:t>
                  </w:r>
                  <w:r>
                    <w:rPr>
                      <w:rStyle w:val="48"/>
                      <w:rFonts w:hint="default" w:ascii="Times New Roman" w:hAnsi="Times New Roman" w:eastAsia="宋体" w:cs="Times New Roman"/>
                      <w:color w:val="auto"/>
                      <w:sz w:val="18"/>
                      <w:szCs w:val="18"/>
                      <w:lang w:bidi="ar"/>
                    </w:rPr>
                    <w:t>TRITC</w:t>
                  </w:r>
                  <w:r>
                    <w:rPr>
                      <w:rFonts w:hint="default" w:ascii="Times New Roman" w:hAnsi="Times New Roman" w:eastAsia="宋体" w:cs="Times New Roman"/>
                      <w:color w:val="auto"/>
                      <w:kern w:val="0"/>
                      <w:sz w:val="18"/>
                      <w:szCs w:val="18"/>
                      <w:lang w:bidi="ar"/>
                    </w:rPr>
                    <w:t>标记荧光检测法，通用型）</w:t>
                  </w:r>
                </w:p>
              </w:tc>
              <w:tc>
                <w:tcPr>
                  <w:tcW w:w="480" w:type="pct"/>
                  <w:tcBorders>
                    <w:tl2br w:val="nil"/>
                    <w:tr2bl w:val="nil"/>
                  </w:tcBorders>
                  <w:shd w:val="clear" w:color="auto" w:fill="auto"/>
                  <w:noWrap/>
                  <w:tcMar>
                    <w:top w:w="12" w:type="dxa"/>
                    <w:left w:w="12" w:type="dxa"/>
                    <w:right w:w="12" w:type="dxa"/>
                  </w:tcMar>
                  <w:vAlign w:val="center"/>
                </w:tcPr>
                <w:p w14:paraId="47F53A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0EC801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100 tests</w:t>
                  </w:r>
                </w:p>
              </w:tc>
              <w:tc>
                <w:tcPr>
                  <w:tcW w:w="691" w:type="pct"/>
                  <w:tcBorders>
                    <w:tl2br w:val="nil"/>
                    <w:tr2bl w:val="nil"/>
                  </w:tcBorders>
                  <w:shd w:val="clear" w:color="auto" w:fill="auto"/>
                  <w:noWrap/>
                  <w:tcMar>
                    <w:top w:w="12" w:type="dxa"/>
                    <w:left w:w="12" w:type="dxa"/>
                    <w:right w:w="12" w:type="dxa"/>
                  </w:tcMar>
                  <w:vAlign w:val="center"/>
                </w:tcPr>
                <w:p w14:paraId="053E1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w:t>
                  </w:r>
                </w:p>
              </w:tc>
            </w:tr>
            <w:tr w14:paraId="086A0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5A13D8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支原体检测试剂盒</w:t>
                  </w:r>
                </w:p>
              </w:tc>
              <w:tc>
                <w:tcPr>
                  <w:tcW w:w="480" w:type="pct"/>
                  <w:tcBorders>
                    <w:tl2br w:val="nil"/>
                    <w:tr2bl w:val="nil"/>
                  </w:tcBorders>
                  <w:shd w:val="clear" w:color="auto" w:fill="auto"/>
                  <w:noWrap/>
                  <w:tcMar>
                    <w:top w:w="12" w:type="dxa"/>
                    <w:left w:w="12" w:type="dxa"/>
                    <w:right w:w="12" w:type="dxa"/>
                  </w:tcMar>
                  <w:vAlign w:val="center"/>
                </w:tcPr>
                <w:p w14:paraId="5BB350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盒</w:t>
                  </w:r>
                </w:p>
              </w:tc>
              <w:tc>
                <w:tcPr>
                  <w:tcW w:w="1238" w:type="pct"/>
                  <w:tcBorders>
                    <w:tl2br w:val="nil"/>
                    <w:tr2bl w:val="nil"/>
                  </w:tcBorders>
                  <w:shd w:val="clear" w:color="auto" w:fill="auto"/>
                  <w:noWrap/>
                  <w:tcMar>
                    <w:top w:w="12" w:type="dxa"/>
                    <w:left w:w="12" w:type="dxa"/>
                    <w:right w:w="12" w:type="dxa"/>
                  </w:tcMar>
                  <w:vAlign w:val="center"/>
                </w:tcPr>
                <w:p w14:paraId="375DA4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200T</w:t>
                  </w:r>
                </w:p>
              </w:tc>
              <w:tc>
                <w:tcPr>
                  <w:tcW w:w="691" w:type="pct"/>
                  <w:tcBorders>
                    <w:tl2br w:val="nil"/>
                    <w:tr2bl w:val="nil"/>
                  </w:tcBorders>
                  <w:shd w:val="clear" w:color="auto" w:fill="auto"/>
                  <w:noWrap/>
                  <w:tcMar>
                    <w:top w:w="12" w:type="dxa"/>
                    <w:left w:w="12" w:type="dxa"/>
                    <w:right w:w="12" w:type="dxa"/>
                  </w:tcMar>
                  <w:vAlign w:val="center"/>
                </w:tcPr>
                <w:p w14:paraId="669E98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w:t>
                  </w:r>
                </w:p>
              </w:tc>
            </w:tr>
            <w:tr w14:paraId="210C7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6E716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异丙醇</w:t>
                  </w:r>
                </w:p>
              </w:tc>
              <w:tc>
                <w:tcPr>
                  <w:tcW w:w="480" w:type="pct"/>
                  <w:tcBorders>
                    <w:tl2br w:val="nil"/>
                    <w:tr2bl w:val="nil"/>
                  </w:tcBorders>
                  <w:shd w:val="clear" w:color="auto" w:fill="auto"/>
                  <w:noWrap/>
                  <w:tcMar>
                    <w:top w:w="12" w:type="dxa"/>
                    <w:left w:w="12" w:type="dxa"/>
                    <w:right w:w="12" w:type="dxa"/>
                  </w:tcMar>
                  <w:vAlign w:val="center"/>
                </w:tcPr>
                <w:p w14:paraId="4237D5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val="0"/>
                      <w:bCs/>
                      <w:color w:val="auto"/>
                      <w:sz w:val="18"/>
                      <w:szCs w:val="18"/>
                      <w:highlight w:val="none"/>
                      <w:lang w:val="en-US" w:eastAsia="zh-CN"/>
                    </w:rPr>
                    <w:t>瓶</w:t>
                  </w:r>
                </w:p>
              </w:tc>
              <w:tc>
                <w:tcPr>
                  <w:tcW w:w="1238" w:type="pct"/>
                  <w:tcBorders>
                    <w:tl2br w:val="nil"/>
                    <w:tr2bl w:val="nil"/>
                  </w:tcBorders>
                  <w:shd w:val="clear" w:color="auto" w:fill="auto"/>
                  <w:noWrap/>
                  <w:tcMar>
                    <w:top w:w="12" w:type="dxa"/>
                    <w:left w:w="12" w:type="dxa"/>
                    <w:right w:w="12" w:type="dxa"/>
                  </w:tcMar>
                  <w:vAlign w:val="center"/>
                </w:tcPr>
                <w:p w14:paraId="505A66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500ml/瓶</w:t>
                  </w:r>
                </w:p>
              </w:tc>
              <w:tc>
                <w:tcPr>
                  <w:tcW w:w="691" w:type="pct"/>
                  <w:tcBorders>
                    <w:tl2br w:val="nil"/>
                    <w:tr2bl w:val="nil"/>
                  </w:tcBorders>
                  <w:shd w:val="clear" w:color="auto" w:fill="auto"/>
                  <w:noWrap/>
                  <w:tcMar>
                    <w:top w:w="12" w:type="dxa"/>
                    <w:left w:w="12" w:type="dxa"/>
                    <w:right w:w="12" w:type="dxa"/>
                  </w:tcMar>
                  <w:vAlign w:val="center"/>
                </w:tcPr>
                <w:p w14:paraId="4744AB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250</w:t>
                  </w:r>
                </w:p>
              </w:tc>
            </w:tr>
            <w:tr w14:paraId="7AA81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6DBC9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无水乙醇</w:t>
                  </w:r>
                </w:p>
              </w:tc>
              <w:tc>
                <w:tcPr>
                  <w:tcW w:w="480" w:type="pct"/>
                  <w:tcBorders>
                    <w:tl2br w:val="nil"/>
                    <w:tr2bl w:val="nil"/>
                  </w:tcBorders>
                  <w:shd w:val="clear" w:color="auto" w:fill="auto"/>
                  <w:noWrap/>
                  <w:tcMar>
                    <w:top w:w="12" w:type="dxa"/>
                    <w:left w:w="12" w:type="dxa"/>
                    <w:right w:w="12" w:type="dxa"/>
                  </w:tcMar>
                  <w:vAlign w:val="center"/>
                </w:tcPr>
                <w:p w14:paraId="7F7F23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val="0"/>
                      <w:bCs/>
                      <w:color w:val="auto"/>
                      <w:sz w:val="18"/>
                      <w:szCs w:val="18"/>
                      <w:highlight w:val="none"/>
                      <w:lang w:val="en-US" w:eastAsia="zh-CN"/>
                    </w:rPr>
                    <w:t>瓶</w:t>
                  </w:r>
                </w:p>
              </w:tc>
              <w:tc>
                <w:tcPr>
                  <w:tcW w:w="1238" w:type="pct"/>
                  <w:tcBorders>
                    <w:tl2br w:val="nil"/>
                    <w:tr2bl w:val="nil"/>
                  </w:tcBorders>
                  <w:shd w:val="clear" w:color="auto" w:fill="auto"/>
                  <w:noWrap/>
                  <w:tcMar>
                    <w:top w:w="12" w:type="dxa"/>
                    <w:left w:w="12" w:type="dxa"/>
                    <w:right w:w="12" w:type="dxa"/>
                  </w:tcMar>
                  <w:vAlign w:val="center"/>
                </w:tcPr>
                <w:p w14:paraId="5C4801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500ml/瓶</w:t>
                  </w:r>
                </w:p>
              </w:tc>
              <w:tc>
                <w:tcPr>
                  <w:tcW w:w="691" w:type="pct"/>
                  <w:tcBorders>
                    <w:tl2br w:val="nil"/>
                    <w:tr2bl w:val="nil"/>
                  </w:tcBorders>
                  <w:shd w:val="clear" w:color="auto" w:fill="auto"/>
                  <w:noWrap/>
                  <w:tcMar>
                    <w:top w:w="12" w:type="dxa"/>
                    <w:left w:w="12" w:type="dxa"/>
                    <w:right w:w="12" w:type="dxa"/>
                  </w:tcMar>
                  <w:vAlign w:val="center"/>
                </w:tcPr>
                <w:p w14:paraId="7560E0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color w:val="auto"/>
                      <w:kern w:val="0"/>
                      <w:sz w:val="18"/>
                      <w:szCs w:val="18"/>
                      <w:lang w:val="en-US" w:eastAsia="zh-CN" w:bidi="ar"/>
                    </w:rPr>
                    <w:t>250</w:t>
                  </w:r>
                </w:p>
              </w:tc>
            </w:tr>
            <w:tr w14:paraId="2F8A31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1588AA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丙烯酰胺</w:t>
                  </w:r>
                </w:p>
              </w:tc>
              <w:tc>
                <w:tcPr>
                  <w:tcW w:w="480" w:type="pct"/>
                  <w:tcBorders>
                    <w:tl2br w:val="nil"/>
                    <w:tr2bl w:val="nil"/>
                  </w:tcBorders>
                  <w:shd w:val="clear" w:color="auto" w:fill="auto"/>
                  <w:noWrap/>
                  <w:tcMar>
                    <w:top w:w="12" w:type="dxa"/>
                    <w:left w:w="12" w:type="dxa"/>
                    <w:right w:w="12" w:type="dxa"/>
                  </w:tcMar>
                  <w:vAlign w:val="center"/>
                </w:tcPr>
                <w:p w14:paraId="764FDA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eastAsia" w:ascii="Times New Roman" w:hAnsi="Times New Roman" w:eastAsia="宋体" w:cs="Times New Roman"/>
                      <w:b w:val="0"/>
                      <w:bCs/>
                      <w:color w:val="auto"/>
                      <w:sz w:val="18"/>
                      <w:szCs w:val="18"/>
                      <w:highlight w:val="none"/>
                      <w:lang w:val="en-US" w:eastAsia="zh-CN"/>
                    </w:rPr>
                    <w:t>袋</w:t>
                  </w:r>
                </w:p>
              </w:tc>
              <w:tc>
                <w:tcPr>
                  <w:tcW w:w="1238" w:type="pct"/>
                  <w:tcBorders>
                    <w:tl2br w:val="nil"/>
                    <w:tr2bl w:val="nil"/>
                  </w:tcBorders>
                  <w:shd w:val="clear" w:color="auto" w:fill="auto"/>
                  <w:noWrap/>
                  <w:tcMar>
                    <w:top w:w="12" w:type="dxa"/>
                    <w:left w:w="12" w:type="dxa"/>
                    <w:right w:w="12" w:type="dxa"/>
                  </w:tcMar>
                  <w:vAlign w:val="center"/>
                </w:tcPr>
                <w:p w14:paraId="085BAC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25kg/袋</w:t>
                  </w:r>
                </w:p>
              </w:tc>
              <w:tc>
                <w:tcPr>
                  <w:tcW w:w="691" w:type="pct"/>
                  <w:tcBorders>
                    <w:tl2br w:val="nil"/>
                    <w:tr2bl w:val="nil"/>
                  </w:tcBorders>
                  <w:shd w:val="clear" w:color="auto" w:fill="auto"/>
                  <w:noWrap/>
                  <w:tcMar>
                    <w:top w:w="12" w:type="dxa"/>
                    <w:left w:w="12" w:type="dxa"/>
                    <w:right w:w="12" w:type="dxa"/>
                  </w:tcMar>
                  <w:vAlign w:val="center"/>
                </w:tcPr>
                <w:p w14:paraId="02763F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bidi="ar"/>
                    </w:rPr>
                  </w:pPr>
                  <w:r>
                    <w:rPr>
                      <w:rFonts w:hint="eastAsia" w:cs="Times New Roman"/>
                      <w:color w:val="auto"/>
                      <w:kern w:val="0"/>
                      <w:sz w:val="18"/>
                      <w:szCs w:val="18"/>
                      <w:lang w:val="en-US" w:eastAsia="zh-CN" w:bidi="ar"/>
                    </w:rPr>
                    <w:t>10</w:t>
                  </w:r>
                </w:p>
              </w:tc>
            </w:tr>
            <w:tr w14:paraId="5D339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590" w:type="pct"/>
                  <w:tcBorders>
                    <w:tl2br w:val="nil"/>
                    <w:tr2bl w:val="nil"/>
                  </w:tcBorders>
                  <w:shd w:val="clear" w:color="auto" w:fill="auto"/>
                  <w:noWrap/>
                  <w:tcMar>
                    <w:top w:w="12" w:type="dxa"/>
                    <w:left w:w="12" w:type="dxa"/>
                    <w:right w:w="12" w:type="dxa"/>
                  </w:tcMar>
                  <w:vAlign w:val="center"/>
                </w:tcPr>
                <w:p w14:paraId="002111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过硫酸</w:t>
                  </w:r>
                  <w:r>
                    <w:rPr>
                      <w:rFonts w:hint="eastAsia" w:ascii="Times New Roman" w:hAnsi="Times New Roman" w:eastAsia="宋体" w:cs="Times New Roman"/>
                      <w:color w:val="auto"/>
                      <w:kern w:val="0"/>
                      <w:sz w:val="18"/>
                      <w:szCs w:val="18"/>
                      <w:lang w:val="en-US" w:eastAsia="zh-CN" w:bidi="ar"/>
                    </w:rPr>
                    <w:t>铵</w:t>
                  </w:r>
                </w:p>
              </w:tc>
              <w:tc>
                <w:tcPr>
                  <w:tcW w:w="480" w:type="pct"/>
                  <w:tcBorders>
                    <w:tl2br w:val="nil"/>
                    <w:tr2bl w:val="nil"/>
                  </w:tcBorders>
                  <w:shd w:val="clear" w:color="auto" w:fill="auto"/>
                  <w:noWrap/>
                  <w:tcMar>
                    <w:top w:w="12" w:type="dxa"/>
                    <w:left w:w="12" w:type="dxa"/>
                    <w:right w:w="12" w:type="dxa"/>
                  </w:tcMar>
                  <w:vAlign w:val="center"/>
                </w:tcPr>
                <w:p w14:paraId="6A4111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袋</w:t>
                  </w:r>
                </w:p>
              </w:tc>
              <w:tc>
                <w:tcPr>
                  <w:tcW w:w="1238" w:type="pct"/>
                  <w:tcBorders>
                    <w:tl2br w:val="nil"/>
                    <w:tr2bl w:val="nil"/>
                  </w:tcBorders>
                  <w:shd w:val="clear" w:color="auto" w:fill="auto"/>
                  <w:noWrap/>
                  <w:tcMar>
                    <w:top w:w="12" w:type="dxa"/>
                    <w:left w:w="12" w:type="dxa"/>
                    <w:right w:w="12" w:type="dxa"/>
                  </w:tcMar>
                  <w:vAlign w:val="center"/>
                </w:tcPr>
                <w:p w14:paraId="523550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25kg/袋</w:t>
                  </w:r>
                </w:p>
              </w:tc>
              <w:tc>
                <w:tcPr>
                  <w:tcW w:w="691" w:type="pct"/>
                  <w:tcBorders>
                    <w:tl2br w:val="nil"/>
                    <w:tr2bl w:val="nil"/>
                  </w:tcBorders>
                  <w:shd w:val="clear" w:color="auto" w:fill="auto"/>
                  <w:noWrap/>
                  <w:tcMar>
                    <w:top w:w="12" w:type="dxa"/>
                    <w:left w:w="12" w:type="dxa"/>
                    <w:right w:w="12" w:type="dxa"/>
                  </w:tcMar>
                  <w:vAlign w:val="center"/>
                </w:tcPr>
                <w:p w14:paraId="354874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15</w:t>
                  </w:r>
                </w:p>
              </w:tc>
            </w:tr>
            <w:tr w14:paraId="5CF92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357DA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75%乙醇</w:t>
                  </w:r>
                </w:p>
              </w:tc>
              <w:tc>
                <w:tcPr>
                  <w:tcW w:w="480" w:type="pct"/>
                  <w:tcBorders>
                    <w:tl2br w:val="nil"/>
                    <w:tr2bl w:val="nil"/>
                  </w:tcBorders>
                  <w:shd w:val="clear" w:color="auto" w:fill="auto"/>
                  <w:noWrap/>
                  <w:tcMar>
                    <w:top w:w="12" w:type="dxa"/>
                    <w:left w:w="12" w:type="dxa"/>
                    <w:right w:w="12" w:type="dxa"/>
                  </w:tcMar>
                  <w:vAlign w:val="center"/>
                </w:tcPr>
                <w:p w14:paraId="421AF2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b w:val="0"/>
                      <w:bCs/>
                      <w:color w:val="auto"/>
                      <w:sz w:val="18"/>
                      <w:szCs w:val="18"/>
                      <w:highlight w:val="none"/>
                      <w:lang w:val="en-US" w:eastAsia="zh-CN"/>
                    </w:rPr>
                    <w:t>瓶</w:t>
                  </w:r>
                </w:p>
              </w:tc>
              <w:tc>
                <w:tcPr>
                  <w:tcW w:w="1238" w:type="pct"/>
                  <w:tcBorders>
                    <w:tl2br w:val="nil"/>
                    <w:tr2bl w:val="nil"/>
                  </w:tcBorders>
                  <w:shd w:val="clear" w:color="auto" w:fill="auto"/>
                  <w:noWrap/>
                  <w:tcMar>
                    <w:top w:w="12" w:type="dxa"/>
                    <w:left w:w="12" w:type="dxa"/>
                    <w:right w:w="12" w:type="dxa"/>
                  </w:tcMar>
                  <w:vAlign w:val="center"/>
                </w:tcPr>
                <w:p w14:paraId="1D87E5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500ml/瓶</w:t>
                  </w:r>
                </w:p>
              </w:tc>
              <w:tc>
                <w:tcPr>
                  <w:tcW w:w="691" w:type="pct"/>
                  <w:tcBorders>
                    <w:tl2br w:val="nil"/>
                    <w:tr2bl w:val="nil"/>
                  </w:tcBorders>
                  <w:shd w:val="clear" w:color="auto" w:fill="auto"/>
                  <w:noWrap/>
                  <w:tcMar>
                    <w:top w:w="12" w:type="dxa"/>
                    <w:left w:w="12" w:type="dxa"/>
                    <w:right w:w="12" w:type="dxa"/>
                  </w:tcMar>
                  <w:vAlign w:val="center"/>
                </w:tcPr>
                <w:p w14:paraId="43A376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bidi="ar"/>
                    </w:rPr>
                  </w:pPr>
                  <w:r>
                    <w:rPr>
                      <w:rFonts w:hint="default" w:ascii="Times New Roman" w:hAnsi="Times New Roman" w:eastAsia="宋体" w:cs="Times New Roman"/>
                      <w:color w:val="auto"/>
                      <w:kern w:val="0"/>
                      <w:sz w:val="18"/>
                      <w:szCs w:val="18"/>
                      <w:lang w:val="en-US" w:eastAsia="zh-CN" w:bidi="ar"/>
                    </w:rPr>
                    <w:t>100</w:t>
                  </w:r>
                </w:p>
              </w:tc>
            </w:tr>
            <w:tr w14:paraId="682E7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60490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95%乙醇</w:t>
                  </w:r>
                </w:p>
              </w:tc>
              <w:tc>
                <w:tcPr>
                  <w:tcW w:w="480" w:type="pct"/>
                  <w:tcBorders>
                    <w:tl2br w:val="nil"/>
                    <w:tr2bl w:val="nil"/>
                  </w:tcBorders>
                  <w:shd w:val="clear" w:color="auto" w:fill="auto"/>
                  <w:noWrap/>
                  <w:tcMar>
                    <w:top w:w="12" w:type="dxa"/>
                    <w:left w:w="12" w:type="dxa"/>
                    <w:right w:w="12" w:type="dxa"/>
                  </w:tcMar>
                  <w:vAlign w:val="center"/>
                </w:tcPr>
                <w:p w14:paraId="20D59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瓶</w:t>
                  </w:r>
                </w:p>
              </w:tc>
              <w:tc>
                <w:tcPr>
                  <w:tcW w:w="1238" w:type="pct"/>
                  <w:tcBorders>
                    <w:tl2br w:val="nil"/>
                    <w:tr2bl w:val="nil"/>
                  </w:tcBorders>
                  <w:shd w:val="clear" w:color="auto" w:fill="auto"/>
                  <w:noWrap/>
                  <w:tcMar>
                    <w:top w:w="12" w:type="dxa"/>
                    <w:left w:w="12" w:type="dxa"/>
                    <w:right w:w="12" w:type="dxa"/>
                  </w:tcMar>
                  <w:vAlign w:val="center"/>
                </w:tcPr>
                <w:p w14:paraId="3871D5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500ml/瓶</w:t>
                  </w:r>
                </w:p>
              </w:tc>
              <w:tc>
                <w:tcPr>
                  <w:tcW w:w="691" w:type="pct"/>
                  <w:tcBorders>
                    <w:tl2br w:val="nil"/>
                    <w:tr2bl w:val="nil"/>
                  </w:tcBorders>
                  <w:shd w:val="clear" w:color="auto" w:fill="auto"/>
                  <w:noWrap/>
                  <w:tcMar>
                    <w:top w:w="12" w:type="dxa"/>
                    <w:left w:w="12" w:type="dxa"/>
                    <w:right w:w="12" w:type="dxa"/>
                  </w:tcMar>
                  <w:vAlign w:val="center"/>
                </w:tcPr>
                <w:p w14:paraId="7C6FA7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100</w:t>
                  </w:r>
                </w:p>
              </w:tc>
            </w:tr>
            <w:tr w14:paraId="42CF8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074C3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异氟烷</w:t>
                  </w:r>
                </w:p>
              </w:tc>
              <w:tc>
                <w:tcPr>
                  <w:tcW w:w="480" w:type="pct"/>
                  <w:tcBorders>
                    <w:tl2br w:val="nil"/>
                    <w:tr2bl w:val="nil"/>
                  </w:tcBorders>
                  <w:shd w:val="clear" w:color="auto" w:fill="auto"/>
                  <w:noWrap/>
                  <w:tcMar>
                    <w:top w:w="12" w:type="dxa"/>
                    <w:left w:w="12" w:type="dxa"/>
                    <w:right w:w="12" w:type="dxa"/>
                  </w:tcMar>
                  <w:vAlign w:val="center"/>
                </w:tcPr>
                <w:p w14:paraId="2510A3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瓶</w:t>
                  </w:r>
                </w:p>
              </w:tc>
              <w:tc>
                <w:tcPr>
                  <w:tcW w:w="1238" w:type="pct"/>
                  <w:tcBorders>
                    <w:tl2br w:val="nil"/>
                    <w:tr2bl w:val="nil"/>
                  </w:tcBorders>
                  <w:shd w:val="clear" w:color="auto" w:fill="auto"/>
                  <w:noWrap/>
                  <w:tcMar>
                    <w:top w:w="12" w:type="dxa"/>
                    <w:left w:w="12" w:type="dxa"/>
                    <w:right w:w="12" w:type="dxa"/>
                  </w:tcMar>
                  <w:vAlign w:val="center"/>
                </w:tcPr>
                <w:p w14:paraId="4468A3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250ml/瓶</w:t>
                  </w:r>
                </w:p>
              </w:tc>
              <w:tc>
                <w:tcPr>
                  <w:tcW w:w="691" w:type="pct"/>
                  <w:tcBorders>
                    <w:tl2br w:val="nil"/>
                    <w:tr2bl w:val="nil"/>
                  </w:tcBorders>
                  <w:shd w:val="clear" w:color="auto" w:fill="auto"/>
                  <w:noWrap/>
                  <w:tcMar>
                    <w:top w:w="12" w:type="dxa"/>
                    <w:left w:w="12" w:type="dxa"/>
                    <w:right w:w="12" w:type="dxa"/>
                  </w:tcMar>
                  <w:vAlign w:val="center"/>
                </w:tcPr>
                <w:p w14:paraId="401CB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50</w:t>
                  </w:r>
                </w:p>
              </w:tc>
            </w:tr>
            <w:tr w14:paraId="1C053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BA6D3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3%戊巴比妥钠</w:t>
                  </w:r>
                </w:p>
              </w:tc>
              <w:tc>
                <w:tcPr>
                  <w:tcW w:w="480" w:type="pct"/>
                  <w:tcBorders>
                    <w:tl2br w:val="nil"/>
                    <w:tr2bl w:val="nil"/>
                  </w:tcBorders>
                  <w:shd w:val="clear" w:color="auto" w:fill="auto"/>
                  <w:noWrap/>
                  <w:tcMar>
                    <w:top w:w="12" w:type="dxa"/>
                    <w:left w:w="12" w:type="dxa"/>
                    <w:right w:w="12" w:type="dxa"/>
                  </w:tcMar>
                  <w:vAlign w:val="center"/>
                </w:tcPr>
                <w:p w14:paraId="1E2CC2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瓶</w:t>
                  </w:r>
                </w:p>
              </w:tc>
              <w:tc>
                <w:tcPr>
                  <w:tcW w:w="1238" w:type="pct"/>
                  <w:tcBorders>
                    <w:tl2br w:val="nil"/>
                    <w:tr2bl w:val="nil"/>
                  </w:tcBorders>
                  <w:shd w:val="clear" w:color="auto" w:fill="auto"/>
                  <w:noWrap/>
                  <w:tcMar>
                    <w:top w:w="12" w:type="dxa"/>
                    <w:left w:w="12" w:type="dxa"/>
                    <w:right w:w="12" w:type="dxa"/>
                  </w:tcMar>
                  <w:vAlign w:val="center"/>
                </w:tcPr>
                <w:p w14:paraId="3D741B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250ml/瓶</w:t>
                  </w:r>
                </w:p>
              </w:tc>
              <w:tc>
                <w:tcPr>
                  <w:tcW w:w="691" w:type="pct"/>
                  <w:tcBorders>
                    <w:tl2br w:val="nil"/>
                    <w:tr2bl w:val="nil"/>
                  </w:tcBorders>
                  <w:shd w:val="clear" w:color="auto" w:fill="auto"/>
                  <w:noWrap/>
                  <w:tcMar>
                    <w:top w:w="12" w:type="dxa"/>
                    <w:left w:w="12" w:type="dxa"/>
                    <w:right w:w="12" w:type="dxa"/>
                  </w:tcMar>
                  <w:vAlign w:val="center"/>
                </w:tcPr>
                <w:p w14:paraId="31F9A6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50</w:t>
                  </w:r>
                </w:p>
              </w:tc>
            </w:tr>
            <w:tr w14:paraId="2B5CC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7923C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水合氯醛</w:t>
                  </w:r>
                </w:p>
              </w:tc>
              <w:tc>
                <w:tcPr>
                  <w:tcW w:w="480" w:type="pct"/>
                  <w:tcBorders>
                    <w:tl2br w:val="nil"/>
                    <w:tr2bl w:val="nil"/>
                  </w:tcBorders>
                  <w:shd w:val="clear" w:color="auto" w:fill="auto"/>
                  <w:noWrap/>
                  <w:tcMar>
                    <w:top w:w="12" w:type="dxa"/>
                    <w:left w:w="12" w:type="dxa"/>
                    <w:right w:w="12" w:type="dxa"/>
                  </w:tcMar>
                  <w:vAlign w:val="center"/>
                </w:tcPr>
                <w:p w14:paraId="7FC345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袋</w:t>
                  </w:r>
                </w:p>
              </w:tc>
              <w:tc>
                <w:tcPr>
                  <w:tcW w:w="1238" w:type="pct"/>
                  <w:tcBorders>
                    <w:tl2br w:val="nil"/>
                    <w:tr2bl w:val="nil"/>
                  </w:tcBorders>
                  <w:shd w:val="clear" w:color="auto" w:fill="auto"/>
                  <w:noWrap/>
                  <w:tcMar>
                    <w:top w:w="12" w:type="dxa"/>
                    <w:left w:w="12" w:type="dxa"/>
                    <w:right w:w="12" w:type="dxa"/>
                  </w:tcMar>
                  <w:vAlign w:val="center"/>
                </w:tcPr>
                <w:p w14:paraId="1097D1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25kg/袋</w:t>
                  </w:r>
                </w:p>
              </w:tc>
              <w:tc>
                <w:tcPr>
                  <w:tcW w:w="691" w:type="pct"/>
                  <w:tcBorders>
                    <w:tl2br w:val="nil"/>
                    <w:tr2bl w:val="nil"/>
                  </w:tcBorders>
                  <w:shd w:val="clear" w:color="auto" w:fill="auto"/>
                  <w:noWrap/>
                  <w:tcMar>
                    <w:top w:w="12" w:type="dxa"/>
                    <w:left w:w="12" w:type="dxa"/>
                    <w:right w:w="12" w:type="dxa"/>
                  </w:tcMar>
                  <w:vAlign w:val="center"/>
                </w:tcPr>
                <w:p w14:paraId="2BD7A9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15</w:t>
                  </w:r>
                </w:p>
              </w:tc>
            </w:tr>
            <w:tr w14:paraId="2C3AF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CC2FC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十二烷基硫酸钠</w:t>
                  </w:r>
                </w:p>
              </w:tc>
              <w:tc>
                <w:tcPr>
                  <w:tcW w:w="480" w:type="pct"/>
                  <w:tcBorders>
                    <w:tl2br w:val="nil"/>
                    <w:tr2bl w:val="nil"/>
                  </w:tcBorders>
                  <w:shd w:val="clear" w:color="auto" w:fill="auto"/>
                  <w:noWrap/>
                  <w:tcMar>
                    <w:top w:w="12" w:type="dxa"/>
                    <w:left w:w="12" w:type="dxa"/>
                    <w:right w:w="12" w:type="dxa"/>
                  </w:tcMar>
                  <w:vAlign w:val="center"/>
                </w:tcPr>
                <w:p w14:paraId="0FC541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瓶</w:t>
                  </w:r>
                </w:p>
              </w:tc>
              <w:tc>
                <w:tcPr>
                  <w:tcW w:w="1238" w:type="pct"/>
                  <w:tcBorders>
                    <w:tl2br w:val="nil"/>
                    <w:tr2bl w:val="nil"/>
                  </w:tcBorders>
                  <w:shd w:val="clear" w:color="auto" w:fill="auto"/>
                  <w:noWrap/>
                  <w:tcMar>
                    <w:top w:w="12" w:type="dxa"/>
                    <w:left w:w="12" w:type="dxa"/>
                    <w:right w:w="12" w:type="dxa"/>
                  </w:tcMar>
                  <w:vAlign w:val="center"/>
                </w:tcPr>
                <w:p w14:paraId="424CD4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10</w:t>
                  </w:r>
                  <w:r>
                    <w:rPr>
                      <w:rFonts w:hint="default" w:ascii="Times New Roman" w:hAnsi="Times New Roman" w:eastAsia="宋体" w:cs="Times New Roman"/>
                      <w:color w:val="auto"/>
                      <w:kern w:val="0"/>
                      <w:sz w:val="18"/>
                      <w:szCs w:val="18"/>
                      <w:lang w:val="en-US" w:eastAsia="zh-CN" w:bidi="ar"/>
                    </w:rPr>
                    <w:t>kg/袋</w:t>
                  </w:r>
                </w:p>
              </w:tc>
              <w:tc>
                <w:tcPr>
                  <w:tcW w:w="691" w:type="pct"/>
                  <w:tcBorders>
                    <w:tl2br w:val="nil"/>
                    <w:tr2bl w:val="nil"/>
                  </w:tcBorders>
                  <w:shd w:val="clear" w:color="auto" w:fill="auto"/>
                  <w:noWrap/>
                  <w:tcMar>
                    <w:top w:w="12" w:type="dxa"/>
                    <w:left w:w="12" w:type="dxa"/>
                    <w:right w:w="12" w:type="dxa"/>
                  </w:tcMar>
                  <w:vAlign w:val="center"/>
                </w:tcPr>
                <w:p w14:paraId="5141ED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55</w:t>
                  </w:r>
                </w:p>
              </w:tc>
            </w:tr>
            <w:tr w14:paraId="74191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4945C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三（羟甲基）氨基甲烷</w:t>
                  </w:r>
                </w:p>
              </w:tc>
              <w:tc>
                <w:tcPr>
                  <w:tcW w:w="480" w:type="pct"/>
                  <w:tcBorders>
                    <w:tl2br w:val="nil"/>
                    <w:tr2bl w:val="nil"/>
                  </w:tcBorders>
                  <w:shd w:val="clear" w:color="auto" w:fill="auto"/>
                  <w:noWrap/>
                  <w:tcMar>
                    <w:top w:w="12" w:type="dxa"/>
                    <w:left w:w="12" w:type="dxa"/>
                    <w:right w:w="12" w:type="dxa"/>
                  </w:tcMar>
                  <w:vAlign w:val="center"/>
                </w:tcPr>
                <w:p w14:paraId="431341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袋</w:t>
                  </w:r>
                </w:p>
              </w:tc>
              <w:tc>
                <w:tcPr>
                  <w:tcW w:w="1238" w:type="pct"/>
                  <w:tcBorders>
                    <w:tl2br w:val="nil"/>
                    <w:tr2bl w:val="nil"/>
                  </w:tcBorders>
                  <w:shd w:val="clear" w:color="auto" w:fill="auto"/>
                  <w:noWrap/>
                  <w:tcMar>
                    <w:top w:w="12" w:type="dxa"/>
                    <w:left w:w="12" w:type="dxa"/>
                    <w:right w:w="12" w:type="dxa"/>
                  </w:tcMar>
                  <w:vAlign w:val="center"/>
                </w:tcPr>
                <w:p w14:paraId="24623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25kg/袋</w:t>
                  </w:r>
                </w:p>
              </w:tc>
              <w:tc>
                <w:tcPr>
                  <w:tcW w:w="691" w:type="pct"/>
                  <w:tcBorders>
                    <w:tl2br w:val="nil"/>
                    <w:tr2bl w:val="nil"/>
                  </w:tcBorders>
                  <w:shd w:val="clear" w:color="auto" w:fill="auto"/>
                  <w:noWrap/>
                  <w:tcMar>
                    <w:top w:w="12" w:type="dxa"/>
                    <w:left w:w="12" w:type="dxa"/>
                    <w:right w:w="12" w:type="dxa"/>
                  </w:tcMar>
                  <w:vAlign w:val="center"/>
                </w:tcPr>
                <w:p w14:paraId="6D2A5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10</w:t>
                  </w:r>
                </w:p>
              </w:tc>
            </w:tr>
            <w:tr w14:paraId="0A1E6F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2D4EAE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乙基苯基聚乙二醇</w:t>
                  </w:r>
                </w:p>
              </w:tc>
              <w:tc>
                <w:tcPr>
                  <w:tcW w:w="480" w:type="pct"/>
                  <w:tcBorders>
                    <w:tl2br w:val="nil"/>
                    <w:tr2bl w:val="nil"/>
                  </w:tcBorders>
                  <w:shd w:val="clear" w:color="auto" w:fill="auto"/>
                  <w:noWrap/>
                  <w:tcMar>
                    <w:top w:w="12" w:type="dxa"/>
                    <w:left w:w="12" w:type="dxa"/>
                    <w:right w:w="12" w:type="dxa"/>
                  </w:tcMar>
                  <w:vAlign w:val="center"/>
                </w:tcPr>
                <w:p w14:paraId="1E22BA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瓶</w:t>
                  </w:r>
                </w:p>
              </w:tc>
              <w:tc>
                <w:tcPr>
                  <w:tcW w:w="1238" w:type="pct"/>
                  <w:tcBorders>
                    <w:tl2br w:val="nil"/>
                    <w:tr2bl w:val="nil"/>
                  </w:tcBorders>
                  <w:shd w:val="clear" w:color="auto" w:fill="auto"/>
                  <w:noWrap/>
                  <w:tcMar>
                    <w:top w:w="12" w:type="dxa"/>
                    <w:left w:w="12" w:type="dxa"/>
                    <w:right w:w="12" w:type="dxa"/>
                  </w:tcMar>
                  <w:vAlign w:val="center"/>
                </w:tcPr>
                <w:p w14:paraId="63C3D7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500ml/瓶</w:t>
                  </w:r>
                </w:p>
              </w:tc>
              <w:tc>
                <w:tcPr>
                  <w:tcW w:w="691" w:type="pct"/>
                  <w:tcBorders>
                    <w:tl2br w:val="nil"/>
                    <w:tr2bl w:val="nil"/>
                  </w:tcBorders>
                  <w:shd w:val="clear" w:color="auto" w:fill="auto"/>
                  <w:noWrap/>
                  <w:tcMar>
                    <w:top w:w="12" w:type="dxa"/>
                    <w:left w:w="12" w:type="dxa"/>
                    <w:right w:w="12" w:type="dxa"/>
                  </w:tcMar>
                  <w:vAlign w:val="center"/>
                </w:tcPr>
                <w:p w14:paraId="7E0735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100</w:t>
                  </w:r>
                </w:p>
              </w:tc>
            </w:tr>
            <w:tr w14:paraId="28402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2AEC7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氯化钠</w:t>
                  </w:r>
                </w:p>
              </w:tc>
              <w:tc>
                <w:tcPr>
                  <w:tcW w:w="480" w:type="pct"/>
                  <w:tcBorders>
                    <w:tl2br w:val="nil"/>
                    <w:tr2bl w:val="nil"/>
                  </w:tcBorders>
                  <w:shd w:val="clear" w:color="auto" w:fill="auto"/>
                  <w:noWrap/>
                  <w:tcMar>
                    <w:top w:w="12" w:type="dxa"/>
                    <w:left w:w="12" w:type="dxa"/>
                    <w:right w:w="12" w:type="dxa"/>
                  </w:tcMar>
                  <w:vAlign w:val="center"/>
                </w:tcPr>
                <w:p w14:paraId="4F43CA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袋</w:t>
                  </w:r>
                </w:p>
              </w:tc>
              <w:tc>
                <w:tcPr>
                  <w:tcW w:w="1238" w:type="pct"/>
                  <w:tcBorders>
                    <w:tl2br w:val="nil"/>
                    <w:tr2bl w:val="nil"/>
                  </w:tcBorders>
                  <w:shd w:val="clear" w:color="auto" w:fill="auto"/>
                  <w:noWrap/>
                  <w:tcMar>
                    <w:top w:w="12" w:type="dxa"/>
                    <w:left w:w="12" w:type="dxa"/>
                    <w:right w:w="12" w:type="dxa"/>
                  </w:tcMar>
                  <w:vAlign w:val="center"/>
                </w:tcPr>
                <w:p w14:paraId="494D37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25kg/袋</w:t>
                  </w:r>
                </w:p>
              </w:tc>
              <w:tc>
                <w:tcPr>
                  <w:tcW w:w="691" w:type="pct"/>
                  <w:tcBorders>
                    <w:tl2br w:val="nil"/>
                    <w:tr2bl w:val="nil"/>
                  </w:tcBorders>
                  <w:shd w:val="clear" w:color="auto" w:fill="auto"/>
                  <w:noWrap/>
                  <w:tcMar>
                    <w:top w:w="12" w:type="dxa"/>
                    <w:left w:w="12" w:type="dxa"/>
                    <w:right w:w="12" w:type="dxa"/>
                  </w:tcMar>
                  <w:vAlign w:val="center"/>
                </w:tcPr>
                <w:p w14:paraId="19D74B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30</w:t>
                  </w:r>
                </w:p>
              </w:tc>
            </w:tr>
            <w:tr w14:paraId="7791A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635623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氯化钾</w:t>
                  </w:r>
                </w:p>
              </w:tc>
              <w:tc>
                <w:tcPr>
                  <w:tcW w:w="480" w:type="pct"/>
                  <w:tcBorders>
                    <w:tl2br w:val="nil"/>
                    <w:tr2bl w:val="nil"/>
                  </w:tcBorders>
                  <w:shd w:val="clear" w:color="auto" w:fill="auto"/>
                  <w:noWrap/>
                  <w:tcMar>
                    <w:top w:w="12" w:type="dxa"/>
                    <w:left w:w="12" w:type="dxa"/>
                    <w:right w:w="12" w:type="dxa"/>
                  </w:tcMar>
                  <w:vAlign w:val="center"/>
                </w:tcPr>
                <w:p w14:paraId="16CB19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袋</w:t>
                  </w:r>
                </w:p>
              </w:tc>
              <w:tc>
                <w:tcPr>
                  <w:tcW w:w="1238" w:type="pct"/>
                  <w:tcBorders>
                    <w:tl2br w:val="nil"/>
                    <w:tr2bl w:val="nil"/>
                  </w:tcBorders>
                  <w:shd w:val="clear" w:color="auto" w:fill="auto"/>
                  <w:noWrap/>
                  <w:tcMar>
                    <w:top w:w="12" w:type="dxa"/>
                    <w:left w:w="12" w:type="dxa"/>
                    <w:right w:w="12" w:type="dxa"/>
                  </w:tcMar>
                  <w:vAlign w:val="center"/>
                </w:tcPr>
                <w:p w14:paraId="6A2CF1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25kg/袋</w:t>
                  </w:r>
                </w:p>
              </w:tc>
              <w:tc>
                <w:tcPr>
                  <w:tcW w:w="691" w:type="pct"/>
                  <w:tcBorders>
                    <w:tl2br w:val="nil"/>
                    <w:tr2bl w:val="nil"/>
                  </w:tcBorders>
                  <w:shd w:val="clear" w:color="auto" w:fill="auto"/>
                  <w:noWrap/>
                  <w:tcMar>
                    <w:top w:w="12" w:type="dxa"/>
                    <w:left w:w="12" w:type="dxa"/>
                    <w:right w:w="12" w:type="dxa"/>
                  </w:tcMar>
                  <w:vAlign w:val="center"/>
                </w:tcPr>
                <w:p w14:paraId="6302F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5</w:t>
                  </w:r>
                </w:p>
              </w:tc>
            </w:tr>
            <w:tr w14:paraId="3805C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3679E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磷酸氢二钠</w:t>
                  </w:r>
                </w:p>
              </w:tc>
              <w:tc>
                <w:tcPr>
                  <w:tcW w:w="480" w:type="pct"/>
                  <w:tcBorders>
                    <w:tl2br w:val="nil"/>
                    <w:tr2bl w:val="nil"/>
                  </w:tcBorders>
                  <w:shd w:val="clear" w:color="auto" w:fill="auto"/>
                  <w:noWrap/>
                  <w:tcMar>
                    <w:top w:w="12" w:type="dxa"/>
                    <w:left w:w="12" w:type="dxa"/>
                    <w:right w:w="12" w:type="dxa"/>
                  </w:tcMar>
                  <w:vAlign w:val="center"/>
                </w:tcPr>
                <w:p w14:paraId="40D715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袋</w:t>
                  </w:r>
                </w:p>
              </w:tc>
              <w:tc>
                <w:tcPr>
                  <w:tcW w:w="1238" w:type="pct"/>
                  <w:tcBorders>
                    <w:tl2br w:val="nil"/>
                    <w:tr2bl w:val="nil"/>
                  </w:tcBorders>
                  <w:shd w:val="clear" w:color="auto" w:fill="auto"/>
                  <w:noWrap/>
                  <w:tcMar>
                    <w:top w:w="12" w:type="dxa"/>
                    <w:left w:w="12" w:type="dxa"/>
                    <w:right w:w="12" w:type="dxa"/>
                  </w:tcMar>
                  <w:vAlign w:val="center"/>
                </w:tcPr>
                <w:p w14:paraId="2997B6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25kg/袋</w:t>
                  </w:r>
                </w:p>
              </w:tc>
              <w:tc>
                <w:tcPr>
                  <w:tcW w:w="691" w:type="pct"/>
                  <w:tcBorders>
                    <w:tl2br w:val="nil"/>
                    <w:tr2bl w:val="nil"/>
                  </w:tcBorders>
                  <w:shd w:val="clear" w:color="auto" w:fill="auto"/>
                  <w:noWrap/>
                  <w:tcMar>
                    <w:top w:w="12" w:type="dxa"/>
                    <w:left w:w="12" w:type="dxa"/>
                    <w:right w:w="12" w:type="dxa"/>
                  </w:tcMar>
                  <w:vAlign w:val="center"/>
                </w:tcPr>
                <w:p w14:paraId="76A077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20</w:t>
                  </w:r>
                </w:p>
              </w:tc>
            </w:tr>
            <w:tr w14:paraId="6C078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499688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磷酸二氢钾</w:t>
                  </w:r>
                </w:p>
              </w:tc>
              <w:tc>
                <w:tcPr>
                  <w:tcW w:w="480" w:type="pct"/>
                  <w:tcBorders>
                    <w:tl2br w:val="nil"/>
                    <w:tr2bl w:val="nil"/>
                  </w:tcBorders>
                  <w:shd w:val="clear" w:color="auto" w:fill="auto"/>
                  <w:noWrap/>
                  <w:tcMar>
                    <w:top w:w="12" w:type="dxa"/>
                    <w:left w:w="12" w:type="dxa"/>
                    <w:right w:w="12" w:type="dxa"/>
                  </w:tcMar>
                  <w:vAlign w:val="center"/>
                </w:tcPr>
                <w:p w14:paraId="2ADBAB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袋</w:t>
                  </w:r>
                </w:p>
              </w:tc>
              <w:tc>
                <w:tcPr>
                  <w:tcW w:w="1238" w:type="pct"/>
                  <w:tcBorders>
                    <w:tl2br w:val="nil"/>
                    <w:tr2bl w:val="nil"/>
                  </w:tcBorders>
                  <w:shd w:val="clear" w:color="auto" w:fill="auto"/>
                  <w:noWrap/>
                  <w:tcMar>
                    <w:top w:w="12" w:type="dxa"/>
                    <w:left w:w="12" w:type="dxa"/>
                    <w:right w:w="12" w:type="dxa"/>
                  </w:tcMar>
                  <w:vAlign w:val="center"/>
                </w:tcPr>
                <w:p w14:paraId="4C7916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25kg/袋</w:t>
                  </w:r>
                </w:p>
              </w:tc>
              <w:tc>
                <w:tcPr>
                  <w:tcW w:w="691" w:type="pct"/>
                  <w:tcBorders>
                    <w:tl2br w:val="nil"/>
                    <w:tr2bl w:val="nil"/>
                  </w:tcBorders>
                  <w:shd w:val="clear" w:color="auto" w:fill="auto"/>
                  <w:noWrap/>
                  <w:tcMar>
                    <w:top w:w="12" w:type="dxa"/>
                    <w:left w:w="12" w:type="dxa"/>
                    <w:right w:w="12" w:type="dxa"/>
                  </w:tcMar>
                  <w:vAlign w:val="center"/>
                </w:tcPr>
                <w:p w14:paraId="73A3F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w:t>
                  </w:r>
                </w:p>
              </w:tc>
            </w:tr>
            <w:tr w14:paraId="457E0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04B738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自来水</w:t>
                  </w:r>
                </w:p>
              </w:tc>
              <w:tc>
                <w:tcPr>
                  <w:tcW w:w="480" w:type="pct"/>
                  <w:tcBorders>
                    <w:tl2br w:val="nil"/>
                    <w:tr2bl w:val="nil"/>
                  </w:tcBorders>
                  <w:shd w:val="clear" w:color="auto" w:fill="auto"/>
                  <w:noWrap/>
                  <w:tcMar>
                    <w:top w:w="12" w:type="dxa"/>
                    <w:left w:w="12" w:type="dxa"/>
                    <w:right w:w="12" w:type="dxa"/>
                  </w:tcMar>
                  <w:vAlign w:val="center"/>
                </w:tcPr>
                <w:p w14:paraId="330782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吨</w:t>
                  </w:r>
                </w:p>
              </w:tc>
              <w:tc>
                <w:tcPr>
                  <w:tcW w:w="1238" w:type="pct"/>
                  <w:tcBorders>
                    <w:tl2br w:val="nil"/>
                    <w:tr2bl w:val="nil"/>
                  </w:tcBorders>
                  <w:shd w:val="clear" w:color="auto" w:fill="auto"/>
                  <w:noWrap/>
                  <w:tcMar>
                    <w:top w:w="12" w:type="dxa"/>
                    <w:left w:w="12" w:type="dxa"/>
                    <w:right w:w="12" w:type="dxa"/>
                  </w:tcMar>
                  <w:vAlign w:val="center"/>
                </w:tcPr>
                <w:p w14:paraId="5F101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市政自来水管网</w:t>
                  </w:r>
                </w:p>
              </w:tc>
              <w:tc>
                <w:tcPr>
                  <w:tcW w:w="691" w:type="pct"/>
                  <w:tcBorders>
                    <w:tl2br w:val="nil"/>
                    <w:tr2bl w:val="nil"/>
                  </w:tcBorders>
                  <w:shd w:val="clear" w:color="auto" w:fill="auto"/>
                  <w:noWrap/>
                  <w:tcMar>
                    <w:top w:w="12" w:type="dxa"/>
                    <w:left w:w="12" w:type="dxa"/>
                    <w:right w:w="12" w:type="dxa"/>
                  </w:tcMar>
                  <w:vAlign w:val="center"/>
                </w:tcPr>
                <w:p w14:paraId="515C16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1770.9</w:t>
                  </w:r>
                </w:p>
              </w:tc>
            </w:tr>
            <w:tr w14:paraId="11D3B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2590" w:type="pct"/>
                  <w:tcBorders>
                    <w:tl2br w:val="nil"/>
                    <w:tr2bl w:val="nil"/>
                  </w:tcBorders>
                  <w:shd w:val="clear" w:color="auto" w:fill="auto"/>
                  <w:noWrap/>
                  <w:tcMar>
                    <w:top w:w="12" w:type="dxa"/>
                    <w:left w:w="12" w:type="dxa"/>
                    <w:right w:w="12" w:type="dxa"/>
                  </w:tcMar>
                  <w:vAlign w:val="center"/>
                </w:tcPr>
                <w:p w14:paraId="7DA653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纯水</w:t>
                  </w:r>
                </w:p>
              </w:tc>
              <w:tc>
                <w:tcPr>
                  <w:tcW w:w="480" w:type="pct"/>
                  <w:tcBorders>
                    <w:tl2br w:val="nil"/>
                    <w:tr2bl w:val="nil"/>
                  </w:tcBorders>
                  <w:shd w:val="clear" w:color="auto" w:fill="auto"/>
                  <w:noWrap/>
                  <w:tcMar>
                    <w:top w:w="12" w:type="dxa"/>
                    <w:left w:w="12" w:type="dxa"/>
                    <w:right w:w="12" w:type="dxa"/>
                  </w:tcMar>
                  <w:vAlign w:val="center"/>
                </w:tcPr>
                <w:p w14:paraId="4007AD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吨</w:t>
                  </w:r>
                </w:p>
              </w:tc>
              <w:tc>
                <w:tcPr>
                  <w:tcW w:w="1238" w:type="pct"/>
                  <w:tcBorders>
                    <w:tl2br w:val="nil"/>
                    <w:tr2bl w:val="nil"/>
                  </w:tcBorders>
                  <w:shd w:val="clear" w:color="auto" w:fill="auto"/>
                  <w:noWrap/>
                  <w:tcMar>
                    <w:top w:w="12" w:type="dxa"/>
                    <w:left w:w="12" w:type="dxa"/>
                    <w:right w:w="12" w:type="dxa"/>
                  </w:tcMar>
                  <w:vAlign w:val="center"/>
                </w:tcPr>
                <w:p w14:paraId="450DC4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纯水制备机</w:t>
                  </w:r>
                </w:p>
              </w:tc>
              <w:tc>
                <w:tcPr>
                  <w:tcW w:w="691" w:type="pct"/>
                  <w:tcBorders>
                    <w:tl2br w:val="nil"/>
                    <w:tr2bl w:val="nil"/>
                  </w:tcBorders>
                  <w:shd w:val="clear" w:color="auto" w:fill="auto"/>
                  <w:noWrap/>
                  <w:tcMar>
                    <w:top w:w="12" w:type="dxa"/>
                    <w:left w:w="12" w:type="dxa"/>
                    <w:right w:w="12" w:type="dxa"/>
                  </w:tcMar>
                  <w:vAlign w:val="center"/>
                </w:tcPr>
                <w:p w14:paraId="33CEBE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663.6</w:t>
                  </w:r>
                </w:p>
              </w:tc>
            </w:tr>
          </w:tbl>
          <w:p w14:paraId="70EB88A6">
            <w:pPr>
              <w:keepNext w:val="0"/>
              <w:keepLines w:val="0"/>
              <w:suppressLineNumbers w:val="0"/>
              <w:adjustRightInd w:val="0"/>
              <w:snapToGrid w:val="0"/>
              <w:spacing w:before="156" w:beforeLines="50" w:beforeAutospacing="0" w:after="0" w:afterAutospacing="0" w:line="240" w:lineRule="auto"/>
              <w:ind w:left="0" w:righ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表2.1-</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 xml:space="preserve">  主要原辅材料理化性质一览表</w:t>
            </w:r>
          </w:p>
          <w:tbl>
            <w:tblPr>
              <w:tblStyle w:val="24"/>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31"/>
              <w:gridCol w:w="675"/>
              <w:gridCol w:w="725"/>
              <w:gridCol w:w="3476"/>
              <w:gridCol w:w="1535"/>
              <w:gridCol w:w="1535"/>
            </w:tblGrid>
            <w:tr w14:paraId="4D590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5" w:hRule="atLeast"/>
                <w:jc w:val="center"/>
              </w:trPr>
              <w:tc>
                <w:tcPr>
                  <w:tcW w:w="331" w:type="dxa"/>
                  <w:tcBorders>
                    <w:tl2br w:val="nil"/>
                    <w:tr2bl w:val="nil"/>
                  </w:tcBorders>
                  <w:noWrap w:val="0"/>
                  <w:vAlign w:val="center"/>
                </w:tcPr>
                <w:p w14:paraId="1352EA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color w:val="auto"/>
                      <w:sz w:val="18"/>
                      <w:szCs w:val="18"/>
                      <w:highlight w:val="none"/>
                    </w:rPr>
                  </w:pPr>
                  <w:r>
                    <w:rPr>
                      <w:rFonts w:hint="eastAsia"/>
                      <w:b/>
                      <w:color w:val="auto"/>
                      <w:sz w:val="18"/>
                      <w:szCs w:val="18"/>
                      <w:highlight w:val="none"/>
                    </w:rPr>
                    <w:t>序号</w:t>
                  </w:r>
                </w:p>
              </w:tc>
              <w:tc>
                <w:tcPr>
                  <w:tcW w:w="675" w:type="dxa"/>
                  <w:tcBorders>
                    <w:tl2br w:val="nil"/>
                    <w:tr2bl w:val="nil"/>
                  </w:tcBorders>
                  <w:noWrap w:val="0"/>
                  <w:vAlign w:val="center"/>
                </w:tcPr>
                <w:p w14:paraId="771EA3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color w:val="auto"/>
                      <w:sz w:val="18"/>
                      <w:szCs w:val="18"/>
                      <w:highlight w:val="none"/>
                    </w:rPr>
                  </w:pPr>
                  <w:r>
                    <w:rPr>
                      <w:rFonts w:hint="eastAsia"/>
                      <w:b/>
                      <w:color w:val="auto"/>
                      <w:sz w:val="18"/>
                      <w:szCs w:val="18"/>
                      <w:highlight w:val="none"/>
                    </w:rPr>
                    <w:t>名称</w:t>
                  </w:r>
                </w:p>
              </w:tc>
              <w:tc>
                <w:tcPr>
                  <w:tcW w:w="725" w:type="dxa"/>
                  <w:tcBorders>
                    <w:tl2br w:val="nil"/>
                    <w:tr2bl w:val="nil"/>
                  </w:tcBorders>
                  <w:noWrap w:val="0"/>
                  <w:vAlign w:val="center"/>
                </w:tcPr>
                <w:p w14:paraId="110DC6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
                      <w:color w:val="auto"/>
                      <w:sz w:val="18"/>
                      <w:szCs w:val="18"/>
                      <w:highlight w:val="none"/>
                      <w:lang w:val="en-US" w:eastAsia="zh-CN"/>
                    </w:rPr>
                  </w:pPr>
                  <w:r>
                    <w:rPr>
                      <w:rFonts w:hint="eastAsia"/>
                      <w:b/>
                      <w:color w:val="auto"/>
                      <w:sz w:val="18"/>
                      <w:szCs w:val="18"/>
                      <w:highlight w:val="none"/>
                      <w:lang w:val="en-US" w:eastAsia="zh-CN"/>
                    </w:rPr>
                    <w:t>CAS号</w:t>
                  </w:r>
                </w:p>
              </w:tc>
              <w:tc>
                <w:tcPr>
                  <w:tcW w:w="3476" w:type="dxa"/>
                  <w:tcBorders>
                    <w:tl2br w:val="nil"/>
                    <w:tr2bl w:val="nil"/>
                  </w:tcBorders>
                  <w:noWrap w:val="0"/>
                  <w:vAlign w:val="center"/>
                </w:tcPr>
                <w:p w14:paraId="2B2477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color w:val="auto"/>
                      <w:sz w:val="18"/>
                      <w:szCs w:val="18"/>
                      <w:highlight w:val="none"/>
                    </w:rPr>
                  </w:pPr>
                  <w:r>
                    <w:rPr>
                      <w:rFonts w:hint="eastAsia"/>
                      <w:b/>
                      <w:color w:val="auto"/>
                      <w:sz w:val="18"/>
                      <w:szCs w:val="18"/>
                      <w:highlight w:val="none"/>
                    </w:rPr>
                    <w:t>理化性质</w:t>
                  </w:r>
                </w:p>
              </w:tc>
              <w:tc>
                <w:tcPr>
                  <w:tcW w:w="1535" w:type="dxa"/>
                  <w:tcBorders>
                    <w:tl2br w:val="nil"/>
                    <w:tr2bl w:val="nil"/>
                  </w:tcBorders>
                  <w:noWrap w:val="0"/>
                  <w:vAlign w:val="center"/>
                </w:tcPr>
                <w:p w14:paraId="418DA2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color w:val="auto"/>
                      <w:sz w:val="18"/>
                      <w:szCs w:val="18"/>
                      <w:highlight w:val="none"/>
                      <w:lang w:eastAsia="zh-CN"/>
                    </w:rPr>
                  </w:pPr>
                  <w:r>
                    <w:rPr>
                      <w:rFonts w:hint="eastAsia"/>
                      <w:b/>
                      <w:color w:val="auto"/>
                      <w:sz w:val="18"/>
                      <w:szCs w:val="18"/>
                      <w:highlight w:val="none"/>
                      <w:lang w:eastAsia="zh-CN"/>
                    </w:rPr>
                    <w:t>燃爆性质</w:t>
                  </w:r>
                </w:p>
              </w:tc>
              <w:tc>
                <w:tcPr>
                  <w:tcW w:w="1535" w:type="dxa"/>
                  <w:tcBorders>
                    <w:tl2br w:val="nil"/>
                    <w:tr2bl w:val="nil"/>
                  </w:tcBorders>
                  <w:noWrap w:val="0"/>
                  <w:vAlign w:val="center"/>
                </w:tcPr>
                <w:p w14:paraId="441640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color w:val="auto"/>
                      <w:sz w:val="18"/>
                      <w:szCs w:val="18"/>
                      <w:highlight w:val="none"/>
                      <w:lang w:eastAsia="zh-CN"/>
                    </w:rPr>
                  </w:pPr>
                  <w:r>
                    <w:rPr>
                      <w:rFonts w:hint="eastAsia"/>
                      <w:b/>
                      <w:color w:val="auto"/>
                      <w:sz w:val="18"/>
                      <w:szCs w:val="18"/>
                      <w:highlight w:val="none"/>
                      <w:lang w:eastAsia="zh-CN"/>
                    </w:rPr>
                    <w:t>毒理毒性</w:t>
                  </w:r>
                </w:p>
              </w:tc>
            </w:tr>
            <w:tr w14:paraId="504EA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46" w:hRule="atLeast"/>
                <w:jc w:val="center"/>
              </w:trPr>
              <w:tc>
                <w:tcPr>
                  <w:tcW w:w="331" w:type="dxa"/>
                  <w:tcBorders>
                    <w:tl2br w:val="nil"/>
                    <w:tr2bl w:val="nil"/>
                  </w:tcBorders>
                  <w:noWrap w:val="0"/>
                  <w:vAlign w:val="center"/>
                </w:tcPr>
                <w:p w14:paraId="5A092D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p>
              </w:tc>
              <w:tc>
                <w:tcPr>
                  <w:tcW w:w="675" w:type="dxa"/>
                  <w:tcBorders>
                    <w:tl2br w:val="nil"/>
                    <w:tr2bl w:val="nil"/>
                  </w:tcBorders>
                  <w:noWrap w:val="0"/>
                  <w:vAlign w:val="center"/>
                </w:tcPr>
                <w:p w14:paraId="4BCE57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color w:val="auto"/>
                      <w:kern w:val="0"/>
                      <w:sz w:val="18"/>
                      <w:szCs w:val="18"/>
                      <w:lang w:bidi="ar"/>
                    </w:rPr>
                    <w:t>异丙醇</w:t>
                  </w:r>
                </w:p>
              </w:tc>
              <w:tc>
                <w:tcPr>
                  <w:tcW w:w="725" w:type="dxa"/>
                  <w:tcBorders>
                    <w:tl2br w:val="nil"/>
                    <w:tr2bl w:val="nil"/>
                  </w:tcBorders>
                  <w:noWrap w:val="0"/>
                  <w:vAlign w:val="center"/>
                </w:tcPr>
                <w:p w14:paraId="39B043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lang w:val="en-US" w:eastAsia="zh-CN"/>
                    </w:rPr>
                  </w:pPr>
                  <w:r>
                    <w:rPr>
                      <w:rFonts w:hint="eastAsia" w:eastAsia="宋体" w:cs="Times New Roman"/>
                      <w:bCs/>
                      <w:snapToGrid w:val="0"/>
                      <w:color w:val="auto"/>
                      <w:kern w:val="0"/>
                      <w:sz w:val="18"/>
                      <w:szCs w:val="18"/>
                      <w:highlight w:val="none"/>
                      <w:lang w:val="en-US" w:eastAsia="zh-CN"/>
                    </w:rPr>
                    <w:t>67-63-0</w:t>
                  </w:r>
                </w:p>
              </w:tc>
              <w:tc>
                <w:tcPr>
                  <w:tcW w:w="3476" w:type="dxa"/>
                  <w:tcBorders>
                    <w:tl2br w:val="nil"/>
                    <w:tr2bl w:val="nil"/>
                  </w:tcBorders>
                  <w:noWrap w:val="0"/>
                  <w:vAlign w:val="center"/>
                </w:tcPr>
                <w:p w14:paraId="4691EE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eastAsia" w:ascii="Times New Roman" w:hAnsi="Times New Roman" w:eastAsia="宋体" w:cs="Times New Roman"/>
                      <w:bCs/>
                      <w:snapToGrid w:val="0"/>
                      <w:color w:val="auto"/>
                      <w:kern w:val="0"/>
                      <w:sz w:val="18"/>
                      <w:szCs w:val="18"/>
                      <w:highlight w:val="none"/>
                      <w:lang w:eastAsia="zh-CN"/>
                    </w:rPr>
                    <w:t>又称</w:t>
                  </w:r>
                  <w:r>
                    <w:rPr>
                      <w:rFonts w:hint="eastAsia" w:ascii="Times New Roman" w:hAnsi="Times New Roman" w:eastAsia="宋体" w:cs="Times New Roman"/>
                      <w:bCs/>
                      <w:snapToGrid w:val="0"/>
                      <w:color w:val="auto"/>
                      <w:kern w:val="0"/>
                      <w:sz w:val="18"/>
                      <w:szCs w:val="18"/>
                      <w:highlight w:val="none"/>
                      <w:lang w:val="en-US" w:eastAsia="zh-CN"/>
                    </w:rPr>
                    <w:t>2</w:t>
                  </w:r>
                  <w:r>
                    <w:rPr>
                      <w:rFonts w:hint="eastAsia" w:cs="Times New Roman"/>
                      <w:bCs/>
                      <w:snapToGrid w:val="0"/>
                      <w:color w:val="auto"/>
                      <w:kern w:val="0"/>
                      <w:sz w:val="18"/>
                      <w:szCs w:val="18"/>
                      <w:highlight w:val="none"/>
                      <w:lang w:val="en-US" w:eastAsia="zh-CN"/>
                    </w:rPr>
                    <w:t>－</w:t>
                  </w:r>
                  <w:r>
                    <w:rPr>
                      <w:rFonts w:hint="eastAsia" w:ascii="Times New Roman" w:hAnsi="Times New Roman" w:eastAsia="宋体" w:cs="Times New Roman"/>
                      <w:bCs/>
                      <w:snapToGrid w:val="0"/>
                      <w:color w:val="auto"/>
                      <w:kern w:val="0"/>
                      <w:sz w:val="18"/>
                      <w:szCs w:val="18"/>
                      <w:highlight w:val="none"/>
                      <w:lang w:val="en-US" w:eastAsia="zh-CN"/>
                    </w:rPr>
                    <w:t>丙醇</w:t>
                  </w:r>
                  <w:r>
                    <w:rPr>
                      <w:rFonts w:hint="default" w:ascii="Times New Roman" w:hAnsi="Times New Roman" w:eastAsia="宋体" w:cs="Times New Roman"/>
                      <w:bCs/>
                      <w:snapToGrid w:val="0"/>
                      <w:color w:val="auto"/>
                      <w:kern w:val="0"/>
                      <w:sz w:val="18"/>
                      <w:szCs w:val="18"/>
                      <w:highlight w:val="none"/>
                    </w:rPr>
                    <w:t>无色透明液体，</w:t>
                  </w:r>
                  <w:r>
                    <w:rPr>
                      <w:rFonts w:hint="eastAsia" w:ascii="Times New Roman" w:hAnsi="Times New Roman" w:eastAsia="宋体" w:cs="Times New Roman"/>
                      <w:bCs/>
                      <w:snapToGrid w:val="0"/>
                      <w:color w:val="auto"/>
                      <w:kern w:val="0"/>
                      <w:sz w:val="18"/>
                      <w:szCs w:val="18"/>
                      <w:highlight w:val="none"/>
                      <w:lang w:eastAsia="zh-CN"/>
                    </w:rPr>
                    <w:t>有似乙醇及丙酮混合物的</w:t>
                  </w:r>
                  <w:r>
                    <w:rPr>
                      <w:rFonts w:hint="default" w:ascii="Times New Roman" w:hAnsi="Times New Roman" w:eastAsia="宋体" w:cs="Times New Roman"/>
                      <w:bCs/>
                      <w:snapToGrid w:val="0"/>
                      <w:color w:val="auto"/>
                      <w:kern w:val="0"/>
                      <w:sz w:val="18"/>
                      <w:szCs w:val="18"/>
                      <w:highlight w:val="none"/>
                    </w:rPr>
                    <w:t>气</w:t>
                  </w:r>
                  <w:r>
                    <w:rPr>
                      <w:rFonts w:hint="eastAsia" w:ascii="Times New Roman" w:hAnsi="Times New Roman" w:eastAsia="宋体" w:cs="Times New Roman"/>
                      <w:bCs/>
                      <w:snapToGrid w:val="0"/>
                      <w:color w:val="auto"/>
                      <w:kern w:val="0"/>
                      <w:sz w:val="18"/>
                      <w:szCs w:val="18"/>
                      <w:highlight w:val="none"/>
                      <w:lang w:eastAsia="zh-CN"/>
                    </w:rPr>
                    <w:t>体</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相对</w:t>
                  </w:r>
                  <w:r>
                    <w:rPr>
                      <w:rFonts w:hint="default" w:ascii="Times New Roman" w:hAnsi="Times New Roman" w:eastAsia="宋体" w:cs="Times New Roman"/>
                      <w:bCs/>
                      <w:snapToGrid w:val="0"/>
                      <w:color w:val="auto"/>
                      <w:kern w:val="0"/>
                      <w:sz w:val="18"/>
                      <w:szCs w:val="18"/>
                      <w:highlight w:val="none"/>
                    </w:rPr>
                    <w:t>密度0.79g/cm</w:t>
                  </w:r>
                  <w:r>
                    <w:rPr>
                      <w:rFonts w:hint="default" w:ascii="Times New Roman" w:hAnsi="Times New Roman" w:eastAsia="宋体" w:cs="Times New Roman"/>
                      <w:bCs/>
                      <w:snapToGrid w:val="0"/>
                      <w:color w:val="auto"/>
                      <w:kern w:val="0"/>
                      <w:sz w:val="18"/>
                      <w:szCs w:val="18"/>
                      <w:highlight w:val="none"/>
                      <w:vertAlign w:val="superscript"/>
                    </w:rPr>
                    <w:t>3</w:t>
                  </w:r>
                  <w:r>
                    <w:rPr>
                      <w:rFonts w:hint="default" w:ascii="Times New Roman" w:hAnsi="Times New Roman" w:eastAsia="宋体" w:cs="Times New Roman"/>
                      <w:bCs/>
                      <w:snapToGrid w:val="0"/>
                      <w:color w:val="auto"/>
                      <w:kern w:val="0"/>
                      <w:sz w:val="18"/>
                      <w:szCs w:val="18"/>
                      <w:highlight w:val="none"/>
                    </w:rPr>
                    <w:t>，沸点</w:t>
                  </w:r>
                  <w:r>
                    <w:rPr>
                      <w:rFonts w:hint="eastAsia" w:ascii="Times New Roman" w:hAnsi="Times New Roman" w:eastAsia="宋体" w:cs="Times New Roman"/>
                      <w:bCs/>
                      <w:snapToGrid w:val="0"/>
                      <w:color w:val="auto"/>
                      <w:kern w:val="0"/>
                      <w:sz w:val="18"/>
                      <w:szCs w:val="18"/>
                      <w:highlight w:val="none"/>
                      <w:lang w:val="en-US" w:eastAsia="zh-CN"/>
                    </w:rPr>
                    <w:t>80</w:t>
                  </w:r>
                  <w:r>
                    <w:rPr>
                      <w:rFonts w:hint="default" w:ascii="Times New Roman" w:hAnsi="Times New Roman" w:eastAsia="宋体" w:cs="Times New Roman"/>
                      <w:bCs/>
                      <w:snapToGrid w:val="0"/>
                      <w:color w:val="auto"/>
                      <w:kern w:val="0"/>
                      <w:sz w:val="18"/>
                      <w:szCs w:val="18"/>
                      <w:highlight w:val="none"/>
                    </w:rPr>
                    <w:t>.3℃，</w:t>
                  </w:r>
                  <w:r>
                    <w:rPr>
                      <w:rFonts w:hint="eastAsia" w:ascii="Times New Roman" w:hAnsi="Times New Roman" w:eastAsia="宋体" w:cs="Times New Roman"/>
                      <w:bCs/>
                      <w:snapToGrid w:val="0"/>
                      <w:color w:val="auto"/>
                      <w:kern w:val="0"/>
                      <w:sz w:val="18"/>
                      <w:szCs w:val="18"/>
                      <w:highlight w:val="none"/>
                      <w:lang w:eastAsia="zh-CN"/>
                    </w:rPr>
                    <w:t>闪点</w:t>
                  </w:r>
                  <w:r>
                    <w:rPr>
                      <w:rFonts w:hint="eastAsia" w:ascii="Times New Roman" w:hAnsi="Times New Roman" w:eastAsia="宋体" w:cs="Times New Roman"/>
                      <w:bCs/>
                      <w:snapToGrid w:val="0"/>
                      <w:color w:val="auto"/>
                      <w:kern w:val="0"/>
                      <w:sz w:val="18"/>
                      <w:szCs w:val="18"/>
                      <w:highlight w:val="none"/>
                      <w:lang w:val="en-US" w:eastAsia="zh-CN"/>
                    </w:rPr>
                    <w:t>12</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引燃温度</w:t>
                  </w:r>
                  <w:r>
                    <w:rPr>
                      <w:rFonts w:hint="eastAsia" w:ascii="Times New Roman" w:hAnsi="Times New Roman" w:eastAsia="宋体" w:cs="Times New Roman"/>
                      <w:bCs/>
                      <w:snapToGrid w:val="0"/>
                      <w:color w:val="auto"/>
                      <w:kern w:val="0"/>
                      <w:sz w:val="18"/>
                      <w:szCs w:val="18"/>
                      <w:highlight w:val="none"/>
                      <w:lang w:val="en-US" w:eastAsia="zh-CN"/>
                    </w:rPr>
                    <w:t>399</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溶于水以及</w:t>
                  </w:r>
                  <w:r>
                    <w:rPr>
                      <w:rFonts w:hint="default" w:ascii="Times New Roman" w:hAnsi="Times New Roman" w:eastAsia="宋体" w:cs="Times New Roman"/>
                      <w:bCs/>
                      <w:snapToGrid w:val="0"/>
                      <w:color w:val="auto"/>
                      <w:kern w:val="0"/>
                      <w:sz w:val="18"/>
                      <w:szCs w:val="18"/>
                      <w:highlight w:val="none"/>
                    </w:rPr>
                    <w:t>醚、醇、</w:t>
                  </w:r>
                  <w:r>
                    <w:rPr>
                      <w:rFonts w:hint="eastAsia" w:ascii="Times New Roman" w:hAnsi="Times New Roman" w:eastAsia="宋体" w:cs="Times New Roman"/>
                      <w:bCs/>
                      <w:snapToGrid w:val="0"/>
                      <w:color w:val="auto"/>
                      <w:kern w:val="0"/>
                      <w:sz w:val="18"/>
                      <w:szCs w:val="18"/>
                      <w:highlight w:val="none"/>
                      <w:lang w:eastAsia="zh-CN"/>
                    </w:rPr>
                    <w:t>氯仿等</w:t>
                  </w:r>
                  <w:r>
                    <w:rPr>
                      <w:rFonts w:hint="default" w:ascii="Times New Roman" w:hAnsi="Times New Roman" w:eastAsia="宋体" w:cs="Times New Roman"/>
                      <w:bCs/>
                      <w:snapToGrid w:val="0"/>
                      <w:color w:val="auto"/>
                      <w:kern w:val="0"/>
                      <w:sz w:val="18"/>
                      <w:szCs w:val="18"/>
                      <w:highlight w:val="none"/>
                    </w:rPr>
                    <w:t>有机溶剂。</w:t>
                  </w:r>
                </w:p>
              </w:tc>
              <w:tc>
                <w:tcPr>
                  <w:tcW w:w="1535" w:type="dxa"/>
                  <w:tcBorders>
                    <w:tl2br w:val="nil"/>
                    <w:tr2bl w:val="nil"/>
                  </w:tcBorders>
                  <w:noWrap w:val="0"/>
                  <w:vAlign w:val="center"/>
                </w:tcPr>
                <w:p w14:paraId="779709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eastAsia="zh-CN"/>
                    </w:rPr>
                  </w:pPr>
                  <w:r>
                    <w:rPr>
                      <w:rFonts w:hint="eastAsia" w:ascii="Times New Roman" w:hAnsi="Times New Roman" w:eastAsia="宋体" w:cs="Times New Roman"/>
                      <w:bCs/>
                      <w:snapToGrid w:val="0"/>
                      <w:color w:val="auto"/>
                      <w:kern w:val="0"/>
                      <w:sz w:val="18"/>
                      <w:szCs w:val="18"/>
                      <w:highlight w:val="none"/>
                      <w:lang w:eastAsia="zh-CN"/>
                    </w:rPr>
                    <w:t>易燃，具刺激性，其蒸气能与空气形成爆炸性混合物</w:t>
                  </w:r>
                </w:p>
              </w:tc>
              <w:tc>
                <w:tcPr>
                  <w:tcW w:w="1535" w:type="dxa"/>
                  <w:tcBorders>
                    <w:tl2br w:val="nil"/>
                    <w:tr2bl w:val="nil"/>
                  </w:tcBorders>
                  <w:noWrap w:val="0"/>
                  <w:vAlign w:val="center"/>
                </w:tcPr>
                <w:p w14:paraId="54AC7D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cs="Times New Roman"/>
                      <w:bCs/>
                      <w:snapToGrid w:val="0"/>
                      <w:color w:val="auto"/>
                      <w:kern w:val="0"/>
                      <w:sz w:val="18"/>
                      <w:szCs w:val="18"/>
                      <w:highlight w:val="none"/>
                      <w:lang w:eastAsia="zh-CN"/>
                    </w:rPr>
                    <w:t>:</w:t>
                  </w:r>
                  <w:r>
                    <w:rPr>
                      <w:rFonts w:hint="eastAsia" w:ascii="Times New Roman" w:hAnsi="Times New Roman" w:eastAsia="宋体" w:cs="Times New Roman"/>
                      <w:bCs/>
                      <w:snapToGrid w:val="0"/>
                      <w:color w:val="auto"/>
                      <w:kern w:val="0"/>
                      <w:sz w:val="18"/>
                      <w:szCs w:val="18"/>
                      <w:highlight w:val="none"/>
                      <w:lang w:val="en-US" w:eastAsia="zh-CN"/>
                    </w:rPr>
                    <w:t>5045</w:t>
                  </w:r>
                  <w:r>
                    <w:rPr>
                      <w:rFonts w:hint="default" w:ascii="Times New Roman" w:hAnsi="Times New Roman" w:eastAsia="宋体" w:cs="Times New Roman"/>
                      <w:bCs/>
                      <w:snapToGrid w:val="0"/>
                      <w:color w:val="auto"/>
                      <w:kern w:val="0"/>
                      <w:sz w:val="18"/>
                      <w:szCs w:val="18"/>
                      <w:highlight w:val="none"/>
                    </w:rPr>
                    <w:t>mg/kg</w:t>
                  </w:r>
                  <w:r>
                    <w:rPr>
                      <w:rFonts w:hint="eastAsia" w:cs="Times New Roman"/>
                      <w:bCs/>
                      <w:snapToGrid w:val="0"/>
                      <w:color w:val="auto"/>
                      <w:kern w:val="0"/>
                      <w:sz w:val="18"/>
                      <w:szCs w:val="18"/>
                      <w:highlight w:val="none"/>
                      <w:lang w:eastAsia="zh-CN"/>
                    </w:rPr>
                    <w:t>（</w:t>
                  </w:r>
                  <w:r>
                    <w:rPr>
                      <w:rFonts w:hint="eastAsia" w:ascii="Times New Roman" w:hAnsi="Times New Roman" w:eastAsia="宋体" w:cs="Times New Roman"/>
                      <w:bCs/>
                      <w:snapToGrid w:val="0"/>
                      <w:color w:val="auto"/>
                      <w:kern w:val="0"/>
                      <w:sz w:val="18"/>
                      <w:szCs w:val="18"/>
                      <w:highlight w:val="none"/>
                      <w:lang w:eastAsia="zh-CN"/>
                    </w:rPr>
                    <w:t>大鼠</w:t>
                  </w:r>
                  <w:r>
                    <w:rPr>
                      <w:rFonts w:hint="default" w:ascii="Times New Roman" w:hAnsi="Times New Roman" w:eastAsia="宋体" w:cs="Times New Roman"/>
                      <w:bCs/>
                      <w:snapToGrid w:val="0"/>
                      <w:color w:val="auto"/>
                      <w:kern w:val="0"/>
                      <w:sz w:val="18"/>
                      <w:szCs w:val="18"/>
                      <w:highlight w:val="none"/>
                    </w:rPr>
                    <w:t>经口</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val="en-US" w:eastAsia="zh-CN"/>
                    </w:rPr>
                    <w:t>1280</w:t>
                  </w:r>
                  <w:r>
                    <w:rPr>
                      <w:rFonts w:hint="default" w:ascii="Times New Roman" w:hAnsi="Times New Roman" w:eastAsia="宋体" w:cs="Times New Roman"/>
                      <w:bCs/>
                      <w:snapToGrid w:val="0"/>
                      <w:color w:val="auto"/>
                      <w:kern w:val="0"/>
                      <w:sz w:val="18"/>
                      <w:szCs w:val="18"/>
                      <w:highlight w:val="none"/>
                    </w:rPr>
                    <w:t>0mg/kg</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兔经皮</w:t>
                  </w:r>
                  <w:r>
                    <w:rPr>
                      <w:rFonts w:hint="eastAsia" w:cs="Times New Roman"/>
                      <w:bCs/>
                      <w:snapToGrid w:val="0"/>
                      <w:color w:val="auto"/>
                      <w:kern w:val="0"/>
                      <w:sz w:val="18"/>
                      <w:szCs w:val="18"/>
                      <w:highlight w:val="none"/>
                      <w:lang w:eastAsia="zh-CN"/>
                    </w:rPr>
                    <w:t>）</w:t>
                  </w:r>
                </w:p>
                <w:p w14:paraId="01C9C3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eastAsia="zh-CN"/>
                    </w:rPr>
                  </w:pPr>
                  <w:r>
                    <w:rPr>
                      <w:rFonts w:hint="default" w:ascii="Times New Roman" w:hAnsi="Times New Roman" w:eastAsia="宋体" w:cs="Times New Roman"/>
                      <w:bCs/>
                      <w:snapToGrid w:val="0"/>
                      <w:color w:val="auto"/>
                      <w:kern w:val="0"/>
                      <w:sz w:val="18"/>
                      <w:szCs w:val="18"/>
                      <w:highlight w:val="none"/>
                    </w:rPr>
                    <w:t>LC50：</w:t>
                  </w:r>
                  <w:r>
                    <w:rPr>
                      <w:rFonts w:hint="eastAsia" w:ascii="Times New Roman" w:hAnsi="Times New Roman" w:eastAsia="宋体" w:cs="Times New Roman"/>
                      <w:bCs/>
                      <w:snapToGrid w:val="0"/>
                      <w:color w:val="auto"/>
                      <w:kern w:val="0"/>
                      <w:sz w:val="18"/>
                      <w:szCs w:val="18"/>
                      <w:highlight w:val="none"/>
                      <w:lang w:eastAsia="zh-CN"/>
                    </w:rPr>
                    <w:t>无资料</w:t>
                  </w:r>
                </w:p>
              </w:tc>
            </w:tr>
            <w:tr w14:paraId="715CC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05" w:hRule="atLeast"/>
                <w:jc w:val="center"/>
              </w:trPr>
              <w:tc>
                <w:tcPr>
                  <w:tcW w:w="331" w:type="dxa"/>
                  <w:tcBorders>
                    <w:tl2br w:val="nil"/>
                    <w:tr2bl w:val="nil"/>
                  </w:tcBorders>
                  <w:noWrap w:val="0"/>
                  <w:vAlign w:val="center"/>
                </w:tcPr>
                <w:p w14:paraId="2EEDCF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lang w:val="en-US" w:eastAsia="zh-CN"/>
                    </w:rPr>
                    <w:t>2</w:t>
                  </w:r>
                </w:p>
              </w:tc>
              <w:tc>
                <w:tcPr>
                  <w:tcW w:w="675" w:type="dxa"/>
                  <w:tcBorders>
                    <w:tl2br w:val="nil"/>
                    <w:tr2bl w:val="nil"/>
                  </w:tcBorders>
                  <w:noWrap w:val="0"/>
                  <w:vAlign w:val="center"/>
                </w:tcPr>
                <w:p w14:paraId="16C6D8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eastAsia="zh-CN"/>
                    </w:rPr>
                  </w:pPr>
                  <w:r>
                    <w:rPr>
                      <w:rFonts w:hint="eastAsia" w:ascii="Times New Roman" w:hAnsi="Times New Roman" w:eastAsia="宋体" w:cs="Times New Roman"/>
                      <w:bCs/>
                      <w:snapToGrid w:val="0"/>
                      <w:color w:val="auto"/>
                      <w:kern w:val="0"/>
                      <w:sz w:val="18"/>
                      <w:szCs w:val="18"/>
                      <w:highlight w:val="none"/>
                      <w:lang w:val="en-US" w:eastAsia="zh-CN"/>
                    </w:rPr>
                    <w:t>无水乙醇</w:t>
                  </w:r>
                </w:p>
              </w:tc>
              <w:tc>
                <w:tcPr>
                  <w:tcW w:w="725" w:type="dxa"/>
                  <w:tcBorders>
                    <w:tl2br w:val="nil"/>
                    <w:tr2bl w:val="nil"/>
                  </w:tcBorders>
                  <w:noWrap w:val="0"/>
                  <w:vAlign w:val="center"/>
                </w:tcPr>
                <w:p w14:paraId="54AFF6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val="en-US" w:eastAsia="zh-CN"/>
                    </w:rPr>
                  </w:pPr>
                  <w:r>
                    <w:rPr>
                      <w:rFonts w:hint="eastAsia" w:ascii="Times New Roman" w:hAnsi="Times New Roman" w:eastAsia="宋体" w:cs="Times New Roman"/>
                      <w:bCs/>
                      <w:snapToGrid w:val="0"/>
                      <w:color w:val="auto"/>
                      <w:kern w:val="0"/>
                      <w:sz w:val="18"/>
                      <w:szCs w:val="18"/>
                      <w:highlight w:val="none"/>
                      <w:lang w:val="en-US" w:eastAsia="zh-CN"/>
                    </w:rPr>
                    <w:t>64-17-5</w:t>
                  </w:r>
                </w:p>
              </w:tc>
              <w:tc>
                <w:tcPr>
                  <w:tcW w:w="3476" w:type="dxa"/>
                  <w:tcBorders>
                    <w:tl2br w:val="nil"/>
                    <w:tr2bl w:val="nil"/>
                  </w:tcBorders>
                  <w:noWrap w:val="0"/>
                  <w:vAlign w:val="center"/>
                </w:tcPr>
                <w:p w14:paraId="059805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易燃易挥发的无色透明液体，它的水溶液具有酒香的气味，并略带刺激。有酒的气味和刺激的辛辣滋味，微甘。乙醇液体密度是0.789g/cm</w:t>
                  </w:r>
                  <w:r>
                    <w:rPr>
                      <w:rFonts w:hint="default" w:ascii="Times New Roman" w:hAnsi="Times New Roman" w:eastAsia="宋体" w:cs="Times New Roman"/>
                      <w:bCs/>
                      <w:snapToGrid w:val="0"/>
                      <w:color w:val="auto"/>
                      <w:kern w:val="0"/>
                      <w:sz w:val="18"/>
                      <w:szCs w:val="18"/>
                      <w:highlight w:val="none"/>
                      <w:vertAlign w:val="superscript"/>
                    </w:rPr>
                    <w:t>3</w:t>
                  </w:r>
                  <w:r>
                    <w:rPr>
                      <w:rFonts w:hint="eastAsia" w:ascii="Times New Roman" w:hAnsi="Times New Roman" w:eastAsia="宋体"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20℃</w:t>
                  </w:r>
                  <w:r>
                    <w:rPr>
                      <w:rFonts w:hint="eastAsia" w:ascii="Times New Roman" w:hAnsi="Times New Roman" w:eastAsia="宋体"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，乙醇密度为1.59kg/m</w:t>
                  </w:r>
                  <w:r>
                    <w:rPr>
                      <w:rFonts w:hint="default" w:ascii="Times New Roman" w:hAnsi="Times New Roman" w:eastAsia="宋体" w:cs="Times New Roman"/>
                      <w:bCs/>
                      <w:snapToGrid w:val="0"/>
                      <w:color w:val="auto"/>
                      <w:kern w:val="0"/>
                      <w:sz w:val="18"/>
                      <w:szCs w:val="18"/>
                      <w:highlight w:val="none"/>
                      <w:vertAlign w:val="superscript"/>
                    </w:rPr>
                    <w:t>3</w:t>
                  </w:r>
                  <w:r>
                    <w:rPr>
                      <w:rFonts w:hint="default" w:ascii="Times New Roman" w:hAnsi="Times New Roman" w:eastAsia="宋体" w:cs="Times New Roman"/>
                      <w:bCs/>
                      <w:snapToGrid w:val="0"/>
                      <w:color w:val="auto"/>
                      <w:kern w:val="0"/>
                      <w:sz w:val="18"/>
                      <w:szCs w:val="18"/>
                      <w:highlight w:val="none"/>
                    </w:rPr>
                    <w:t>，沸点是78.3℃，熔点-1141℃，能与水以任意比互溶</w:t>
                  </w:r>
                  <w:r>
                    <w:rPr>
                      <w:rFonts w:hint="eastAsia" w:eastAsia="宋体"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能与氧仿、乙醚、甲醇、丙酮和其他</w:t>
                  </w:r>
                  <w:r>
                    <w:rPr>
                      <w:rFonts w:hint="eastAsia" w:ascii="Times New Roman" w:hAnsi="Times New Roman" w:eastAsia="宋体" w:cs="Times New Roman"/>
                      <w:bCs/>
                      <w:snapToGrid w:val="0"/>
                      <w:color w:val="auto"/>
                      <w:kern w:val="0"/>
                      <w:sz w:val="18"/>
                      <w:szCs w:val="18"/>
                      <w:highlight w:val="none"/>
                      <w:lang w:val="en-US" w:eastAsia="zh-CN"/>
                    </w:rPr>
                    <w:t>多数</w:t>
                  </w:r>
                  <w:r>
                    <w:rPr>
                      <w:rFonts w:hint="default" w:ascii="Times New Roman" w:hAnsi="Times New Roman" w:eastAsia="宋体" w:cs="Times New Roman"/>
                      <w:bCs/>
                      <w:snapToGrid w:val="0"/>
                      <w:color w:val="auto"/>
                      <w:kern w:val="0"/>
                      <w:sz w:val="18"/>
                      <w:szCs w:val="18"/>
                      <w:highlight w:val="none"/>
                    </w:rPr>
                    <w:t>有机溶剂混溶。</w:t>
                  </w:r>
                </w:p>
              </w:tc>
              <w:tc>
                <w:tcPr>
                  <w:tcW w:w="1535" w:type="dxa"/>
                  <w:tcBorders>
                    <w:tl2br w:val="nil"/>
                    <w:tr2bl w:val="nil"/>
                  </w:tcBorders>
                  <w:noWrap w:val="0"/>
                  <w:vAlign w:val="center"/>
                </w:tcPr>
                <w:p w14:paraId="58D2F7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eastAsia" w:ascii="Times New Roman" w:hAnsi="Times New Roman" w:eastAsia="宋体" w:cs="Times New Roman"/>
                      <w:bCs/>
                      <w:snapToGrid w:val="0"/>
                      <w:color w:val="auto"/>
                      <w:kern w:val="0"/>
                      <w:sz w:val="18"/>
                      <w:szCs w:val="18"/>
                      <w:highlight w:val="none"/>
                      <w:lang w:eastAsia="zh-CN"/>
                    </w:rPr>
                    <w:t>易燃，具刺激性，其蒸气能与空气形成爆炸性混合物</w:t>
                  </w:r>
                </w:p>
              </w:tc>
              <w:tc>
                <w:tcPr>
                  <w:tcW w:w="1535" w:type="dxa"/>
                  <w:tcBorders>
                    <w:tl2br w:val="nil"/>
                    <w:tr2bl w:val="nil"/>
                  </w:tcBorders>
                  <w:noWrap w:val="0"/>
                  <w:vAlign w:val="center"/>
                </w:tcPr>
                <w:p w14:paraId="02D44A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7060mg/kg</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兔经口</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；7430mg/kg</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兔经皮</w:t>
                  </w:r>
                  <w:r>
                    <w:rPr>
                      <w:rFonts w:hint="eastAsia" w:cs="Times New Roman"/>
                      <w:bCs/>
                      <w:snapToGrid w:val="0"/>
                      <w:color w:val="auto"/>
                      <w:kern w:val="0"/>
                      <w:sz w:val="18"/>
                      <w:szCs w:val="18"/>
                      <w:highlight w:val="none"/>
                      <w:lang w:eastAsia="zh-CN"/>
                    </w:rPr>
                    <w:t>）</w:t>
                  </w:r>
                </w:p>
                <w:p w14:paraId="315E1B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LC50</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37620mg/m</w:t>
                  </w:r>
                  <w:r>
                    <w:rPr>
                      <w:rFonts w:hint="default" w:ascii="Times New Roman" w:hAnsi="Times New Roman" w:eastAsia="宋体" w:cs="Times New Roman"/>
                      <w:bCs/>
                      <w:snapToGrid w:val="0"/>
                      <w:color w:val="auto"/>
                      <w:kern w:val="0"/>
                      <w:sz w:val="18"/>
                      <w:szCs w:val="18"/>
                      <w:highlight w:val="none"/>
                      <w:vertAlign w:val="superscript"/>
                    </w:rPr>
                    <w:t>3</w:t>
                  </w:r>
                  <w:r>
                    <w:rPr>
                      <w:rFonts w:hint="default" w:ascii="Times New Roman" w:hAnsi="Times New Roman" w:eastAsia="宋体" w:cs="Times New Roman"/>
                      <w:bCs/>
                      <w:snapToGrid w:val="0"/>
                      <w:color w:val="auto"/>
                      <w:kern w:val="0"/>
                      <w:sz w:val="18"/>
                      <w:szCs w:val="18"/>
                      <w:highlight w:val="none"/>
                    </w:rPr>
                    <w:t>，10小时</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大鼠吸入</w:t>
                  </w:r>
                  <w:r>
                    <w:rPr>
                      <w:rFonts w:hint="eastAsia" w:cs="Times New Roman"/>
                      <w:bCs/>
                      <w:snapToGrid w:val="0"/>
                      <w:color w:val="auto"/>
                      <w:kern w:val="0"/>
                      <w:sz w:val="18"/>
                      <w:szCs w:val="18"/>
                      <w:highlight w:val="none"/>
                      <w:lang w:eastAsia="zh-CN"/>
                    </w:rPr>
                    <w:t>）</w:t>
                  </w:r>
                </w:p>
              </w:tc>
            </w:tr>
            <w:tr w14:paraId="5E09C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7" w:hRule="atLeast"/>
                <w:jc w:val="center"/>
              </w:trPr>
              <w:tc>
                <w:tcPr>
                  <w:tcW w:w="331" w:type="dxa"/>
                  <w:tcBorders>
                    <w:tl2br w:val="nil"/>
                    <w:tr2bl w:val="nil"/>
                  </w:tcBorders>
                  <w:noWrap w:val="0"/>
                  <w:vAlign w:val="center"/>
                </w:tcPr>
                <w:p w14:paraId="722E3C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color w:val="auto"/>
                      <w:sz w:val="18"/>
                      <w:szCs w:val="18"/>
                      <w:highlight w:val="none"/>
                      <w:lang w:val="en-US" w:eastAsia="zh-CN"/>
                    </w:rPr>
                    <w:t>3</w:t>
                  </w:r>
                </w:p>
              </w:tc>
              <w:tc>
                <w:tcPr>
                  <w:tcW w:w="675" w:type="dxa"/>
                  <w:tcBorders>
                    <w:tl2br w:val="nil"/>
                    <w:tr2bl w:val="nil"/>
                  </w:tcBorders>
                  <w:noWrap w:val="0"/>
                  <w:vAlign w:val="center"/>
                </w:tcPr>
                <w:p w14:paraId="1C7F16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Cs/>
                      <w:snapToGrid w:val="0"/>
                      <w:color w:val="auto"/>
                      <w:kern w:val="0"/>
                      <w:sz w:val="18"/>
                      <w:szCs w:val="18"/>
                      <w:highlight w:val="none"/>
                      <w:lang w:eastAsia="zh-CN"/>
                    </w:rPr>
                  </w:pPr>
                  <w:r>
                    <w:rPr>
                      <w:rFonts w:hint="default" w:ascii="Times New Roman" w:hAnsi="Times New Roman" w:eastAsia="宋体" w:cs="Times New Roman"/>
                      <w:color w:val="auto"/>
                      <w:kern w:val="0"/>
                      <w:sz w:val="18"/>
                      <w:szCs w:val="18"/>
                      <w:lang w:val="en-US" w:eastAsia="zh-CN" w:bidi="ar"/>
                    </w:rPr>
                    <w:t>丙烯酰胺</w:t>
                  </w:r>
                </w:p>
              </w:tc>
              <w:tc>
                <w:tcPr>
                  <w:tcW w:w="725" w:type="dxa"/>
                  <w:tcBorders>
                    <w:tl2br w:val="nil"/>
                    <w:tr2bl w:val="nil"/>
                  </w:tcBorders>
                  <w:noWrap w:val="0"/>
                  <w:vAlign w:val="center"/>
                </w:tcPr>
                <w:p w14:paraId="6FA188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val="en-US" w:eastAsia="zh-CN"/>
                    </w:rPr>
                  </w:pPr>
                  <w:r>
                    <w:rPr>
                      <w:rFonts w:hint="eastAsia" w:ascii="Times New Roman" w:hAnsi="Times New Roman" w:eastAsia="宋体" w:cs="Times New Roman"/>
                      <w:bCs/>
                      <w:snapToGrid w:val="0"/>
                      <w:color w:val="auto"/>
                      <w:kern w:val="0"/>
                      <w:sz w:val="18"/>
                      <w:szCs w:val="18"/>
                      <w:highlight w:val="none"/>
                      <w:lang w:val="en-US" w:eastAsia="zh-CN"/>
                    </w:rPr>
                    <w:t>79-06-1</w:t>
                  </w:r>
                </w:p>
              </w:tc>
              <w:tc>
                <w:tcPr>
                  <w:tcW w:w="3476" w:type="dxa"/>
                  <w:tcBorders>
                    <w:tl2br w:val="nil"/>
                    <w:tr2bl w:val="nil"/>
                  </w:tcBorders>
                  <w:noWrap w:val="0"/>
                  <w:vAlign w:val="center"/>
                </w:tcPr>
                <w:p w14:paraId="20EB72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eastAsia" w:ascii="Times New Roman" w:hAnsi="Times New Roman" w:eastAsia="宋体" w:cs="Times New Roman"/>
                      <w:bCs/>
                      <w:snapToGrid w:val="0"/>
                      <w:color w:val="auto"/>
                      <w:kern w:val="0"/>
                      <w:sz w:val="18"/>
                      <w:szCs w:val="18"/>
                      <w:highlight w:val="none"/>
                      <w:lang w:eastAsia="zh-CN"/>
                    </w:rPr>
                    <w:t>常温下为白色结晶固体</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一种蓄积性的神经毒物，主要损害神经系统，</w:t>
                  </w:r>
                  <w:r>
                    <w:rPr>
                      <w:rFonts w:hint="default" w:ascii="Times New Roman" w:hAnsi="Times New Roman" w:eastAsia="宋体" w:cs="Times New Roman"/>
                      <w:bCs/>
                      <w:snapToGrid w:val="0"/>
                      <w:color w:val="auto"/>
                      <w:kern w:val="0"/>
                      <w:sz w:val="18"/>
                      <w:szCs w:val="18"/>
                      <w:highlight w:val="none"/>
                    </w:rPr>
                    <w:t>密度</w:t>
                  </w:r>
                  <w:r>
                    <w:rPr>
                      <w:rFonts w:hint="eastAsia" w:ascii="Times New Roman" w:hAnsi="Times New Roman" w:eastAsia="宋体" w:cs="Times New Roman"/>
                      <w:bCs/>
                      <w:snapToGrid w:val="0"/>
                      <w:color w:val="auto"/>
                      <w:kern w:val="0"/>
                      <w:sz w:val="18"/>
                      <w:szCs w:val="18"/>
                      <w:highlight w:val="none"/>
                      <w:lang w:val="en-US" w:eastAsia="zh-CN"/>
                    </w:rPr>
                    <w:t>1.12</w:t>
                  </w:r>
                  <w:r>
                    <w:rPr>
                      <w:rFonts w:hint="default" w:ascii="Times New Roman" w:hAnsi="Times New Roman" w:eastAsia="宋体" w:cs="Times New Roman"/>
                      <w:bCs/>
                      <w:snapToGrid w:val="0"/>
                      <w:color w:val="auto"/>
                      <w:kern w:val="0"/>
                      <w:sz w:val="18"/>
                      <w:szCs w:val="18"/>
                      <w:highlight w:val="none"/>
                    </w:rPr>
                    <w:t>g/cm</w:t>
                  </w:r>
                  <w:r>
                    <w:rPr>
                      <w:rFonts w:hint="default" w:ascii="Times New Roman" w:hAnsi="Times New Roman" w:eastAsia="宋体" w:cs="Times New Roman"/>
                      <w:bCs/>
                      <w:snapToGrid w:val="0"/>
                      <w:color w:val="auto"/>
                      <w:kern w:val="0"/>
                      <w:sz w:val="18"/>
                      <w:szCs w:val="18"/>
                      <w:highlight w:val="none"/>
                      <w:vertAlign w:val="superscript"/>
                    </w:rPr>
                    <w:t>3</w:t>
                  </w:r>
                  <w:r>
                    <w:rPr>
                      <w:rFonts w:hint="default" w:ascii="Times New Roman" w:hAnsi="Times New Roman" w:eastAsia="宋体" w:cs="Times New Roman"/>
                      <w:bCs/>
                      <w:snapToGrid w:val="0"/>
                      <w:color w:val="auto"/>
                      <w:kern w:val="0"/>
                      <w:sz w:val="18"/>
                      <w:szCs w:val="18"/>
                      <w:highlight w:val="none"/>
                    </w:rPr>
                    <w:t>，沸点是</w:t>
                  </w:r>
                  <w:r>
                    <w:rPr>
                      <w:rFonts w:hint="eastAsia" w:ascii="Times New Roman" w:hAnsi="Times New Roman" w:eastAsia="宋体" w:cs="Times New Roman"/>
                      <w:bCs/>
                      <w:snapToGrid w:val="0"/>
                      <w:color w:val="auto"/>
                      <w:kern w:val="0"/>
                      <w:sz w:val="18"/>
                      <w:szCs w:val="18"/>
                      <w:highlight w:val="none"/>
                      <w:lang w:val="en-US" w:eastAsia="zh-CN"/>
                    </w:rPr>
                    <w:t>125</w:t>
                  </w:r>
                  <w:r>
                    <w:rPr>
                      <w:rFonts w:hint="default" w:ascii="Times New Roman" w:hAnsi="Times New Roman" w:eastAsia="宋体" w:cs="Times New Roman"/>
                      <w:bCs/>
                      <w:snapToGrid w:val="0"/>
                      <w:color w:val="auto"/>
                      <w:kern w:val="0"/>
                      <w:sz w:val="18"/>
                      <w:szCs w:val="18"/>
                      <w:highlight w:val="none"/>
                    </w:rPr>
                    <w:t>℃，熔点</w:t>
                  </w:r>
                  <w:r>
                    <w:rPr>
                      <w:rFonts w:hint="eastAsia" w:ascii="Times New Roman" w:hAnsi="Times New Roman" w:eastAsia="宋体" w:cs="Times New Roman"/>
                      <w:bCs/>
                      <w:snapToGrid w:val="0"/>
                      <w:color w:val="auto"/>
                      <w:kern w:val="0"/>
                      <w:sz w:val="18"/>
                      <w:szCs w:val="18"/>
                      <w:highlight w:val="none"/>
                      <w:lang w:val="en-US" w:eastAsia="zh-CN"/>
                    </w:rPr>
                    <w:t>84.5</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溶于水以及乙醚、乙醇</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丙酮等</w:t>
                  </w:r>
                  <w:r>
                    <w:rPr>
                      <w:rFonts w:hint="default" w:ascii="Times New Roman" w:hAnsi="Times New Roman" w:eastAsia="宋体" w:cs="Times New Roman"/>
                      <w:bCs/>
                      <w:snapToGrid w:val="0"/>
                      <w:color w:val="auto"/>
                      <w:kern w:val="0"/>
                      <w:sz w:val="18"/>
                      <w:szCs w:val="18"/>
                      <w:highlight w:val="none"/>
                    </w:rPr>
                    <w:t>有机溶剂。</w:t>
                  </w:r>
                </w:p>
              </w:tc>
              <w:tc>
                <w:tcPr>
                  <w:tcW w:w="1535" w:type="dxa"/>
                  <w:tcBorders>
                    <w:tl2br w:val="nil"/>
                    <w:tr2bl w:val="nil"/>
                  </w:tcBorders>
                  <w:noWrap w:val="0"/>
                  <w:vAlign w:val="center"/>
                </w:tcPr>
                <w:p w14:paraId="1B555C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eastAsia" w:ascii="Times New Roman" w:hAnsi="Times New Roman" w:eastAsia="宋体" w:cs="Times New Roman"/>
                      <w:bCs/>
                      <w:snapToGrid w:val="0"/>
                      <w:color w:val="auto"/>
                      <w:kern w:val="0"/>
                      <w:sz w:val="18"/>
                      <w:szCs w:val="18"/>
                      <w:highlight w:val="none"/>
                      <w:lang w:eastAsia="zh-CN"/>
                    </w:rPr>
                    <w:t>可燃</w:t>
                  </w:r>
                </w:p>
              </w:tc>
              <w:tc>
                <w:tcPr>
                  <w:tcW w:w="1535" w:type="dxa"/>
                  <w:tcBorders>
                    <w:tl2br w:val="nil"/>
                    <w:tr2bl w:val="nil"/>
                  </w:tcBorders>
                  <w:noWrap w:val="0"/>
                  <w:vAlign w:val="center"/>
                </w:tcPr>
                <w:p w14:paraId="4F7A6E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cs="Times New Roman"/>
                      <w:bCs/>
                      <w:snapToGrid w:val="0"/>
                      <w:color w:val="auto"/>
                      <w:kern w:val="0"/>
                      <w:sz w:val="18"/>
                      <w:szCs w:val="18"/>
                      <w:highlight w:val="none"/>
                      <w:lang w:eastAsia="zh-CN"/>
                    </w:rPr>
                    <w:t>:</w:t>
                  </w:r>
                  <w:r>
                    <w:rPr>
                      <w:rFonts w:hint="eastAsia" w:ascii="Times New Roman" w:hAnsi="Times New Roman" w:eastAsia="宋体" w:cs="Times New Roman"/>
                      <w:bCs/>
                      <w:snapToGrid w:val="0"/>
                      <w:color w:val="auto"/>
                      <w:kern w:val="0"/>
                      <w:sz w:val="18"/>
                      <w:szCs w:val="18"/>
                      <w:highlight w:val="none"/>
                      <w:lang w:val="en-US" w:eastAsia="zh-CN"/>
                    </w:rPr>
                    <w:t>150</w:t>
                  </w:r>
                  <w:r>
                    <w:rPr>
                      <w:rFonts w:hint="eastAsia" w:cs="Times New Roman"/>
                      <w:bCs/>
                      <w:snapToGrid w:val="0"/>
                      <w:color w:val="auto"/>
                      <w:kern w:val="0"/>
                      <w:sz w:val="18"/>
                      <w:szCs w:val="18"/>
                      <w:highlight w:val="none"/>
                      <w:lang w:val="en-US" w:eastAsia="zh-CN"/>
                    </w:rPr>
                    <w:t>—</w:t>
                  </w:r>
                  <w:r>
                    <w:rPr>
                      <w:rFonts w:hint="eastAsia" w:ascii="Times New Roman" w:hAnsi="Times New Roman" w:eastAsia="宋体" w:cs="Times New Roman"/>
                      <w:bCs/>
                      <w:snapToGrid w:val="0"/>
                      <w:color w:val="auto"/>
                      <w:kern w:val="0"/>
                      <w:sz w:val="18"/>
                      <w:szCs w:val="18"/>
                      <w:highlight w:val="none"/>
                      <w:lang w:val="en-US" w:eastAsia="zh-CN"/>
                    </w:rPr>
                    <w:t>180</w:t>
                  </w:r>
                  <w:r>
                    <w:rPr>
                      <w:rFonts w:hint="default" w:ascii="Times New Roman" w:hAnsi="Times New Roman" w:eastAsia="宋体" w:cs="Times New Roman"/>
                      <w:bCs/>
                      <w:snapToGrid w:val="0"/>
                      <w:color w:val="auto"/>
                      <w:kern w:val="0"/>
                      <w:sz w:val="18"/>
                      <w:szCs w:val="18"/>
                      <w:highlight w:val="none"/>
                    </w:rPr>
                    <w:t>mg/kg</w:t>
                  </w:r>
                  <w:r>
                    <w:rPr>
                      <w:rFonts w:hint="eastAsia" w:cs="Times New Roman"/>
                      <w:bCs/>
                      <w:snapToGrid w:val="0"/>
                      <w:color w:val="auto"/>
                      <w:kern w:val="0"/>
                      <w:sz w:val="18"/>
                      <w:szCs w:val="18"/>
                      <w:highlight w:val="none"/>
                      <w:lang w:eastAsia="zh-CN"/>
                    </w:rPr>
                    <w:t>（</w:t>
                  </w:r>
                  <w:r>
                    <w:rPr>
                      <w:rFonts w:hint="eastAsia" w:ascii="Times New Roman" w:hAnsi="Times New Roman" w:eastAsia="宋体" w:cs="Times New Roman"/>
                      <w:bCs/>
                      <w:snapToGrid w:val="0"/>
                      <w:color w:val="auto"/>
                      <w:kern w:val="0"/>
                      <w:sz w:val="18"/>
                      <w:szCs w:val="18"/>
                      <w:highlight w:val="none"/>
                      <w:lang w:eastAsia="zh-CN"/>
                    </w:rPr>
                    <w:t>大鼠</w:t>
                  </w:r>
                  <w:r>
                    <w:rPr>
                      <w:rFonts w:hint="default" w:ascii="Times New Roman" w:hAnsi="Times New Roman" w:eastAsia="宋体" w:cs="Times New Roman"/>
                      <w:bCs/>
                      <w:snapToGrid w:val="0"/>
                      <w:color w:val="auto"/>
                      <w:kern w:val="0"/>
                      <w:sz w:val="18"/>
                      <w:szCs w:val="18"/>
                      <w:highlight w:val="none"/>
                    </w:rPr>
                    <w:t>经口</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w:t>
                  </w:r>
                </w:p>
                <w:p w14:paraId="04B600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LC50：</w:t>
                  </w:r>
                  <w:r>
                    <w:rPr>
                      <w:rFonts w:hint="eastAsia" w:ascii="Times New Roman" w:hAnsi="Times New Roman" w:eastAsia="宋体" w:cs="Times New Roman"/>
                      <w:bCs/>
                      <w:snapToGrid w:val="0"/>
                      <w:color w:val="auto"/>
                      <w:kern w:val="0"/>
                      <w:sz w:val="18"/>
                      <w:szCs w:val="18"/>
                      <w:highlight w:val="none"/>
                      <w:lang w:eastAsia="zh-CN"/>
                    </w:rPr>
                    <w:t>无资料</w:t>
                  </w:r>
                </w:p>
              </w:tc>
            </w:tr>
            <w:tr w14:paraId="73567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35" w:hRule="atLeast"/>
                <w:jc w:val="center"/>
              </w:trPr>
              <w:tc>
                <w:tcPr>
                  <w:tcW w:w="331" w:type="dxa"/>
                  <w:tcBorders>
                    <w:tl2br w:val="nil"/>
                    <w:tr2bl w:val="nil"/>
                  </w:tcBorders>
                  <w:noWrap w:val="0"/>
                  <w:vAlign w:val="center"/>
                </w:tcPr>
                <w:p w14:paraId="4BB089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4</w:t>
                  </w:r>
                </w:p>
              </w:tc>
              <w:tc>
                <w:tcPr>
                  <w:tcW w:w="675" w:type="dxa"/>
                  <w:tcBorders>
                    <w:tl2br w:val="nil"/>
                    <w:tr2bl w:val="nil"/>
                  </w:tcBorders>
                  <w:noWrap w:val="0"/>
                  <w:vAlign w:val="center"/>
                </w:tcPr>
                <w:p w14:paraId="23507D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snapToGrid w:val="0"/>
                      <w:color w:val="auto"/>
                      <w:kern w:val="0"/>
                      <w:sz w:val="18"/>
                      <w:szCs w:val="18"/>
                      <w:highlight w:val="none"/>
                      <w:lang w:val="en-US" w:eastAsia="zh-CN"/>
                    </w:rPr>
                  </w:pPr>
                  <w:r>
                    <w:rPr>
                      <w:rFonts w:hint="default" w:ascii="Times New Roman" w:hAnsi="Times New Roman" w:eastAsia="宋体" w:cs="Times New Roman"/>
                      <w:color w:val="auto"/>
                      <w:kern w:val="0"/>
                      <w:sz w:val="18"/>
                      <w:szCs w:val="18"/>
                      <w:lang w:val="en-US" w:eastAsia="zh-CN" w:bidi="ar"/>
                    </w:rPr>
                    <w:t>过硫酸</w:t>
                  </w:r>
                  <w:r>
                    <w:rPr>
                      <w:rFonts w:hint="eastAsia" w:ascii="Times New Roman" w:hAnsi="Times New Roman" w:eastAsia="宋体" w:cs="Times New Roman"/>
                      <w:bCs/>
                      <w:snapToGrid w:val="0"/>
                      <w:color w:val="auto"/>
                      <w:kern w:val="0"/>
                      <w:sz w:val="18"/>
                      <w:szCs w:val="18"/>
                      <w:highlight w:val="none"/>
                      <w:lang w:val="en-US" w:eastAsia="zh-CN"/>
                    </w:rPr>
                    <w:t>铵</w:t>
                  </w:r>
                </w:p>
              </w:tc>
              <w:tc>
                <w:tcPr>
                  <w:tcW w:w="725" w:type="dxa"/>
                  <w:tcBorders>
                    <w:tl2br w:val="nil"/>
                    <w:tr2bl w:val="nil"/>
                  </w:tcBorders>
                  <w:noWrap w:val="0"/>
                  <w:vAlign w:val="center"/>
                </w:tcPr>
                <w:p w14:paraId="135D5F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lang w:val="en-US" w:eastAsia="zh-CN"/>
                    </w:rPr>
                  </w:pPr>
                  <w:r>
                    <w:rPr>
                      <w:rFonts w:hint="eastAsia" w:eastAsia="宋体" w:cs="Times New Roman"/>
                      <w:bCs/>
                      <w:snapToGrid w:val="0"/>
                      <w:color w:val="auto"/>
                      <w:kern w:val="0"/>
                      <w:sz w:val="18"/>
                      <w:szCs w:val="18"/>
                      <w:highlight w:val="none"/>
                      <w:lang w:val="en-US" w:eastAsia="zh-CN"/>
                    </w:rPr>
                    <w:t>7727-54-0</w:t>
                  </w:r>
                </w:p>
              </w:tc>
              <w:tc>
                <w:tcPr>
                  <w:tcW w:w="3476" w:type="dxa"/>
                  <w:tcBorders>
                    <w:tl2br w:val="nil"/>
                    <w:tr2bl w:val="nil"/>
                  </w:tcBorders>
                  <w:noWrap w:val="0"/>
                  <w:vAlign w:val="center"/>
                </w:tcPr>
                <w:p w14:paraId="568A54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eastAsia" w:ascii="Times New Roman" w:hAnsi="Times New Roman" w:eastAsia="宋体" w:cs="Times New Roman"/>
                      <w:bCs/>
                      <w:snapToGrid w:val="0"/>
                      <w:color w:val="auto"/>
                      <w:kern w:val="0"/>
                      <w:sz w:val="18"/>
                      <w:szCs w:val="18"/>
                      <w:highlight w:val="none"/>
                      <w:lang w:eastAsia="zh-CN"/>
                    </w:rPr>
                    <w:t>常温下为无色晶体</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相对</w:t>
                  </w:r>
                  <w:r>
                    <w:rPr>
                      <w:rFonts w:hint="default" w:ascii="Times New Roman" w:hAnsi="Times New Roman" w:eastAsia="宋体" w:cs="Times New Roman"/>
                      <w:bCs/>
                      <w:snapToGrid w:val="0"/>
                      <w:color w:val="auto"/>
                      <w:kern w:val="0"/>
                      <w:sz w:val="18"/>
                      <w:szCs w:val="18"/>
                      <w:highlight w:val="none"/>
                    </w:rPr>
                    <w:t>密度</w:t>
                  </w:r>
                  <w:r>
                    <w:rPr>
                      <w:rFonts w:hint="eastAsia" w:ascii="Times New Roman" w:hAnsi="Times New Roman" w:eastAsia="宋体" w:cs="Times New Roman"/>
                      <w:bCs/>
                      <w:snapToGrid w:val="0"/>
                      <w:color w:val="auto"/>
                      <w:kern w:val="0"/>
                      <w:sz w:val="18"/>
                      <w:szCs w:val="18"/>
                      <w:highlight w:val="none"/>
                      <w:lang w:val="en-US" w:eastAsia="zh-CN"/>
                    </w:rPr>
                    <w:t>1.98</w:t>
                  </w:r>
                  <w:r>
                    <w:rPr>
                      <w:rFonts w:hint="default" w:ascii="Times New Roman" w:hAnsi="Times New Roman" w:eastAsia="宋体" w:cs="Times New Roman"/>
                      <w:bCs/>
                      <w:snapToGrid w:val="0"/>
                      <w:color w:val="auto"/>
                      <w:kern w:val="0"/>
                      <w:sz w:val="18"/>
                      <w:szCs w:val="18"/>
                      <w:highlight w:val="none"/>
                    </w:rPr>
                    <w:t>g/cm</w:t>
                  </w:r>
                  <w:r>
                    <w:rPr>
                      <w:rFonts w:hint="default" w:ascii="Times New Roman" w:hAnsi="Times New Roman" w:eastAsia="宋体" w:cs="Times New Roman"/>
                      <w:bCs/>
                      <w:snapToGrid w:val="0"/>
                      <w:color w:val="auto"/>
                      <w:kern w:val="0"/>
                      <w:sz w:val="18"/>
                      <w:szCs w:val="18"/>
                      <w:highlight w:val="none"/>
                      <w:vertAlign w:val="superscript"/>
                    </w:rPr>
                    <w:t>3</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相对</w:t>
                  </w:r>
                  <w:r>
                    <w:rPr>
                      <w:rFonts w:hint="eastAsia" w:cs="Times New Roman"/>
                      <w:bCs/>
                      <w:snapToGrid w:val="0"/>
                      <w:color w:val="auto"/>
                      <w:kern w:val="0"/>
                      <w:sz w:val="18"/>
                      <w:szCs w:val="18"/>
                      <w:highlight w:val="none"/>
                      <w:lang w:eastAsia="zh-CN"/>
                    </w:rPr>
                    <w:t>蒸气密度</w:t>
                  </w:r>
                  <w:r>
                    <w:rPr>
                      <w:rFonts w:hint="eastAsia" w:ascii="Times New Roman" w:hAnsi="Times New Roman" w:eastAsia="宋体" w:cs="Times New Roman"/>
                      <w:bCs/>
                      <w:snapToGrid w:val="0"/>
                      <w:color w:val="auto"/>
                      <w:kern w:val="0"/>
                      <w:sz w:val="18"/>
                      <w:szCs w:val="18"/>
                      <w:highlight w:val="none"/>
                      <w:lang w:val="en-US" w:eastAsia="zh-CN"/>
                    </w:rPr>
                    <w:t>7.9</w:t>
                  </w:r>
                  <w:r>
                    <w:rPr>
                      <w:rFonts w:hint="default" w:ascii="Times New Roman" w:hAnsi="Times New Roman" w:eastAsia="宋体" w:cs="Times New Roman"/>
                      <w:bCs/>
                      <w:snapToGrid w:val="0"/>
                      <w:color w:val="auto"/>
                      <w:kern w:val="0"/>
                      <w:sz w:val="18"/>
                      <w:szCs w:val="18"/>
                      <w:highlight w:val="none"/>
                    </w:rPr>
                    <w:t>g/cm</w:t>
                  </w:r>
                  <w:r>
                    <w:rPr>
                      <w:rFonts w:hint="default" w:ascii="Times New Roman" w:hAnsi="Times New Roman" w:eastAsia="宋体" w:cs="Times New Roman"/>
                      <w:bCs/>
                      <w:snapToGrid w:val="0"/>
                      <w:color w:val="auto"/>
                      <w:kern w:val="0"/>
                      <w:sz w:val="18"/>
                      <w:szCs w:val="18"/>
                      <w:highlight w:val="none"/>
                      <w:vertAlign w:val="superscript"/>
                    </w:rPr>
                    <w:t>3</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易溶于水</w:t>
                  </w:r>
                  <w:r>
                    <w:rPr>
                      <w:rFonts w:hint="default" w:ascii="Times New Roman" w:hAnsi="Times New Roman" w:eastAsia="宋体" w:cs="Times New Roman"/>
                      <w:bCs/>
                      <w:snapToGrid w:val="0"/>
                      <w:color w:val="auto"/>
                      <w:kern w:val="0"/>
                      <w:sz w:val="18"/>
                      <w:szCs w:val="18"/>
                      <w:highlight w:val="none"/>
                    </w:rPr>
                    <w:t>。</w:t>
                  </w:r>
                </w:p>
              </w:tc>
              <w:tc>
                <w:tcPr>
                  <w:tcW w:w="1535" w:type="dxa"/>
                  <w:tcBorders>
                    <w:tl2br w:val="nil"/>
                    <w:tr2bl w:val="nil"/>
                  </w:tcBorders>
                  <w:noWrap w:val="0"/>
                  <w:vAlign w:val="center"/>
                </w:tcPr>
                <w:p w14:paraId="5AFCBF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eastAsia" w:ascii="Times New Roman" w:hAnsi="Times New Roman" w:eastAsia="宋体" w:cs="Times New Roman"/>
                      <w:bCs/>
                      <w:snapToGrid w:val="0"/>
                      <w:color w:val="auto"/>
                      <w:kern w:val="0"/>
                      <w:sz w:val="18"/>
                      <w:szCs w:val="18"/>
                      <w:highlight w:val="none"/>
                      <w:lang w:eastAsia="zh-CN"/>
                    </w:rPr>
                    <w:t>助燃，具</w:t>
                  </w:r>
                  <w:r>
                    <w:rPr>
                      <w:rFonts w:hint="eastAsia" w:cs="Times New Roman"/>
                      <w:bCs/>
                      <w:snapToGrid w:val="0"/>
                      <w:color w:val="auto"/>
                      <w:kern w:val="0"/>
                      <w:sz w:val="18"/>
                      <w:szCs w:val="18"/>
                      <w:highlight w:val="none"/>
                      <w:lang w:eastAsia="zh-CN"/>
                    </w:rPr>
                    <w:t>刺激性</w:t>
                  </w:r>
                  <w:r>
                    <w:rPr>
                      <w:rFonts w:hint="eastAsia" w:ascii="Times New Roman" w:hAnsi="Times New Roman" w:eastAsia="宋体" w:cs="Times New Roman"/>
                      <w:bCs/>
                      <w:snapToGrid w:val="0"/>
                      <w:color w:val="auto"/>
                      <w:kern w:val="0"/>
                      <w:sz w:val="18"/>
                      <w:szCs w:val="18"/>
                      <w:highlight w:val="none"/>
                      <w:lang w:eastAsia="zh-CN"/>
                    </w:rPr>
                    <w:t>腐蚀性，受高热或撞击时爆炸</w:t>
                  </w:r>
                </w:p>
              </w:tc>
              <w:tc>
                <w:tcPr>
                  <w:tcW w:w="1535" w:type="dxa"/>
                  <w:tcBorders>
                    <w:tl2br w:val="nil"/>
                    <w:tr2bl w:val="nil"/>
                  </w:tcBorders>
                  <w:noWrap w:val="0"/>
                  <w:vAlign w:val="center"/>
                </w:tcPr>
                <w:p w14:paraId="03D266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cs="Times New Roman"/>
                      <w:bCs/>
                      <w:snapToGrid w:val="0"/>
                      <w:color w:val="auto"/>
                      <w:kern w:val="0"/>
                      <w:sz w:val="18"/>
                      <w:szCs w:val="18"/>
                      <w:highlight w:val="none"/>
                      <w:lang w:eastAsia="zh-CN"/>
                    </w:rPr>
                    <w:t>:</w:t>
                  </w:r>
                  <w:r>
                    <w:rPr>
                      <w:rFonts w:hint="eastAsia" w:ascii="Times New Roman" w:hAnsi="Times New Roman" w:eastAsia="宋体" w:cs="Times New Roman"/>
                      <w:bCs/>
                      <w:snapToGrid w:val="0"/>
                      <w:color w:val="auto"/>
                      <w:kern w:val="0"/>
                      <w:sz w:val="18"/>
                      <w:szCs w:val="18"/>
                      <w:highlight w:val="none"/>
                      <w:lang w:val="en-US" w:eastAsia="zh-CN"/>
                    </w:rPr>
                    <w:t>820</w:t>
                  </w:r>
                  <w:r>
                    <w:rPr>
                      <w:rFonts w:hint="default" w:ascii="Times New Roman" w:hAnsi="Times New Roman" w:eastAsia="宋体" w:cs="Times New Roman"/>
                      <w:bCs/>
                      <w:snapToGrid w:val="0"/>
                      <w:color w:val="auto"/>
                      <w:kern w:val="0"/>
                      <w:sz w:val="18"/>
                      <w:szCs w:val="18"/>
                      <w:highlight w:val="none"/>
                    </w:rPr>
                    <w:t>mg/kg</w:t>
                  </w:r>
                  <w:r>
                    <w:rPr>
                      <w:rFonts w:hint="eastAsia" w:cs="Times New Roman"/>
                      <w:bCs/>
                      <w:snapToGrid w:val="0"/>
                      <w:color w:val="auto"/>
                      <w:kern w:val="0"/>
                      <w:sz w:val="18"/>
                      <w:szCs w:val="18"/>
                      <w:highlight w:val="none"/>
                      <w:lang w:eastAsia="zh-CN"/>
                    </w:rPr>
                    <w:t>（</w:t>
                  </w:r>
                  <w:r>
                    <w:rPr>
                      <w:rFonts w:hint="eastAsia" w:ascii="Times New Roman" w:hAnsi="Times New Roman" w:eastAsia="宋体" w:cs="Times New Roman"/>
                      <w:bCs/>
                      <w:snapToGrid w:val="0"/>
                      <w:color w:val="auto"/>
                      <w:kern w:val="0"/>
                      <w:sz w:val="18"/>
                      <w:szCs w:val="18"/>
                      <w:highlight w:val="none"/>
                      <w:lang w:eastAsia="zh-CN"/>
                    </w:rPr>
                    <w:t>大鼠</w:t>
                  </w:r>
                  <w:r>
                    <w:rPr>
                      <w:rFonts w:hint="default" w:ascii="Times New Roman" w:hAnsi="Times New Roman" w:eastAsia="宋体" w:cs="Times New Roman"/>
                      <w:bCs/>
                      <w:snapToGrid w:val="0"/>
                      <w:color w:val="auto"/>
                      <w:kern w:val="0"/>
                      <w:sz w:val="18"/>
                      <w:szCs w:val="18"/>
                      <w:highlight w:val="none"/>
                    </w:rPr>
                    <w:t>经口</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w:t>
                  </w:r>
                </w:p>
                <w:p w14:paraId="3D2844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snapToGrid w:val="0"/>
                      <w:color w:val="auto"/>
                      <w:kern w:val="0"/>
                      <w:sz w:val="18"/>
                      <w:szCs w:val="18"/>
                      <w:highlight w:val="none"/>
                    </w:rPr>
                    <w:t>LC50：</w:t>
                  </w:r>
                  <w:r>
                    <w:rPr>
                      <w:rFonts w:hint="eastAsia" w:ascii="Times New Roman" w:hAnsi="Times New Roman" w:eastAsia="宋体" w:cs="Times New Roman"/>
                      <w:bCs/>
                      <w:snapToGrid w:val="0"/>
                      <w:color w:val="auto"/>
                      <w:kern w:val="0"/>
                      <w:sz w:val="18"/>
                      <w:szCs w:val="18"/>
                      <w:highlight w:val="none"/>
                      <w:lang w:eastAsia="zh-CN"/>
                    </w:rPr>
                    <w:t>无资料</w:t>
                  </w:r>
                </w:p>
              </w:tc>
            </w:tr>
            <w:tr w14:paraId="5F266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52" w:hRule="atLeast"/>
                <w:jc w:val="center"/>
              </w:trPr>
              <w:tc>
                <w:tcPr>
                  <w:tcW w:w="331" w:type="dxa"/>
                  <w:tcBorders>
                    <w:tl2br w:val="nil"/>
                    <w:tr2bl w:val="nil"/>
                  </w:tcBorders>
                  <w:noWrap w:val="0"/>
                  <w:vAlign w:val="center"/>
                </w:tcPr>
                <w:p w14:paraId="7FCCE9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5</w:t>
                  </w:r>
                </w:p>
              </w:tc>
              <w:tc>
                <w:tcPr>
                  <w:tcW w:w="675" w:type="dxa"/>
                  <w:tcBorders>
                    <w:tl2br w:val="nil"/>
                    <w:tr2bl w:val="nil"/>
                  </w:tcBorders>
                  <w:noWrap w:val="0"/>
                  <w:vAlign w:val="center"/>
                </w:tcPr>
                <w:p w14:paraId="7D7C3D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val="en-US" w:eastAsia="zh-CN"/>
                    </w:rPr>
                  </w:pPr>
                  <w:r>
                    <w:rPr>
                      <w:rFonts w:hint="default" w:ascii="Times New Roman" w:hAnsi="Times New Roman" w:eastAsia="宋体" w:cs="Times New Roman"/>
                      <w:color w:val="auto"/>
                      <w:kern w:val="0"/>
                      <w:sz w:val="18"/>
                      <w:szCs w:val="18"/>
                      <w:lang w:val="en-US" w:eastAsia="zh-CN" w:bidi="ar"/>
                    </w:rPr>
                    <w:t>异氟烷</w:t>
                  </w:r>
                </w:p>
              </w:tc>
              <w:tc>
                <w:tcPr>
                  <w:tcW w:w="725" w:type="dxa"/>
                  <w:tcBorders>
                    <w:tl2br w:val="nil"/>
                    <w:tr2bl w:val="nil"/>
                  </w:tcBorders>
                  <w:noWrap w:val="0"/>
                  <w:vAlign w:val="center"/>
                </w:tcPr>
                <w:p w14:paraId="2FE69D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lang w:val="en-US" w:eastAsia="zh-CN"/>
                    </w:rPr>
                  </w:pPr>
                  <w:r>
                    <w:rPr>
                      <w:rFonts w:hint="eastAsia" w:eastAsia="宋体" w:cs="Times New Roman"/>
                      <w:bCs/>
                      <w:snapToGrid w:val="0"/>
                      <w:color w:val="auto"/>
                      <w:kern w:val="0"/>
                      <w:sz w:val="18"/>
                      <w:szCs w:val="18"/>
                      <w:highlight w:val="none"/>
                      <w:lang w:val="en-US" w:eastAsia="zh-CN"/>
                    </w:rPr>
                    <w:t>/</w:t>
                  </w:r>
                </w:p>
              </w:tc>
              <w:tc>
                <w:tcPr>
                  <w:tcW w:w="3476" w:type="dxa"/>
                  <w:tcBorders>
                    <w:tl2br w:val="nil"/>
                    <w:tr2bl w:val="nil"/>
                  </w:tcBorders>
                  <w:noWrap w:val="0"/>
                  <w:vAlign w:val="center"/>
                </w:tcPr>
                <w:p w14:paraId="29511D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eastAsia="宋体" w:cs="Times New Roman"/>
                      <w:b w:val="0"/>
                      <w:bCs/>
                      <w:color w:val="auto"/>
                      <w:sz w:val="18"/>
                      <w:szCs w:val="18"/>
                      <w:highlight w:val="none"/>
                      <w:lang w:val="en-US" w:eastAsia="zh-CN"/>
                    </w:rPr>
                    <w:t>一种麻药，</w:t>
                  </w:r>
                  <w:r>
                    <w:rPr>
                      <w:rFonts w:hint="eastAsia" w:ascii="Times New Roman" w:hAnsi="Times New Roman" w:eastAsia="宋体" w:cs="Times New Roman"/>
                      <w:bCs/>
                      <w:snapToGrid w:val="0"/>
                      <w:color w:val="auto"/>
                      <w:kern w:val="0"/>
                      <w:sz w:val="18"/>
                      <w:szCs w:val="18"/>
                      <w:highlight w:val="none"/>
                      <w:lang w:eastAsia="zh-CN"/>
                    </w:rPr>
                    <w:t>无色透明液体</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相对</w:t>
                  </w:r>
                  <w:r>
                    <w:rPr>
                      <w:rFonts w:hint="default" w:ascii="Times New Roman" w:hAnsi="Times New Roman" w:eastAsia="宋体" w:cs="Times New Roman"/>
                      <w:bCs/>
                      <w:snapToGrid w:val="0"/>
                      <w:color w:val="auto"/>
                      <w:kern w:val="0"/>
                      <w:sz w:val="18"/>
                      <w:szCs w:val="18"/>
                      <w:highlight w:val="none"/>
                    </w:rPr>
                    <w:t>密度</w:t>
                  </w:r>
                  <w:r>
                    <w:rPr>
                      <w:rFonts w:hint="eastAsia" w:ascii="Times New Roman" w:hAnsi="Times New Roman" w:eastAsia="宋体" w:cs="Times New Roman"/>
                      <w:bCs/>
                      <w:snapToGrid w:val="0"/>
                      <w:color w:val="auto"/>
                      <w:kern w:val="0"/>
                      <w:sz w:val="18"/>
                      <w:szCs w:val="18"/>
                      <w:highlight w:val="none"/>
                      <w:lang w:val="en-US" w:eastAsia="zh-CN"/>
                    </w:rPr>
                    <w:t>1.45</w:t>
                  </w:r>
                  <w:r>
                    <w:rPr>
                      <w:rFonts w:hint="default" w:ascii="Times New Roman" w:hAnsi="Times New Roman" w:eastAsia="宋体" w:cs="Times New Roman"/>
                      <w:bCs/>
                      <w:snapToGrid w:val="0"/>
                      <w:color w:val="auto"/>
                      <w:kern w:val="0"/>
                      <w:sz w:val="18"/>
                      <w:szCs w:val="18"/>
                      <w:highlight w:val="none"/>
                    </w:rPr>
                    <w:t>g/cm</w:t>
                  </w:r>
                  <w:r>
                    <w:rPr>
                      <w:rFonts w:hint="default" w:ascii="Times New Roman" w:hAnsi="Times New Roman" w:eastAsia="宋体" w:cs="Times New Roman"/>
                      <w:bCs/>
                      <w:snapToGrid w:val="0"/>
                      <w:color w:val="auto"/>
                      <w:kern w:val="0"/>
                      <w:sz w:val="18"/>
                      <w:szCs w:val="18"/>
                      <w:highlight w:val="none"/>
                      <w:vertAlign w:val="superscript"/>
                    </w:rPr>
                    <w:t>3</w:t>
                  </w:r>
                  <w:r>
                    <w:rPr>
                      <w:rFonts w:hint="default" w:ascii="Times New Roman" w:hAnsi="Times New Roman" w:eastAsia="宋体" w:cs="Times New Roman"/>
                      <w:bCs/>
                      <w:snapToGrid w:val="0"/>
                      <w:color w:val="auto"/>
                      <w:kern w:val="0"/>
                      <w:sz w:val="18"/>
                      <w:szCs w:val="18"/>
                      <w:highlight w:val="none"/>
                    </w:rPr>
                    <w:t>，沸点</w:t>
                  </w:r>
                  <w:r>
                    <w:rPr>
                      <w:rFonts w:hint="eastAsia" w:ascii="Times New Roman" w:hAnsi="Times New Roman" w:eastAsia="宋体" w:cs="Times New Roman"/>
                      <w:bCs/>
                      <w:snapToGrid w:val="0"/>
                      <w:color w:val="auto"/>
                      <w:kern w:val="0"/>
                      <w:sz w:val="18"/>
                      <w:szCs w:val="18"/>
                      <w:highlight w:val="none"/>
                      <w:lang w:val="en-US" w:eastAsia="zh-CN"/>
                    </w:rPr>
                    <w:t>48.5</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闪点</w:t>
                  </w:r>
                  <w:r>
                    <w:rPr>
                      <w:rFonts w:hint="eastAsia" w:ascii="Times New Roman" w:hAnsi="Times New Roman" w:eastAsia="宋体" w:cs="Times New Roman"/>
                      <w:bCs/>
                      <w:snapToGrid w:val="0"/>
                      <w:color w:val="auto"/>
                      <w:kern w:val="0"/>
                      <w:sz w:val="18"/>
                      <w:szCs w:val="18"/>
                      <w:highlight w:val="none"/>
                      <w:lang w:val="en-US" w:eastAsia="zh-CN"/>
                    </w:rPr>
                    <w:t>-10.6</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引燃温度</w:t>
                  </w:r>
                  <w:r>
                    <w:rPr>
                      <w:rFonts w:hint="eastAsia" w:ascii="Times New Roman" w:hAnsi="Times New Roman" w:eastAsia="宋体" w:cs="Times New Roman"/>
                      <w:bCs/>
                      <w:snapToGrid w:val="0"/>
                      <w:color w:val="auto"/>
                      <w:kern w:val="0"/>
                      <w:sz w:val="18"/>
                      <w:szCs w:val="18"/>
                      <w:highlight w:val="none"/>
                      <w:lang w:val="en-US" w:eastAsia="zh-CN"/>
                    </w:rPr>
                    <w:t>399</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溶于水以及</w:t>
                  </w:r>
                  <w:r>
                    <w:rPr>
                      <w:rFonts w:hint="default" w:ascii="Times New Roman" w:hAnsi="Times New Roman" w:eastAsia="宋体" w:cs="Times New Roman"/>
                      <w:bCs/>
                      <w:snapToGrid w:val="0"/>
                      <w:color w:val="auto"/>
                      <w:kern w:val="0"/>
                      <w:sz w:val="18"/>
                      <w:szCs w:val="18"/>
                      <w:highlight w:val="none"/>
                    </w:rPr>
                    <w:t>醚、醇、</w:t>
                  </w:r>
                  <w:r>
                    <w:rPr>
                      <w:rFonts w:hint="eastAsia" w:ascii="Times New Roman" w:hAnsi="Times New Roman" w:eastAsia="宋体" w:cs="Times New Roman"/>
                      <w:bCs/>
                      <w:snapToGrid w:val="0"/>
                      <w:color w:val="auto"/>
                      <w:kern w:val="0"/>
                      <w:sz w:val="18"/>
                      <w:szCs w:val="18"/>
                      <w:highlight w:val="none"/>
                      <w:lang w:eastAsia="zh-CN"/>
                    </w:rPr>
                    <w:t>氯仿等</w:t>
                  </w:r>
                  <w:r>
                    <w:rPr>
                      <w:rFonts w:hint="default" w:ascii="Times New Roman" w:hAnsi="Times New Roman" w:eastAsia="宋体" w:cs="Times New Roman"/>
                      <w:bCs/>
                      <w:snapToGrid w:val="0"/>
                      <w:color w:val="auto"/>
                      <w:kern w:val="0"/>
                      <w:sz w:val="18"/>
                      <w:szCs w:val="18"/>
                      <w:highlight w:val="none"/>
                    </w:rPr>
                    <w:t>有机溶剂。</w:t>
                  </w:r>
                </w:p>
              </w:tc>
              <w:tc>
                <w:tcPr>
                  <w:tcW w:w="1535" w:type="dxa"/>
                  <w:tcBorders>
                    <w:tl2br w:val="nil"/>
                    <w:tr2bl w:val="nil"/>
                  </w:tcBorders>
                  <w:noWrap w:val="0"/>
                  <w:vAlign w:val="center"/>
                </w:tcPr>
                <w:p w14:paraId="748239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Cs/>
                      <w:snapToGrid w:val="0"/>
                      <w:color w:val="auto"/>
                      <w:kern w:val="0"/>
                      <w:sz w:val="18"/>
                      <w:szCs w:val="18"/>
                      <w:highlight w:val="none"/>
                      <w:lang w:eastAsia="zh-CN"/>
                    </w:rPr>
                    <w:t>可燃</w:t>
                  </w:r>
                </w:p>
              </w:tc>
              <w:tc>
                <w:tcPr>
                  <w:tcW w:w="1535" w:type="dxa"/>
                  <w:tcBorders>
                    <w:tl2br w:val="nil"/>
                    <w:tr2bl w:val="nil"/>
                  </w:tcBorders>
                  <w:noWrap w:val="0"/>
                  <w:vAlign w:val="center"/>
                </w:tcPr>
                <w:p w14:paraId="174080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ascii="Times New Roman" w:hAnsi="Times New Roman" w:eastAsia="宋体" w:cs="Times New Roman"/>
                      <w:bCs/>
                      <w:snapToGrid w:val="0"/>
                      <w:color w:val="auto"/>
                      <w:kern w:val="0"/>
                      <w:sz w:val="18"/>
                      <w:szCs w:val="18"/>
                      <w:highlight w:val="none"/>
                      <w:lang w:val="en-US" w:eastAsia="zh-CN"/>
                    </w:rPr>
                    <w:t>无资料</w:t>
                  </w:r>
                  <w:r>
                    <w:rPr>
                      <w:rFonts w:hint="default" w:ascii="Times New Roman" w:hAnsi="Times New Roman" w:eastAsia="宋体" w:cs="Times New Roman"/>
                      <w:bCs/>
                      <w:snapToGrid w:val="0"/>
                      <w:color w:val="auto"/>
                      <w:kern w:val="0"/>
                      <w:sz w:val="18"/>
                      <w:szCs w:val="18"/>
                      <w:highlight w:val="none"/>
                    </w:rPr>
                    <w:t>；</w:t>
                  </w:r>
                </w:p>
                <w:p w14:paraId="53C329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snapToGrid w:val="0"/>
                      <w:color w:val="auto"/>
                      <w:kern w:val="0"/>
                      <w:sz w:val="18"/>
                      <w:szCs w:val="18"/>
                      <w:highlight w:val="none"/>
                    </w:rPr>
                    <w:t>LC50：</w:t>
                  </w:r>
                  <w:r>
                    <w:rPr>
                      <w:rFonts w:hint="eastAsia" w:ascii="Times New Roman" w:hAnsi="Times New Roman" w:eastAsia="宋体" w:cs="Times New Roman"/>
                      <w:bCs/>
                      <w:snapToGrid w:val="0"/>
                      <w:color w:val="auto"/>
                      <w:kern w:val="0"/>
                      <w:sz w:val="18"/>
                      <w:szCs w:val="18"/>
                      <w:highlight w:val="none"/>
                      <w:lang w:eastAsia="zh-CN"/>
                    </w:rPr>
                    <w:t>无资料</w:t>
                  </w:r>
                </w:p>
              </w:tc>
            </w:tr>
            <w:tr w14:paraId="63BCC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52" w:hRule="atLeast"/>
                <w:jc w:val="center"/>
              </w:trPr>
              <w:tc>
                <w:tcPr>
                  <w:tcW w:w="331" w:type="dxa"/>
                  <w:tcBorders>
                    <w:tl2br w:val="nil"/>
                    <w:tr2bl w:val="nil"/>
                  </w:tcBorders>
                  <w:noWrap w:val="0"/>
                  <w:vAlign w:val="center"/>
                </w:tcPr>
                <w:p w14:paraId="6A570E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6</w:t>
                  </w:r>
                </w:p>
              </w:tc>
              <w:tc>
                <w:tcPr>
                  <w:tcW w:w="675" w:type="dxa"/>
                  <w:tcBorders>
                    <w:tl2br w:val="nil"/>
                    <w:tr2bl w:val="nil"/>
                  </w:tcBorders>
                  <w:noWrap w:val="0"/>
                  <w:vAlign w:val="center"/>
                </w:tcPr>
                <w:p w14:paraId="22C93A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水合氯醛</w:t>
                  </w:r>
                </w:p>
              </w:tc>
              <w:tc>
                <w:tcPr>
                  <w:tcW w:w="725" w:type="dxa"/>
                  <w:tcBorders>
                    <w:tl2br w:val="nil"/>
                    <w:tr2bl w:val="nil"/>
                  </w:tcBorders>
                  <w:noWrap w:val="0"/>
                  <w:vAlign w:val="center"/>
                </w:tcPr>
                <w:p w14:paraId="604A5F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lang w:val="en-US" w:eastAsia="zh-CN"/>
                    </w:rPr>
                  </w:pPr>
                  <w:r>
                    <w:rPr>
                      <w:rFonts w:hint="default" w:ascii="Times New Roman" w:hAnsi="Times New Roman" w:eastAsia="宋体" w:cs="Times New Roman"/>
                      <w:bCs/>
                      <w:snapToGrid w:val="0"/>
                      <w:color w:val="auto"/>
                      <w:kern w:val="0"/>
                      <w:sz w:val="18"/>
                      <w:szCs w:val="18"/>
                      <w:highlight w:val="none"/>
                      <w:lang w:val="en-US" w:eastAsia="zh-CN"/>
                    </w:rPr>
                    <w:t>302-17-0</w:t>
                  </w:r>
                </w:p>
              </w:tc>
              <w:tc>
                <w:tcPr>
                  <w:tcW w:w="3476" w:type="dxa"/>
                  <w:tcBorders>
                    <w:tl2br w:val="nil"/>
                    <w:tr2bl w:val="nil"/>
                  </w:tcBorders>
                  <w:noWrap w:val="0"/>
                  <w:vAlign w:val="center"/>
                </w:tcPr>
                <w:p w14:paraId="2D40D6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Cs/>
                      <w:snapToGrid w:val="0"/>
                      <w:color w:val="auto"/>
                      <w:kern w:val="0"/>
                      <w:sz w:val="18"/>
                      <w:szCs w:val="18"/>
                      <w:highlight w:val="none"/>
                      <w:lang w:eastAsia="zh-CN"/>
                    </w:rPr>
                    <w:t>无色或白色粉末</w:t>
                  </w:r>
                  <w:r>
                    <w:rPr>
                      <w:rFonts w:hint="default" w:ascii="Times New Roman" w:hAnsi="Times New Roman" w:eastAsia="宋体" w:cs="Times New Roman"/>
                      <w:bCs/>
                      <w:snapToGrid w:val="0"/>
                      <w:color w:val="auto"/>
                      <w:kern w:val="0"/>
                      <w:sz w:val="18"/>
                      <w:szCs w:val="18"/>
                      <w:highlight w:val="none"/>
                    </w:rPr>
                    <w:t>，具有刺鼻的辛辣气味，味微苦的有机化合物，有毒</w:t>
                  </w:r>
                  <w:r>
                    <w:rPr>
                      <w:rFonts w:hint="eastAsia" w:ascii="Times New Roman" w:hAnsi="Times New Roman" w:eastAsia="宋体" w:cs="Times New Roman"/>
                      <w:bCs/>
                      <w:snapToGrid w:val="0"/>
                      <w:color w:val="auto"/>
                      <w:kern w:val="0"/>
                      <w:sz w:val="18"/>
                      <w:szCs w:val="18"/>
                      <w:highlight w:val="none"/>
                      <w:lang w:eastAsia="zh-CN"/>
                    </w:rPr>
                    <w:t>，相对</w:t>
                  </w:r>
                  <w:r>
                    <w:rPr>
                      <w:rFonts w:hint="default" w:ascii="Times New Roman" w:hAnsi="Times New Roman" w:eastAsia="宋体" w:cs="Times New Roman"/>
                      <w:bCs/>
                      <w:snapToGrid w:val="0"/>
                      <w:color w:val="auto"/>
                      <w:kern w:val="0"/>
                      <w:sz w:val="18"/>
                      <w:szCs w:val="18"/>
                      <w:highlight w:val="none"/>
                    </w:rPr>
                    <w:t>密度</w:t>
                  </w:r>
                  <w:r>
                    <w:rPr>
                      <w:rFonts w:hint="eastAsia" w:ascii="Times New Roman" w:hAnsi="Times New Roman" w:eastAsia="宋体" w:cs="Times New Roman"/>
                      <w:bCs/>
                      <w:snapToGrid w:val="0"/>
                      <w:color w:val="auto"/>
                      <w:kern w:val="0"/>
                      <w:sz w:val="18"/>
                      <w:szCs w:val="18"/>
                      <w:highlight w:val="none"/>
                      <w:lang w:val="en-US" w:eastAsia="zh-CN"/>
                    </w:rPr>
                    <w:t>1.91</w:t>
                  </w:r>
                  <w:r>
                    <w:rPr>
                      <w:rFonts w:hint="default" w:ascii="Times New Roman" w:hAnsi="Times New Roman" w:eastAsia="宋体" w:cs="Times New Roman"/>
                      <w:bCs/>
                      <w:snapToGrid w:val="0"/>
                      <w:color w:val="auto"/>
                      <w:kern w:val="0"/>
                      <w:sz w:val="18"/>
                      <w:szCs w:val="18"/>
                      <w:highlight w:val="none"/>
                    </w:rPr>
                    <w:t>g/cm</w:t>
                  </w:r>
                  <w:r>
                    <w:rPr>
                      <w:rFonts w:hint="default" w:ascii="Times New Roman" w:hAnsi="Times New Roman" w:eastAsia="宋体" w:cs="Times New Roman"/>
                      <w:bCs/>
                      <w:snapToGrid w:val="0"/>
                      <w:color w:val="auto"/>
                      <w:kern w:val="0"/>
                      <w:sz w:val="18"/>
                      <w:szCs w:val="18"/>
                      <w:highlight w:val="none"/>
                      <w:vertAlign w:val="superscript"/>
                    </w:rPr>
                    <w:t>3</w:t>
                  </w:r>
                  <w:r>
                    <w:rPr>
                      <w:rFonts w:hint="default" w:ascii="Times New Roman" w:hAnsi="Times New Roman" w:eastAsia="宋体" w:cs="Times New Roman"/>
                      <w:bCs/>
                      <w:snapToGrid w:val="0"/>
                      <w:color w:val="auto"/>
                      <w:kern w:val="0"/>
                      <w:sz w:val="18"/>
                      <w:szCs w:val="18"/>
                      <w:highlight w:val="none"/>
                    </w:rPr>
                    <w:t>，沸点</w:t>
                  </w:r>
                  <w:r>
                    <w:rPr>
                      <w:rFonts w:hint="eastAsia" w:ascii="Times New Roman" w:hAnsi="Times New Roman" w:eastAsia="宋体" w:cs="Times New Roman"/>
                      <w:bCs/>
                      <w:snapToGrid w:val="0"/>
                      <w:color w:val="auto"/>
                      <w:kern w:val="0"/>
                      <w:sz w:val="18"/>
                      <w:szCs w:val="18"/>
                      <w:highlight w:val="none"/>
                      <w:lang w:val="en-US" w:eastAsia="zh-CN"/>
                    </w:rPr>
                    <w:t>98</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熔点</w:t>
                  </w:r>
                  <w:r>
                    <w:rPr>
                      <w:rFonts w:hint="eastAsia" w:ascii="Times New Roman" w:hAnsi="Times New Roman" w:eastAsia="宋体" w:cs="Times New Roman"/>
                      <w:bCs/>
                      <w:snapToGrid w:val="0"/>
                      <w:color w:val="auto"/>
                      <w:kern w:val="0"/>
                      <w:sz w:val="18"/>
                      <w:szCs w:val="18"/>
                      <w:highlight w:val="none"/>
                      <w:lang w:val="en-US" w:eastAsia="zh-CN"/>
                    </w:rPr>
                    <w:t>57</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易溶于水以及乙醚、乙醇</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丙酮等</w:t>
                  </w:r>
                  <w:r>
                    <w:rPr>
                      <w:rFonts w:hint="default" w:ascii="Times New Roman" w:hAnsi="Times New Roman" w:eastAsia="宋体" w:cs="Times New Roman"/>
                      <w:bCs/>
                      <w:snapToGrid w:val="0"/>
                      <w:color w:val="auto"/>
                      <w:kern w:val="0"/>
                      <w:sz w:val="18"/>
                      <w:szCs w:val="18"/>
                      <w:highlight w:val="none"/>
                    </w:rPr>
                    <w:t>有机溶剂。</w:t>
                  </w:r>
                  <w:r>
                    <w:rPr>
                      <w:rFonts w:hint="eastAsia" w:ascii="Times New Roman" w:hAnsi="Times New Roman" w:eastAsia="宋体" w:cs="Times New Roman"/>
                      <w:bCs/>
                      <w:snapToGrid w:val="0"/>
                      <w:color w:val="auto"/>
                      <w:kern w:val="0"/>
                      <w:sz w:val="18"/>
                      <w:szCs w:val="18"/>
                      <w:highlight w:val="none"/>
                      <w:lang w:eastAsia="zh-CN"/>
                    </w:rPr>
                    <w:t>微溶于冷苯及二硫化碳</w:t>
                  </w:r>
                  <w:r>
                    <w:rPr>
                      <w:rFonts w:hint="default" w:ascii="Times New Roman" w:hAnsi="Times New Roman" w:eastAsia="宋体" w:cs="Times New Roman"/>
                      <w:bCs/>
                      <w:snapToGrid w:val="0"/>
                      <w:color w:val="auto"/>
                      <w:kern w:val="0"/>
                      <w:sz w:val="18"/>
                      <w:szCs w:val="18"/>
                      <w:highlight w:val="none"/>
                    </w:rPr>
                    <w:t>。</w:t>
                  </w:r>
                </w:p>
              </w:tc>
              <w:tc>
                <w:tcPr>
                  <w:tcW w:w="1535" w:type="dxa"/>
                  <w:tcBorders>
                    <w:tl2br w:val="nil"/>
                    <w:tr2bl w:val="nil"/>
                  </w:tcBorders>
                  <w:noWrap w:val="0"/>
                  <w:vAlign w:val="center"/>
                </w:tcPr>
                <w:p w14:paraId="1D69A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Cs/>
                      <w:snapToGrid w:val="0"/>
                      <w:color w:val="auto"/>
                      <w:kern w:val="0"/>
                      <w:sz w:val="18"/>
                      <w:szCs w:val="18"/>
                      <w:highlight w:val="none"/>
                      <w:lang w:eastAsia="zh-CN"/>
                    </w:rPr>
                    <w:t>易燃</w:t>
                  </w:r>
                </w:p>
              </w:tc>
              <w:tc>
                <w:tcPr>
                  <w:tcW w:w="1535" w:type="dxa"/>
                  <w:tcBorders>
                    <w:tl2br w:val="nil"/>
                    <w:tr2bl w:val="nil"/>
                  </w:tcBorders>
                  <w:noWrap w:val="0"/>
                  <w:vAlign w:val="center"/>
                </w:tcPr>
                <w:p w14:paraId="104BF0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ascii="Times New Roman" w:hAnsi="Times New Roman" w:eastAsia="宋体" w:cs="Times New Roman"/>
                      <w:bCs/>
                      <w:snapToGrid w:val="0"/>
                      <w:color w:val="auto"/>
                      <w:kern w:val="0"/>
                      <w:sz w:val="18"/>
                      <w:szCs w:val="18"/>
                      <w:highlight w:val="none"/>
                      <w:lang w:val="en-US" w:eastAsia="zh-CN"/>
                    </w:rPr>
                    <w:t>无资料</w:t>
                  </w:r>
                  <w:r>
                    <w:rPr>
                      <w:rFonts w:hint="default" w:ascii="Times New Roman" w:hAnsi="Times New Roman" w:eastAsia="宋体" w:cs="Times New Roman"/>
                      <w:bCs/>
                      <w:snapToGrid w:val="0"/>
                      <w:color w:val="auto"/>
                      <w:kern w:val="0"/>
                      <w:sz w:val="18"/>
                      <w:szCs w:val="18"/>
                      <w:highlight w:val="none"/>
                    </w:rPr>
                    <w:t>；</w:t>
                  </w:r>
                </w:p>
                <w:p w14:paraId="0C38B0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snapToGrid w:val="0"/>
                      <w:color w:val="auto"/>
                      <w:kern w:val="0"/>
                      <w:sz w:val="18"/>
                      <w:szCs w:val="18"/>
                      <w:highlight w:val="none"/>
                    </w:rPr>
                    <w:t>LC50：</w:t>
                  </w:r>
                  <w:r>
                    <w:rPr>
                      <w:rFonts w:hint="eastAsia" w:ascii="Times New Roman" w:hAnsi="Times New Roman" w:eastAsia="宋体" w:cs="Times New Roman"/>
                      <w:bCs/>
                      <w:snapToGrid w:val="0"/>
                      <w:color w:val="auto"/>
                      <w:kern w:val="0"/>
                      <w:sz w:val="18"/>
                      <w:szCs w:val="18"/>
                      <w:highlight w:val="none"/>
                      <w:lang w:eastAsia="zh-CN"/>
                    </w:rPr>
                    <w:t>无资料</w:t>
                  </w:r>
                </w:p>
              </w:tc>
            </w:tr>
            <w:tr w14:paraId="2E57D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52" w:hRule="atLeast"/>
                <w:jc w:val="center"/>
              </w:trPr>
              <w:tc>
                <w:tcPr>
                  <w:tcW w:w="331" w:type="dxa"/>
                  <w:tcBorders>
                    <w:tl2br w:val="nil"/>
                    <w:tr2bl w:val="nil"/>
                  </w:tcBorders>
                  <w:noWrap w:val="0"/>
                  <w:vAlign w:val="center"/>
                </w:tcPr>
                <w:p w14:paraId="73FB10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7</w:t>
                  </w:r>
                </w:p>
              </w:tc>
              <w:tc>
                <w:tcPr>
                  <w:tcW w:w="675" w:type="dxa"/>
                  <w:tcBorders>
                    <w:tl2br w:val="nil"/>
                    <w:tr2bl w:val="nil"/>
                  </w:tcBorders>
                  <w:noWrap w:val="0"/>
                  <w:vAlign w:val="center"/>
                </w:tcPr>
                <w:p w14:paraId="6F0A83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十二烷基硫酸钠</w:t>
                  </w:r>
                </w:p>
              </w:tc>
              <w:tc>
                <w:tcPr>
                  <w:tcW w:w="725" w:type="dxa"/>
                  <w:tcBorders>
                    <w:tl2br w:val="nil"/>
                    <w:tr2bl w:val="nil"/>
                  </w:tcBorders>
                  <w:noWrap w:val="0"/>
                  <w:vAlign w:val="center"/>
                </w:tcPr>
                <w:p w14:paraId="4F2D7B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lang w:val="en-US" w:eastAsia="zh-CN"/>
                    </w:rPr>
                  </w:pPr>
                  <w:r>
                    <w:rPr>
                      <w:rFonts w:hint="eastAsia" w:eastAsia="宋体" w:cs="Times New Roman"/>
                      <w:bCs/>
                      <w:snapToGrid w:val="0"/>
                      <w:color w:val="auto"/>
                      <w:kern w:val="0"/>
                      <w:sz w:val="18"/>
                      <w:szCs w:val="18"/>
                      <w:highlight w:val="none"/>
                      <w:lang w:val="en-US" w:eastAsia="zh-CN"/>
                    </w:rPr>
                    <w:t>151-21-3</w:t>
                  </w:r>
                </w:p>
              </w:tc>
              <w:tc>
                <w:tcPr>
                  <w:tcW w:w="3476" w:type="dxa"/>
                  <w:tcBorders>
                    <w:tl2br w:val="nil"/>
                    <w:tr2bl w:val="nil"/>
                  </w:tcBorders>
                  <w:noWrap w:val="0"/>
                  <w:vAlign w:val="center"/>
                </w:tcPr>
                <w:p w14:paraId="0AF894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Cs/>
                      <w:snapToGrid w:val="0"/>
                      <w:color w:val="auto"/>
                      <w:kern w:val="0"/>
                      <w:sz w:val="18"/>
                      <w:szCs w:val="18"/>
                      <w:highlight w:val="none"/>
                      <w:lang w:eastAsia="zh-CN"/>
                    </w:rPr>
                    <w:t>白色粉末</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相对</w:t>
                  </w:r>
                  <w:r>
                    <w:rPr>
                      <w:rFonts w:hint="default" w:ascii="Times New Roman" w:hAnsi="Times New Roman" w:eastAsia="宋体" w:cs="Times New Roman"/>
                      <w:bCs/>
                      <w:snapToGrid w:val="0"/>
                      <w:color w:val="auto"/>
                      <w:kern w:val="0"/>
                      <w:sz w:val="18"/>
                      <w:szCs w:val="18"/>
                      <w:highlight w:val="none"/>
                    </w:rPr>
                    <w:t>密度</w:t>
                  </w:r>
                  <w:r>
                    <w:rPr>
                      <w:rFonts w:hint="eastAsia" w:ascii="Times New Roman" w:hAnsi="Times New Roman" w:eastAsia="宋体" w:cs="Times New Roman"/>
                      <w:bCs/>
                      <w:snapToGrid w:val="0"/>
                      <w:color w:val="auto"/>
                      <w:kern w:val="0"/>
                      <w:sz w:val="18"/>
                      <w:szCs w:val="18"/>
                      <w:highlight w:val="none"/>
                      <w:lang w:val="en-US" w:eastAsia="zh-CN"/>
                    </w:rPr>
                    <w:t>1.09</w:t>
                  </w:r>
                  <w:r>
                    <w:rPr>
                      <w:rFonts w:hint="default" w:ascii="Times New Roman" w:hAnsi="Times New Roman" w:eastAsia="宋体" w:cs="Times New Roman"/>
                      <w:bCs/>
                      <w:snapToGrid w:val="0"/>
                      <w:color w:val="auto"/>
                      <w:kern w:val="0"/>
                      <w:sz w:val="18"/>
                      <w:szCs w:val="18"/>
                      <w:highlight w:val="none"/>
                    </w:rPr>
                    <w:t>g/cm</w:t>
                  </w:r>
                  <w:r>
                    <w:rPr>
                      <w:rFonts w:hint="default" w:ascii="Times New Roman" w:hAnsi="Times New Roman" w:eastAsia="宋体" w:cs="Times New Roman"/>
                      <w:bCs/>
                      <w:snapToGrid w:val="0"/>
                      <w:color w:val="auto"/>
                      <w:kern w:val="0"/>
                      <w:sz w:val="18"/>
                      <w:szCs w:val="18"/>
                      <w:highlight w:val="none"/>
                      <w:vertAlign w:val="superscript"/>
                    </w:rPr>
                    <w:t>3</w:t>
                  </w:r>
                  <w:r>
                    <w:rPr>
                      <w:rFonts w:hint="default" w:ascii="Times New Roman" w:hAnsi="Times New Roman" w:eastAsia="宋体" w:cs="Times New Roman"/>
                      <w:bCs/>
                      <w:snapToGrid w:val="0"/>
                      <w:color w:val="auto"/>
                      <w:kern w:val="0"/>
                      <w:sz w:val="18"/>
                      <w:szCs w:val="18"/>
                      <w:highlight w:val="none"/>
                    </w:rPr>
                    <w:t>，沸点</w:t>
                  </w:r>
                  <w:r>
                    <w:rPr>
                      <w:rFonts w:hint="eastAsia" w:ascii="Times New Roman" w:hAnsi="Times New Roman" w:eastAsia="宋体" w:cs="Times New Roman"/>
                      <w:bCs/>
                      <w:snapToGrid w:val="0"/>
                      <w:color w:val="auto"/>
                      <w:kern w:val="0"/>
                      <w:sz w:val="18"/>
                      <w:szCs w:val="18"/>
                      <w:highlight w:val="none"/>
                      <w:lang w:val="en-US" w:eastAsia="zh-CN"/>
                    </w:rPr>
                    <w:t>98</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熔点</w:t>
                  </w:r>
                  <w:r>
                    <w:rPr>
                      <w:rFonts w:hint="eastAsia" w:ascii="Times New Roman" w:hAnsi="Times New Roman" w:eastAsia="宋体" w:cs="Times New Roman"/>
                      <w:bCs/>
                      <w:snapToGrid w:val="0"/>
                      <w:color w:val="auto"/>
                      <w:kern w:val="0"/>
                      <w:sz w:val="18"/>
                      <w:szCs w:val="18"/>
                      <w:highlight w:val="none"/>
                      <w:lang w:val="en-US" w:eastAsia="zh-CN"/>
                    </w:rPr>
                    <w:t>57</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溶于水，微溶于醇，不溶于氯仿、醚</w:t>
                  </w:r>
                  <w:r>
                    <w:rPr>
                      <w:rFonts w:hint="default" w:ascii="Times New Roman" w:hAnsi="Times New Roman" w:eastAsia="宋体" w:cs="Times New Roman"/>
                      <w:bCs/>
                      <w:snapToGrid w:val="0"/>
                      <w:color w:val="auto"/>
                      <w:kern w:val="0"/>
                      <w:sz w:val="18"/>
                      <w:szCs w:val="18"/>
                      <w:highlight w:val="none"/>
                    </w:rPr>
                    <w:t>。</w:t>
                  </w:r>
                </w:p>
              </w:tc>
              <w:tc>
                <w:tcPr>
                  <w:tcW w:w="1535" w:type="dxa"/>
                  <w:tcBorders>
                    <w:tl2br w:val="nil"/>
                    <w:tr2bl w:val="nil"/>
                  </w:tcBorders>
                  <w:noWrap w:val="0"/>
                  <w:vAlign w:val="center"/>
                </w:tcPr>
                <w:p w14:paraId="51CD32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Cs/>
                      <w:snapToGrid w:val="0"/>
                      <w:color w:val="auto"/>
                      <w:kern w:val="0"/>
                      <w:sz w:val="18"/>
                      <w:szCs w:val="18"/>
                      <w:highlight w:val="none"/>
                      <w:lang w:eastAsia="zh-CN"/>
                    </w:rPr>
                    <w:t>可燃，具刺激性，具致敏性</w:t>
                  </w:r>
                </w:p>
              </w:tc>
              <w:tc>
                <w:tcPr>
                  <w:tcW w:w="1535" w:type="dxa"/>
                  <w:tcBorders>
                    <w:tl2br w:val="nil"/>
                    <w:tr2bl w:val="nil"/>
                  </w:tcBorders>
                  <w:noWrap w:val="0"/>
                  <w:vAlign w:val="center"/>
                </w:tcPr>
                <w:p w14:paraId="1B62E2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cs="Times New Roman"/>
                      <w:bCs/>
                      <w:snapToGrid w:val="0"/>
                      <w:color w:val="auto"/>
                      <w:kern w:val="0"/>
                      <w:sz w:val="18"/>
                      <w:szCs w:val="18"/>
                      <w:highlight w:val="none"/>
                      <w:lang w:eastAsia="zh-CN"/>
                    </w:rPr>
                    <w:t>:</w:t>
                  </w:r>
                  <w:r>
                    <w:rPr>
                      <w:rFonts w:hint="eastAsia" w:ascii="Times New Roman" w:hAnsi="Times New Roman" w:eastAsia="宋体" w:cs="Times New Roman"/>
                      <w:bCs/>
                      <w:snapToGrid w:val="0"/>
                      <w:color w:val="auto"/>
                      <w:kern w:val="0"/>
                      <w:sz w:val="18"/>
                      <w:szCs w:val="18"/>
                      <w:highlight w:val="none"/>
                      <w:lang w:val="en-US" w:eastAsia="zh-CN"/>
                    </w:rPr>
                    <w:t>200</w:t>
                  </w:r>
                  <w:r>
                    <w:rPr>
                      <w:rFonts w:hint="default" w:ascii="Times New Roman" w:hAnsi="Times New Roman" w:eastAsia="宋体" w:cs="Times New Roman"/>
                      <w:bCs/>
                      <w:snapToGrid w:val="0"/>
                      <w:color w:val="auto"/>
                      <w:kern w:val="0"/>
                      <w:sz w:val="18"/>
                      <w:szCs w:val="18"/>
                      <w:highlight w:val="none"/>
                    </w:rPr>
                    <w:t>0mg/kg</w:t>
                  </w:r>
                  <w:r>
                    <w:rPr>
                      <w:rFonts w:hint="eastAsia" w:cs="Times New Roman"/>
                      <w:bCs/>
                      <w:snapToGrid w:val="0"/>
                      <w:color w:val="auto"/>
                      <w:kern w:val="0"/>
                      <w:sz w:val="18"/>
                      <w:szCs w:val="18"/>
                      <w:highlight w:val="none"/>
                      <w:lang w:eastAsia="zh-CN"/>
                    </w:rPr>
                    <w:t>（</w:t>
                  </w:r>
                  <w:r>
                    <w:rPr>
                      <w:rFonts w:hint="eastAsia" w:ascii="Times New Roman" w:hAnsi="Times New Roman" w:eastAsia="宋体" w:cs="Times New Roman"/>
                      <w:bCs/>
                      <w:snapToGrid w:val="0"/>
                      <w:color w:val="auto"/>
                      <w:kern w:val="0"/>
                      <w:sz w:val="18"/>
                      <w:szCs w:val="18"/>
                      <w:highlight w:val="none"/>
                      <w:lang w:eastAsia="zh-CN"/>
                    </w:rPr>
                    <w:t>小鼠</w:t>
                  </w:r>
                  <w:r>
                    <w:rPr>
                      <w:rFonts w:hint="default" w:ascii="Times New Roman" w:hAnsi="Times New Roman" w:eastAsia="宋体" w:cs="Times New Roman"/>
                      <w:bCs/>
                      <w:snapToGrid w:val="0"/>
                      <w:color w:val="auto"/>
                      <w:kern w:val="0"/>
                      <w:sz w:val="18"/>
                      <w:szCs w:val="18"/>
                      <w:highlight w:val="none"/>
                    </w:rPr>
                    <w:t>经口</w:t>
                  </w:r>
                  <w:r>
                    <w:rPr>
                      <w:rFonts w:hint="eastAsia" w:cs="Times New Roman"/>
                      <w:bCs/>
                      <w:snapToGrid w:val="0"/>
                      <w:color w:val="auto"/>
                      <w:kern w:val="0"/>
                      <w:sz w:val="18"/>
                      <w:szCs w:val="18"/>
                      <w:highlight w:val="none"/>
                      <w:lang w:eastAsia="zh-CN"/>
                    </w:rPr>
                    <w:t>）</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val="en-US" w:eastAsia="zh-CN"/>
                    </w:rPr>
                    <w:t>1288</w:t>
                  </w:r>
                  <w:r>
                    <w:rPr>
                      <w:rFonts w:hint="default" w:ascii="Times New Roman" w:hAnsi="Times New Roman" w:eastAsia="宋体" w:cs="Times New Roman"/>
                      <w:bCs/>
                      <w:snapToGrid w:val="0"/>
                      <w:color w:val="auto"/>
                      <w:kern w:val="0"/>
                      <w:sz w:val="18"/>
                      <w:szCs w:val="18"/>
                      <w:highlight w:val="none"/>
                    </w:rPr>
                    <w:t>mg/kg</w:t>
                  </w:r>
                  <w:r>
                    <w:rPr>
                      <w:rFonts w:hint="eastAsia" w:cs="Times New Roman"/>
                      <w:bCs/>
                      <w:snapToGrid w:val="0"/>
                      <w:color w:val="auto"/>
                      <w:kern w:val="0"/>
                      <w:sz w:val="18"/>
                      <w:szCs w:val="18"/>
                      <w:highlight w:val="none"/>
                      <w:lang w:eastAsia="zh-CN"/>
                    </w:rPr>
                    <w:t>（</w:t>
                  </w:r>
                  <w:r>
                    <w:rPr>
                      <w:rFonts w:hint="eastAsia" w:ascii="Times New Roman" w:hAnsi="Times New Roman" w:eastAsia="宋体" w:cs="Times New Roman"/>
                      <w:bCs/>
                      <w:snapToGrid w:val="0"/>
                      <w:color w:val="auto"/>
                      <w:kern w:val="0"/>
                      <w:sz w:val="18"/>
                      <w:szCs w:val="18"/>
                      <w:highlight w:val="none"/>
                      <w:lang w:eastAsia="zh-CN"/>
                    </w:rPr>
                    <w:t>大鼠经口</w:t>
                  </w:r>
                  <w:r>
                    <w:rPr>
                      <w:rFonts w:hint="eastAsia" w:cs="Times New Roman"/>
                      <w:bCs/>
                      <w:snapToGrid w:val="0"/>
                      <w:color w:val="auto"/>
                      <w:kern w:val="0"/>
                      <w:sz w:val="18"/>
                      <w:szCs w:val="18"/>
                      <w:highlight w:val="none"/>
                      <w:lang w:eastAsia="zh-CN"/>
                    </w:rPr>
                    <w:t>）</w:t>
                  </w:r>
                </w:p>
                <w:p w14:paraId="706504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Cs/>
                      <w:snapToGrid w:val="0"/>
                      <w:color w:val="auto"/>
                      <w:kern w:val="0"/>
                      <w:sz w:val="18"/>
                      <w:szCs w:val="18"/>
                      <w:highlight w:val="none"/>
                    </w:rPr>
                    <w:t>LC50：</w:t>
                  </w:r>
                  <w:r>
                    <w:rPr>
                      <w:rFonts w:hint="eastAsia" w:ascii="Times New Roman" w:hAnsi="Times New Roman" w:eastAsia="宋体" w:cs="Times New Roman"/>
                      <w:bCs/>
                      <w:snapToGrid w:val="0"/>
                      <w:color w:val="auto"/>
                      <w:kern w:val="0"/>
                      <w:sz w:val="18"/>
                      <w:szCs w:val="18"/>
                      <w:highlight w:val="none"/>
                      <w:lang w:eastAsia="zh-CN"/>
                    </w:rPr>
                    <w:t>无资料</w:t>
                  </w:r>
                </w:p>
              </w:tc>
            </w:tr>
            <w:tr w14:paraId="308D2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52" w:hRule="atLeast"/>
                <w:jc w:val="center"/>
              </w:trPr>
              <w:tc>
                <w:tcPr>
                  <w:tcW w:w="331" w:type="dxa"/>
                  <w:tcBorders>
                    <w:tl2br w:val="nil"/>
                    <w:tr2bl w:val="nil"/>
                  </w:tcBorders>
                  <w:noWrap w:val="0"/>
                  <w:vAlign w:val="center"/>
                </w:tcPr>
                <w:p w14:paraId="0D017E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8</w:t>
                  </w:r>
                </w:p>
              </w:tc>
              <w:tc>
                <w:tcPr>
                  <w:tcW w:w="675" w:type="dxa"/>
                  <w:tcBorders>
                    <w:tl2br w:val="nil"/>
                    <w:tr2bl w:val="nil"/>
                  </w:tcBorders>
                  <w:noWrap w:val="0"/>
                  <w:vAlign w:val="center"/>
                </w:tcPr>
                <w:p w14:paraId="6F29F1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三（羟甲基）氨基甲烷</w:t>
                  </w:r>
                </w:p>
              </w:tc>
              <w:tc>
                <w:tcPr>
                  <w:tcW w:w="725" w:type="dxa"/>
                  <w:tcBorders>
                    <w:tl2br w:val="nil"/>
                    <w:tr2bl w:val="nil"/>
                  </w:tcBorders>
                  <w:noWrap w:val="0"/>
                  <w:vAlign w:val="center"/>
                </w:tcPr>
                <w:p w14:paraId="226FCA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bCs/>
                      <w:snapToGrid w:val="0"/>
                      <w:color w:val="auto"/>
                      <w:kern w:val="0"/>
                      <w:sz w:val="18"/>
                      <w:szCs w:val="18"/>
                      <w:highlight w:val="none"/>
                      <w:lang w:val="en-US" w:eastAsia="zh-CN"/>
                    </w:rPr>
                  </w:pPr>
                  <w:r>
                    <w:rPr>
                      <w:rFonts w:hint="eastAsia" w:eastAsia="宋体" w:cs="Times New Roman"/>
                      <w:bCs/>
                      <w:snapToGrid w:val="0"/>
                      <w:color w:val="auto"/>
                      <w:kern w:val="0"/>
                      <w:sz w:val="18"/>
                      <w:szCs w:val="18"/>
                      <w:highlight w:val="none"/>
                      <w:lang w:val="en-US" w:eastAsia="zh-CN"/>
                    </w:rPr>
                    <w:t>77-86-1</w:t>
                  </w:r>
                </w:p>
              </w:tc>
              <w:tc>
                <w:tcPr>
                  <w:tcW w:w="3476" w:type="dxa"/>
                  <w:tcBorders>
                    <w:tl2br w:val="nil"/>
                    <w:tr2bl w:val="nil"/>
                  </w:tcBorders>
                  <w:noWrap w:val="0"/>
                  <w:vAlign w:val="center"/>
                </w:tcPr>
                <w:p w14:paraId="5F9DBD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eastAsia="zh-CN"/>
                    </w:rPr>
                  </w:pPr>
                  <w:r>
                    <w:rPr>
                      <w:rFonts w:hint="eastAsia" w:ascii="Times New Roman" w:hAnsi="Times New Roman" w:eastAsia="宋体" w:cs="Times New Roman"/>
                      <w:bCs/>
                      <w:snapToGrid w:val="0"/>
                      <w:color w:val="auto"/>
                      <w:kern w:val="0"/>
                      <w:sz w:val="18"/>
                      <w:szCs w:val="18"/>
                      <w:highlight w:val="none"/>
                      <w:lang w:eastAsia="zh-CN"/>
                    </w:rPr>
                    <w:t>是一种白色结晶或粉末。溶于乙醇和水，微溶于乙酸乙酯、苯，不溶于乙醚、四氯化碳，对铜、铝有腐蚀作用，有刺激性的化学物质。</w:t>
                  </w:r>
                </w:p>
              </w:tc>
              <w:tc>
                <w:tcPr>
                  <w:tcW w:w="1535" w:type="dxa"/>
                  <w:tcBorders>
                    <w:tl2br w:val="nil"/>
                    <w:tr2bl w:val="nil"/>
                  </w:tcBorders>
                  <w:noWrap w:val="0"/>
                  <w:vAlign w:val="center"/>
                </w:tcPr>
                <w:p w14:paraId="05B5C1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eastAsia="zh-CN"/>
                    </w:rPr>
                  </w:pPr>
                  <w:r>
                    <w:rPr>
                      <w:rFonts w:hint="eastAsia" w:ascii="Times New Roman" w:hAnsi="Times New Roman" w:eastAsia="宋体" w:cs="Times New Roman"/>
                      <w:bCs/>
                      <w:snapToGrid w:val="0"/>
                      <w:color w:val="auto"/>
                      <w:kern w:val="0"/>
                      <w:sz w:val="18"/>
                      <w:szCs w:val="18"/>
                      <w:highlight w:val="none"/>
                      <w:lang w:eastAsia="zh-CN"/>
                    </w:rPr>
                    <w:t>可燃</w:t>
                  </w:r>
                </w:p>
              </w:tc>
              <w:tc>
                <w:tcPr>
                  <w:tcW w:w="1535" w:type="dxa"/>
                  <w:tcBorders>
                    <w:tl2br w:val="nil"/>
                    <w:tr2bl w:val="nil"/>
                  </w:tcBorders>
                  <w:noWrap w:val="0"/>
                  <w:vAlign w:val="center"/>
                </w:tcPr>
                <w:p w14:paraId="22FDBA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ascii="Times New Roman" w:hAnsi="Times New Roman" w:eastAsia="宋体" w:cs="Times New Roman"/>
                      <w:bCs/>
                      <w:snapToGrid w:val="0"/>
                      <w:color w:val="auto"/>
                      <w:kern w:val="0"/>
                      <w:sz w:val="18"/>
                      <w:szCs w:val="18"/>
                      <w:highlight w:val="none"/>
                      <w:lang w:val="en-US" w:eastAsia="zh-CN"/>
                    </w:rPr>
                    <w:t>无资料</w:t>
                  </w:r>
                  <w:r>
                    <w:rPr>
                      <w:rFonts w:hint="default" w:ascii="Times New Roman" w:hAnsi="Times New Roman" w:eastAsia="宋体" w:cs="Times New Roman"/>
                      <w:bCs/>
                      <w:snapToGrid w:val="0"/>
                      <w:color w:val="auto"/>
                      <w:kern w:val="0"/>
                      <w:sz w:val="18"/>
                      <w:szCs w:val="18"/>
                      <w:highlight w:val="none"/>
                    </w:rPr>
                    <w:t>；</w:t>
                  </w:r>
                </w:p>
                <w:p w14:paraId="1C6B9A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LC50：</w:t>
                  </w:r>
                  <w:r>
                    <w:rPr>
                      <w:rFonts w:hint="eastAsia" w:ascii="Times New Roman" w:hAnsi="Times New Roman" w:eastAsia="宋体" w:cs="Times New Roman"/>
                      <w:bCs/>
                      <w:snapToGrid w:val="0"/>
                      <w:color w:val="auto"/>
                      <w:kern w:val="0"/>
                      <w:sz w:val="18"/>
                      <w:szCs w:val="18"/>
                      <w:highlight w:val="none"/>
                      <w:lang w:eastAsia="zh-CN"/>
                    </w:rPr>
                    <w:t>无资料</w:t>
                  </w:r>
                </w:p>
              </w:tc>
            </w:tr>
            <w:tr w14:paraId="71E40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65" w:hRule="atLeast"/>
                <w:jc w:val="center"/>
              </w:trPr>
              <w:tc>
                <w:tcPr>
                  <w:tcW w:w="331" w:type="dxa"/>
                  <w:tcBorders>
                    <w:tl2br w:val="nil"/>
                    <w:tr2bl w:val="nil"/>
                  </w:tcBorders>
                  <w:noWrap w:val="0"/>
                  <w:vAlign w:val="center"/>
                </w:tcPr>
                <w:p w14:paraId="053109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9</w:t>
                  </w:r>
                </w:p>
              </w:tc>
              <w:tc>
                <w:tcPr>
                  <w:tcW w:w="675" w:type="dxa"/>
                  <w:tcBorders>
                    <w:tl2br w:val="nil"/>
                    <w:tr2bl w:val="nil"/>
                  </w:tcBorders>
                  <w:noWrap w:val="0"/>
                  <w:vAlign w:val="center"/>
                </w:tcPr>
                <w:p w14:paraId="75EAAE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lang w:val="en-US" w:eastAsia="zh-CN"/>
                    </w:rPr>
                  </w:pPr>
                  <w:r>
                    <w:rPr>
                      <w:rFonts w:hint="eastAsia" w:ascii="Times New Roman" w:hAnsi="Times New Roman" w:eastAsia="宋体" w:cs="Times New Roman"/>
                      <w:bCs/>
                      <w:snapToGrid w:val="0"/>
                      <w:color w:val="auto"/>
                      <w:kern w:val="0"/>
                      <w:sz w:val="18"/>
                      <w:szCs w:val="18"/>
                      <w:highlight w:val="none"/>
                      <w:lang w:val="en-US" w:eastAsia="zh-CN"/>
                    </w:rPr>
                    <w:t>氯化钾</w:t>
                  </w:r>
                </w:p>
              </w:tc>
              <w:tc>
                <w:tcPr>
                  <w:tcW w:w="725" w:type="dxa"/>
                  <w:tcBorders>
                    <w:tl2br w:val="nil"/>
                    <w:tr2bl w:val="nil"/>
                  </w:tcBorders>
                  <w:noWrap w:val="0"/>
                  <w:vAlign w:val="center"/>
                </w:tcPr>
                <w:p w14:paraId="6975D0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val="en-US" w:eastAsia="zh-CN"/>
                    </w:rPr>
                  </w:pPr>
                  <w:r>
                    <w:rPr>
                      <w:rFonts w:hint="eastAsia" w:ascii="Times New Roman" w:hAnsi="Times New Roman" w:eastAsia="宋体" w:cs="Times New Roman"/>
                      <w:bCs/>
                      <w:snapToGrid w:val="0"/>
                      <w:color w:val="auto"/>
                      <w:kern w:val="0"/>
                      <w:sz w:val="18"/>
                      <w:szCs w:val="18"/>
                      <w:highlight w:val="none"/>
                      <w:lang w:val="en-US" w:eastAsia="zh-CN"/>
                    </w:rPr>
                    <w:t>7447-40-7</w:t>
                  </w:r>
                </w:p>
              </w:tc>
              <w:tc>
                <w:tcPr>
                  <w:tcW w:w="3476" w:type="dxa"/>
                  <w:tcBorders>
                    <w:tl2br w:val="nil"/>
                    <w:tr2bl w:val="nil"/>
                  </w:tcBorders>
                  <w:noWrap w:val="0"/>
                  <w:vAlign w:val="center"/>
                </w:tcPr>
                <w:p w14:paraId="1485FF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Cs/>
                      <w:snapToGrid w:val="0"/>
                      <w:color w:val="auto"/>
                      <w:kern w:val="0"/>
                      <w:sz w:val="18"/>
                      <w:szCs w:val="18"/>
                      <w:highlight w:val="none"/>
                    </w:rPr>
                    <w:t>一种无机化合物，外观如同食盐，无臭、味咸</w:t>
                  </w:r>
                  <w:r>
                    <w:rPr>
                      <w:rFonts w:hint="eastAsia" w:ascii="Times New Roman" w:hAnsi="Times New Roman" w:eastAsia="宋体" w:cs="Times New Roman"/>
                      <w:bCs/>
                      <w:snapToGrid w:val="0"/>
                      <w:color w:val="auto"/>
                      <w:kern w:val="0"/>
                      <w:sz w:val="18"/>
                      <w:szCs w:val="18"/>
                      <w:highlight w:val="none"/>
                      <w:lang w:eastAsia="zh-CN"/>
                    </w:rPr>
                    <w:t>，白色结晶粉末，</w:t>
                  </w:r>
                  <w:r>
                    <w:rPr>
                      <w:rFonts w:hint="default" w:ascii="Times New Roman" w:hAnsi="Times New Roman" w:eastAsia="宋体" w:cs="Times New Roman"/>
                      <w:bCs/>
                      <w:snapToGrid w:val="0"/>
                      <w:color w:val="auto"/>
                      <w:kern w:val="0"/>
                      <w:sz w:val="18"/>
                      <w:szCs w:val="18"/>
                      <w:highlight w:val="none"/>
                    </w:rPr>
                    <w:t>沸点</w:t>
                  </w:r>
                  <w:r>
                    <w:rPr>
                      <w:rFonts w:hint="eastAsia" w:ascii="Times New Roman" w:hAnsi="Times New Roman" w:eastAsia="宋体" w:cs="Times New Roman"/>
                      <w:bCs/>
                      <w:snapToGrid w:val="0"/>
                      <w:color w:val="auto"/>
                      <w:kern w:val="0"/>
                      <w:sz w:val="18"/>
                      <w:szCs w:val="18"/>
                      <w:highlight w:val="none"/>
                      <w:lang w:val="en-US" w:eastAsia="zh-CN"/>
                    </w:rPr>
                    <w:t>1420</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闪点</w:t>
                  </w:r>
                  <w:r>
                    <w:rPr>
                      <w:rFonts w:hint="eastAsia" w:ascii="Times New Roman" w:hAnsi="Times New Roman" w:eastAsia="宋体" w:cs="Times New Roman"/>
                      <w:bCs/>
                      <w:snapToGrid w:val="0"/>
                      <w:color w:val="auto"/>
                      <w:kern w:val="0"/>
                      <w:sz w:val="18"/>
                      <w:szCs w:val="18"/>
                      <w:highlight w:val="none"/>
                      <w:lang w:val="en-US" w:eastAsia="zh-CN"/>
                    </w:rPr>
                    <w:t>1500</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熔点</w:t>
                  </w:r>
                  <w:r>
                    <w:rPr>
                      <w:rFonts w:hint="eastAsia" w:ascii="Times New Roman" w:hAnsi="Times New Roman" w:eastAsia="宋体" w:cs="Times New Roman"/>
                      <w:bCs/>
                      <w:snapToGrid w:val="0"/>
                      <w:color w:val="auto"/>
                      <w:kern w:val="0"/>
                      <w:sz w:val="18"/>
                      <w:szCs w:val="18"/>
                      <w:highlight w:val="none"/>
                      <w:lang w:val="en-US" w:eastAsia="zh-CN"/>
                    </w:rPr>
                    <w:t>770</w:t>
                  </w:r>
                  <w:r>
                    <w:rPr>
                      <w:rFonts w:hint="default" w:ascii="Times New Roman" w:hAnsi="Times New Roman" w:eastAsia="宋体" w:cs="Times New Roman"/>
                      <w:bCs/>
                      <w:snapToGrid w:val="0"/>
                      <w:color w:val="auto"/>
                      <w:kern w:val="0"/>
                      <w:sz w:val="18"/>
                      <w:szCs w:val="18"/>
                      <w:highlight w:val="none"/>
                    </w:rPr>
                    <w:t>℃，密度</w:t>
                  </w:r>
                  <w:r>
                    <w:rPr>
                      <w:rFonts w:hint="eastAsia" w:ascii="Times New Roman" w:hAnsi="Times New Roman" w:eastAsia="宋体" w:cs="Times New Roman"/>
                      <w:bCs/>
                      <w:snapToGrid w:val="0"/>
                      <w:color w:val="auto"/>
                      <w:kern w:val="0"/>
                      <w:sz w:val="18"/>
                      <w:szCs w:val="18"/>
                      <w:highlight w:val="none"/>
                      <w:lang w:val="en-US" w:eastAsia="zh-CN"/>
                    </w:rPr>
                    <w:t>1.98</w:t>
                  </w:r>
                  <w:r>
                    <w:rPr>
                      <w:rFonts w:hint="default" w:ascii="Times New Roman" w:hAnsi="Times New Roman" w:eastAsia="宋体" w:cs="Times New Roman"/>
                      <w:bCs/>
                      <w:snapToGrid w:val="0"/>
                      <w:color w:val="auto"/>
                      <w:kern w:val="0"/>
                      <w:sz w:val="18"/>
                      <w:szCs w:val="18"/>
                      <w:highlight w:val="none"/>
                    </w:rPr>
                    <w:t>g/cm</w:t>
                  </w:r>
                  <w:r>
                    <w:rPr>
                      <w:rFonts w:hint="default" w:ascii="Times New Roman" w:hAnsi="Times New Roman" w:eastAsia="宋体" w:cs="Times New Roman"/>
                      <w:bCs/>
                      <w:snapToGrid w:val="0"/>
                      <w:color w:val="auto"/>
                      <w:kern w:val="0"/>
                      <w:sz w:val="18"/>
                      <w:szCs w:val="18"/>
                      <w:highlight w:val="none"/>
                      <w:vertAlign w:val="superscript"/>
                    </w:rPr>
                    <w:t>3</w:t>
                  </w:r>
                  <w:r>
                    <w:rPr>
                      <w:rFonts w:hint="eastAsia" w:ascii="Times New Roman" w:hAnsi="Times New Roman" w:eastAsia="宋体" w:cs="Times New Roman"/>
                      <w:bCs/>
                      <w:snapToGrid w:val="0"/>
                      <w:color w:val="auto"/>
                      <w:kern w:val="0"/>
                      <w:sz w:val="18"/>
                      <w:szCs w:val="18"/>
                      <w:highlight w:val="none"/>
                      <w:vertAlign w:val="baseline"/>
                      <w:lang w:eastAsia="zh-CN"/>
                    </w:rPr>
                    <w:t>。</w:t>
                  </w:r>
                </w:p>
              </w:tc>
              <w:tc>
                <w:tcPr>
                  <w:tcW w:w="1535" w:type="dxa"/>
                  <w:tcBorders>
                    <w:tl2br w:val="nil"/>
                    <w:tr2bl w:val="nil"/>
                  </w:tcBorders>
                  <w:noWrap w:val="0"/>
                  <w:vAlign w:val="center"/>
                </w:tcPr>
                <w:p w14:paraId="6FBED3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eastAsia" w:ascii="Times New Roman" w:hAnsi="Times New Roman" w:eastAsia="宋体" w:cs="Times New Roman"/>
                      <w:bCs/>
                      <w:snapToGrid w:val="0"/>
                      <w:color w:val="auto"/>
                      <w:kern w:val="0"/>
                      <w:sz w:val="18"/>
                      <w:szCs w:val="18"/>
                      <w:highlight w:val="none"/>
                      <w:lang w:eastAsia="zh-CN"/>
                    </w:rPr>
                    <w:t>不燃</w:t>
                  </w:r>
                </w:p>
              </w:tc>
              <w:tc>
                <w:tcPr>
                  <w:tcW w:w="1535" w:type="dxa"/>
                  <w:tcBorders>
                    <w:tl2br w:val="nil"/>
                    <w:tr2bl w:val="nil"/>
                  </w:tcBorders>
                  <w:noWrap w:val="0"/>
                  <w:vAlign w:val="center"/>
                </w:tcPr>
                <w:p w14:paraId="0A82FF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ascii="Times New Roman" w:hAnsi="Times New Roman" w:eastAsia="宋体" w:cs="Times New Roman"/>
                      <w:bCs/>
                      <w:snapToGrid w:val="0"/>
                      <w:color w:val="auto"/>
                      <w:kern w:val="0"/>
                      <w:sz w:val="18"/>
                      <w:szCs w:val="18"/>
                      <w:highlight w:val="none"/>
                      <w:lang w:val="en-US" w:eastAsia="zh-CN"/>
                    </w:rPr>
                    <w:t>无资料</w:t>
                  </w:r>
                  <w:r>
                    <w:rPr>
                      <w:rFonts w:hint="default" w:ascii="Times New Roman" w:hAnsi="Times New Roman" w:eastAsia="宋体" w:cs="Times New Roman"/>
                      <w:bCs/>
                      <w:snapToGrid w:val="0"/>
                      <w:color w:val="auto"/>
                      <w:kern w:val="0"/>
                      <w:sz w:val="18"/>
                      <w:szCs w:val="18"/>
                      <w:highlight w:val="none"/>
                    </w:rPr>
                    <w:t>；</w:t>
                  </w:r>
                </w:p>
                <w:p w14:paraId="0D883B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i w:val="0"/>
                      <w:iCs w:val="0"/>
                      <w:caps w:val="0"/>
                      <w:color w:val="auto"/>
                      <w:spacing w:val="0"/>
                      <w:kern w:val="2"/>
                      <w:sz w:val="18"/>
                      <w:szCs w:val="18"/>
                      <w:highlight w:val="none"/>
                      <w:shd w:val="clear" w:color="auto" w:fill="auto"/>
                      <w:lang w:val="en-US" w:eastAsia="zh-CN" w:bidi="ar"/>
                    </w:rPr>
                  </w:pPr>
                  <w:r>
                    <w:rPr>
                      <w:rFonts w:hint="default" w:ascii="Times New Roman" w:hAnsi="Times New Roman" w:eastAsia="宋体" w:cs="Times New Roman"/>
                      <w:bCs/>
                      <w:snapToGrid w:val="0"/>
                      <w:color w:val="auto"/>
                      <w:kern w:val="0"/>
                      <w:sz w:val="18"/>
                      <w:szCs w:val="18"/>
                      <w:highlight w:val="none"/>
                    </w:rPr>
                    <w:t>LC50：</w:t>
                  </w:r>
                  <w:r>
                    <w:rPr>
                      <w:rFonts w:hint="eastAsia" w:ascii="Times New Roman" w:hAnsi="Times New Roman" w:eastAsia="宋体" w:cs="Times New Roman"/>
                      <w:bCs/>
                      <w:snapToGrid w:val="0"/>
                      <w:color w:val="auto"/>
                      <w:kern w:val="0"/>
                      <w:sz w:val="18"/>
                      <w:szCs w:val="18"/>
                      <w:highlight w:val="none"/>
                      <w:lang w:eastAsia="zh-CN"/>
                    </w:rPr>
                    <w:t>无资料</w:t>
                  </w:r>
                </w:p>
              </w:tc>
            </w:tr>
            <w:tr w14:paraId="5F98D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0" w:hRule="atLeast"/>
                <w:jc w:val="center"/>
              </w:trPr>
              <w:tc>
                <w:tcPr>
                  <w:tcW w:w="331" w:type="dxa"/>
                  <w:tcBorders>
                    <w:tl2br w:val="nil"/>
                    <w:tr2bl w:val="nil"/>
                  </w:tcBorders>
                  <w:noWrap w:val="0"/>
                  <w:vAlign w:val="center"/>
                </w:tcPr>
                <w:p w14:paraId="4852DD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10</w:t>
                  </w:r>
                </w:p>
              </w:tc>
              <w:tc>
                <w:tcPr>
                  <w:tcW w:w="675" w:type="dxa"/>
                  <w:tcBorders>
                    <w:tl2br w:val="nil"/>
                    <w:tr2bl w:val="nil"/>
                  </w:tcBorders>
                  <w:noWrap w:val="0"/>
                  <w:vAlign w:val="center"/>
                </w:tcPr>
                <w:p w14:paraId="4BF8FB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val="en-US" w:eastAsia="zh-CN"/>
                    </w:rPr>
                  </w:pPr>
                  <w:r>
                    <w:rPr>
                      <w:rFonts w:hint="default" w:ascii="Times New Roman" w:hAnsi="Times New Roman" w:eastAsia="宋体" w:cs="Times New Roman"/>
                      <w:color w:val="auto"/>
                      <w:kern w:val="0"/>
                      <w:sz w:val="18"/>
                      <w:szCs w:val="18"/>
                      <w:lang w:val="en-US" w:eastAsia="zh-CN" w:bidi="ar"/>
                    </w:rPr>
                    <w:t>磷酸氢二钠</w:t>
                  </w:r>
                </w:p>
              </w:tc>
              <w:tc>
                <w:tcPr>
                  <w:tcW w:w="725" w:type="dxa"/>
                  <w:tcBorders>
                    <w:tl2br w:val="nil"/>
                    <w:tr2bl w:val="nil"/>
                  </w:tcBorders>
                  <w:noWrap w:val="0"/>
                  <w:vAlign w:val="center"/>
                </w:tcPr>
                <w:p w14:paraId="7284C6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lang w:val="en-US" w:eastAsia="zh-CN"/>
                    </w:rPr>
                  </w:pPr>
                  <w:r>
                    <w:rPr>
                      <w:rFonts w:hint="eastAsia" w:eastAsia="宋体" w:cs="Times New Roman"/>
                      <w:bCs/>
                      <w:snapToGrid w:val="0"/>
                      <w:color w:val="auto"/>
                      <w:kern w:val="0"/>
                      <w:sz w:val="18"/>
                      <w:szCs w:val="18"/>
                      <w:highlight w:val="none"/>
                      <w:lang w:val="en-US" w:eastAsia="zh-CN"/>
                    </w:rPr>
                    <w:t>/</w:t>
                  </w:r>
                </w:p>
              </w:tc>
              <w:tc>
                <w:tcPr>
                  <w:tcW w:w="3476" w:type="dxa"/>
                  <w:tcBorders>
                    <w:tl2br w:val="nil"/>
                    <w:tr2bl w:val="nil"/>
                  </w:tcBorders>
                  <w:noWrap w:val="0"/>
                  <w:vAlign w:val="center"/>
                </w:tcPr>
                <w:p w14:paraId="21577C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一种</w:t>
                  </w:r>
                  <w:r>
                    <w:rPr>
                      <w:rFonts w:hint="eastAsia" w:ascii="Times New Roman" w:hAnsi="Times New Roman" w:eastAsia="宋体" w:cs="Times New Roman"/>
                      <w:bCs/>
                      <w:snapToGrid w:val="0"/>
                      <w:color w:val="auto"/>
                      <w:kern w:val="0"/>
                      <w:sz w:val="18"/>
                      <w:szCs w:val="18"/>
                      <w:highlight w:val="none"/>
                      <w:lang w:eastAsia="zh-CN"/>
                    </w:rPr>
                    <w:t>无色透明晶体</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熔点</w:t>
                  </w:r>
                  <w:r>
                    <w:rPr>
                      <w:rFonts w:hint="eastAsia" w:ascii="Times New Roman" w:hAnsi="Times New Roman" w:eastAsia="宋体" w:cs="Times New Roman"/>
                      <w:bCs/>
                      <w:snapToGrid w:val="0"/>
                      <w:color w:val="auto"/>
                      <w:kern w:val="0"/>
                      <w:sz w:val="18"/>
                      <w:szCs w:val="18"/>
                      <w:highlight w:val="none"/>
                      <w:lang w:val="en-US" w:eastAsia="zh-CN"/>
                    </w:rPr>
                    <w:t>34.6</w:t>
                  </w:r>
                  <w:r>
                    <w:rPr>
                      <w:rFonts w:hint="default" w:ascii="Times New Roman" w:hAnsi="Times New Roman" w:eastAsia="宋体" w:cs="Times New Roman"/>
                      <w:bCs/>
                      <w:snapToGrid w:val="0"/>
                      <w:color w:val="auto"/>
                      <w:kern w:val="0"/>
                      <w:sz w:val="18"/>
                      <w:szCs w:val="18"/>
                      <w:highlight w:val="none"/>
                    </w:rPr>
                    <w:t>℃，密度</w:t>
                  </w:r>
                  <w:r>
                    <w:rPr>
                      <w:rFonts w:hint="eastAsia" w:ascii="Times New Roman" w:hAnsi="Times New Roman" w:eastAsia="宋体" w:cs="Times New Roman"/>
                      <w:bCs/>
                      <w:snapToGrid w:val="0"/>
                      <w:color w:val="auto"/>
                      <w:kern w:val="0"/>
                      <w:sz w:val="18"/>
                      <w:szCs w:val="18"/>
                      <w:highlight w:val="none"/>
                      <w:lang w:val="en-US" w:eastAsia="zh-CN"/>
                    </w:rPr>
                    <w:t>1.52</w:t>
                  </w:r>
                  <w:r>
                    <w:rPr>
                      <w:rFonts w:hint="default" w:ascii="Times New Roman" w:hAnsi="Times New Roman" w:eastAsia="宋体" w:cs="Times New Roman"/>
                      <w:bCs/>
                      <w:snapToGrid w:val="0"/>
                      <w:color w:val="auto"/>
                      <w:kern w:val="0"/>
                      <w:sz w:val="18"/>
                      <w:szCs w:val="18"/>
                      <w:highlight w:val="none"/>
                    </w:rPr>
                    <w:t>g/cm</w:t>
                  </w:r>
                  <w:r>
                    <w:rPr>
                      <w:rFonts w:hint="default" w:ascii="Times New Roman" w:hAnsi="Times New Roman" w:eastAsia="宋体" w:cs="Times New Roman"/>
                      <w:bCs/>
                      <w:snapToGrid w:val="0"/>
                      <w:color w:val="auto"/>
                      <w:kern w:val="0"/>
                      <w:sz w:val="18"/>
                      <w:szCs w:val="18"/>
                      <w:highlight w:val="none"/>
                      <w:vertAlign w:val="superscript"/>
                    </w:rPr>
                    <w:t>3</w:t>
                  </w:r>
                  <w:r>
                    <w:rPr>
                      <w:rFonts w:hint="eastAsia" w:ascii="Times New Roman" w:hAnsi="Times New Roman" w:eastAsia="宋体" w:cs="Times New Roman"/>
                      <w:bCs/>
                      <w:snapToGrid w:val="0"/>
                      <w:color w:val="auto"/>
                      <w:kern w:val="0"/>
                      <w:sz w:val="18"/>
                      <w:szCs w:val="18"/>
                      <w:highlight w:val="none"/>
                      <w:vertAlign w:val="baseline"/>
                      <w:lang w:eastAsia="zh-CN"/>
                    </w:rPr>
                    <w:t>，溶于水，不溶于乙醇。</w:t>
                  </w:r>
                </w:p>
              </w:tc>
              <w:tc>
                <w:tcPr>
                  <w:tcW w:w="1535" w:type="dxa"/>
                  <w:tcBorders>
                    <w:tl2br w:val="nil"/>
                    <w:tr2bl w:val="nil"/>
                  </w:tcBorders>
                  <w:noWrap w:val="0"/>
                  <w:vAlign w:val="center"/>
                </w:tcPr>
                <w:p w14:paraId="056ED1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eastAsia="zh-CN"/>
                    </w:rPr>
                  </w:pPr>
                  <w:r>
                    <w:rPr>
                      <w:rFonts w:hint="eastAsia" w:ascii="Times New Roman" w:hAnsi="Times New Roman" w:eastAsia="宋体" w:cs="Times New Roman"/>
                      <w:bCs/>
                      <w:snapToGrid w:val="0"/>
                      <w:color w:val="auto"/>
                      <w:kern w:val="0"/>
                      <w:sz w:val="18"/>
                      <w:szCs w:val="18"/>
                      <w:highlight w:val="none"/>
                      <w:lang w:eastAsia="zh-CN"/>
                    </w:rPr>
                    <w:t>不燃</w:t>
                  </w:r>
                </w:p>
              </w:tc>
              <w:tc>
                <w:tcPr>
                  <w:tcW w:w="1535" w:type="dxa"/>
                  <w:tcBorders>
                    <w:tl2br w:val="nil"/>
                    <w:tr2bl w:val="nil"/>
                  </w:tcBorders>
                  <w:noWrap w:val="0"/>
                  <w:vAlign w:val="center"/>
                </w:tcPr>
                <w:p w14:paraId="71A4FB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ascii="Times New Roman" w:hAnsi="Times New Roman" w:eastAsia="宋体" w:cs="Times New Roman"/>
                      <w:bCs/>
                      <w:snapToGrid w:val="0"/>
                      <w:color w:val="auto"/>
                      <w:kern w:val="0"/>
                      <w:sz w:val="18"/>
                      <w:szCs w:val="18"/>
                      <w:highlight w:val="none"/>
                      <w:lang w:val="en-US" w:eastAsia="zh-CN"/>
                    </w:rPr>
                    <w:t>无资料</w:t>
                  </w:r>
                  <w:r>
                    <w:rPr>
                      <w:rFonts w:hint="default" w:ascii="Times New Roman" w:hAnsi="Times New Roman" w:eastAsia="宋体" w:cs="Times New Roman"/>
                      <w:bCs/>
                      <w:snapToGrid w:val="0"/>
                      <w:color w:val="auto"/>
                      <w:kern w:val="0"/>
                      <w:sz w:val="18"/>
                      <w:szCs w:val="18"/>
                      <w:highlight w:val="none"/>
                    </w:rPr>
                    <w:t>；</w:t>
                  </w:r>
                </w:p>
                <w:p w14:paraId="3E0C19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LC50：</w:t>
                  </w:r>
                  <w:r>
                    <w:rPr>
                      <w:rFonts w:hint="eastAsia" w:ascii="Times New Roman" w:hAnsi="Times New Roman" w:eastAsia="宋体" w:cs="Times New Roman"/>
                      <w:bCs/>
                      <w:snapToGrid w:val="0"/>
                      <w:color w:val="auto"/>
                      <w:kern w:val="0"/>
                      <w:sz w:val="18"/>
                      <w:szCs w:val="18"/>
                      <w:highlight w:val="none"/>
                      <w:lang w:eastAsia="zh-CN"/>
                    </w:rPr>
                    <w:t>无资料</w:t>
                  </w:r>
                </w:p>
              </w:tc>
            </w:tr>
            <w:tr w14:paraId="616F8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5" w:hRule="atLeast"/>
                <w:jc w:val="center"/>
              </w:trPr>
              <w:tc>
                <w:tcPr>
                  <w:tcW w:w="331" w:type="dxa"/>
                  <w:tcBorders>
                    <w:tl2br w:val="nil"/>
                    <w:tr2bl w:val="nil"/>
                  </w:tcBorders>
                  <w:noWrap w:val="0"/>
                  <w:vAlign w:val="center"/>
                </w:tcPr>
                <w:p w14:paraId="722796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11</w:t>
                  </w:r>
                </w:p>
              </w:tc>
              <w:tc>
                <w:tcPr>
                  <w:tcW w:w="675" w:type="dxa"/>
                  <w:tcBorders>
                    <w:tl2br w:val="nil"/>
                    <w:tr2bl w:val="nil"/>
                  </w:tcBorders>
                  <w:noWrap w:val="0"/>
                  <w:vAlign w:val="center"/>
                </w:tcPr>
                <w:p w14:paraId="0FC169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磷酸二氢钾</w:t>
                  </w:r>
                </w:p>
              </w:tc>
              <w:tc>
                <w:tcPr>
                  <w:tcW w:w="725" w:type="dxa"/>
                  <w:tcBorders>
                    <w:tl2br w:val="nil"/>
                    <w:tr2bl w:val="nil"/>
                  </w:tcBorders>
                  <w:noWrap w:val="0"/>
                  <w:vAlign w:val="center"/>
                </w:tcPr>
                <w:p w14:paraId="3F97D2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bCs/>
                      <w:snapToGrid w:val="0"/>
                      <w:color w:val="auto"/>
                      <w:kern w:val="0"/>
                      <w:sz w:val="18"/>
                      <w:szCs w:val="18"/>
                      <w:highlight w:val="none"/>
                      <w:lang w:val="en-US" w:eastAsia="zh-CN"/>
                    </w:rPr>
                  </w:pPr>
                  <w:r>
                    <w:rPr>
                      <w:rFonts w:hint="eastAsia" w:eastAsia="宋体" w:cs="Times New Roman"/>
                      <w:bCs/>
                      <w:snapToGrid w:val="0"/>
                      <w:color w:val="auto"/>
                      <w:kern w:val="0"/>
                      <w:sz w:val="18"/>
                      <w:szCs w:val="18"/>
                      <w:highlight w:val="none"/>
                      <w:lang w:val="en-US" w:eastAsia="zh-CN"/>
                    </w:rPr>
                    <w:t>/</w:t>
                  </w:r>
                </w:p>
              </w:tc>
              <w:tc>
                <w:tcPr>
                  <w:tcW w:w="3476" w:type="dxa"/>
                  <w:tcBorders>
                    <w:tl2br w:val="nil"/>
                    <w:tr2bl w:val="nil"/>
                  </w:tcBorders>
                  <w:noWrap w:val="0"/>
                  <w:vAlign w:val="center"/>
                </w:tcPr>
                <w:p w14:paraId="27F7F5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eastAsia" w:ascii="Times New Roman" w:hAnsi="Times New Roman" w:eastAsia="宋体" w:cs="Times New Roman"/>
                      <w:bCs/>
                      <w:snapToGrid w:val="0"/>
                      <w:color w:val="auto"/>
                      <w:kern w:val="0"/>
                      <w:sz w:val="18"/>
                      <w:szCs w:val="18"/>
                      <w:highlight w:val="none"/>
                      <w:lang w:eastAsia="zh-CN"/>
                    </w:rPr>
                    <w:t>四角晶体</w:t>
                  </w:r>
                  <w:r>
                    <w:rPr>
                      <w:rFonts w:hint="default" w:ascii="Times New Roman" w:hAnsi="Times New Roman" w:eastAsia="宋体" w:cs="Times New Roman"/>
                      <w:bCs/>
                      <w:snapToGrid w:val="0"/>
                      <w:color w:val="auto"/>
                      <w:kern w:val="0"/>
                      <w:sz w:val="18"/>
                      <w:szCs w:val="18"/>
                      <w:highlight w:val="none"/>
                    </w:rPr>
                    <w:t>，</w:t>
                  </w:r>
                  <w:r>
                    <w:rPr>
                      <w:rFonts w:hint="eastAsia" w:ascii="Times New Roman" w:hAnsi="Times New Roman" w:eastAsia="宋体" w:cs="Times New Roman"/>
                      <w:bCs/>
                      <w:snapToGrid w:val="0"/>
                      <w:color w:val="auto"/>
                      <w:kern w:val="0"/>
                      <w:sz w:val="18"/>
                      <w:szCs w:val="18"/>
                      <w:highlight w:val="none"/>
                      <w:lang w:eastAsia="zh-CN"/>
                    </w:rPr>
                    <w:t>熔点</w:t>
                  </w:r>
                  <w:r>
                    <w:rPr>
                      <w:rFonts w:hint="eastAsia" w:ascii="Times New Roman" w:hAnsi="Times New Roman" w:eastAsia="宋体" w:cs="Times New Roman"/>
                      <w:bCs/>
                      <w:snapToGrid w:val="0"/>
                      <w:color w:val="auto"/>
                      <w:kern w:val="0"/>
                      <w:sz w:val="18"/>
                      <w:szCs w:val="18"/>
                      <w:highlight w:val="none"/>
                      <w:lang w:val="en-US" w:eastAsia="zh-CN"/>
                    </w:rPr>
                    <w:t>252.6</w:t>
                  </w:r>
                  <w:r>
                    <w:rPr>
                      <w:rFonts w:hint="default" w:ascii="Times New Roman" w:hAnsi="Times New Roman" w:eastAsia="宋体" w:cs="Times New Roman"/>
                      <w:bCs/>
                      <w:snapToGrid w:val="0"/>
                      <w:color w:val="auto"/>
                      <w:kern w:val="0"/>
                      <w:sz w:val="18"/>
                      <w:szCs w:val="18"/>
                      <w:highlight w:val="none"/>
                    </w:rPr>
                    <w:t>℃，密度</w:t>
                  </w:r>
                  <w:r>
                    <w:rPr>
                      <w:rFonts w:hint="eastAsia" w:ascii="Times New Roman" w:hAnsi="Times New Roman" w:eastAsia="宋体" w:cs="Times New Roman"/>
                      <w:bCs/>
                      <w:snapToGrid w:val="0"/>
                      <w:color w:val="auto"/>
                      <w:kern w:val="0"/>
                      <w:sz w:val="18"/>
                      <w:szCs w:val="18"/>
                      <w:highlight w:val="none"/>
                      <w:lang w:val="en-US" w:eastAsia="zh-CN"/>
                    </w:rPr>
                    <w:t>2.338</w:t>
                  </w:r>
                  <w:r>
                    <w:rPr>
                      <w:rFonts w:hint="default" w:ascii="Times New Roman" w:hAnsi="Times New Roman" w:eastAsia="宋体" w:cs="Times New Roman"/>
                      <w:bCs/>
                      <w:snapToGrid w:val="0"/>
                      <w:color w:val="auto"/>
                      <w:kern w:val="0"/>
                      <w:sz w:val="18"/>
                      <w:szCs w:val="18"/>
                      <w:highlight w:val="none"/>
                    </w:rPr>
                    <w:t>g/cm</w:t>
                  </w:r>
                  <w:r>
                    <w:rPr>
                      <w:rFonts w:hint="default" w:ascii="Times New Roman" w:hAnsi="Times New Roman" w:eastAsia="宋体" w:cs="Times New Roman"/>
                      <w:bCs/>
                      <w:snapToGrid w:val="0"/>
                      <w:color w:val="auto"/>
                      <w:kern w:val="0"/>
                      <w:sz w:val="18"/>
                      <w:szCs w:val="18"/>
                      <w:highlight w:val="none"/>
                      <w:vertAlign w:val="superscript"/>
                    </w:rPr>
                    <w:t>3</w:t>
                  </w:r>
                  <w:r>
                    <w:rPr>
                      <w:rFonts w:hint="eastAsia" w:ascii="Times New Roman" w:hAnsi="Times New Roman" w:eastAsia="宋体" w:cs="Times New Roman"/>
                      <w:bCs/>
                      <w:snapToGrid w:val="0"/>
                      <w:color w:val="auto"/>
                      <w:kern w:val="0"/>
                      <w:sz w:val="18"/>
                      <w:szCs w:val="18"/>
                      <w:highlight w:val="none"/>
                      <w:vertAlign w:val="baseline"/>
                      <w:lang w:eastAsia="zh-CN"/>
                    </w:rPr>
                    <w:t>，溶于水，不溶于乙醇。</w:t>
                  </w:r>
                </w:p>
              </w:tc>
              <w:tc>
                <w:tcPr>
                  <w:tcW w:w="1535" w:type="dxa"/>
                  <w:tcBorders>
                    <w:tl2br w:val="nil"/>
                    <w:tr2bl w:val="nil"/>
                  </w:tcBorders>
                  <w:noWrap w:val="0"/>
                  <w:vAlign w:val="center"/>
                </w:tcPr>
                <w:p w14:paraId="49AD56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snapToGrid w:val="0"/>
                      <w:color w:val="auto"/>
                      <w:kern w:val="0"/>
                      <w:sz w:val="18"/>
                      <w:szCs w:val="18"/>
                      <w:highlight w:val="none"/>
                      <w:lang w:eastAsia="zh-CN"/>
                    </w:rPr>
                  </w:pPr>
                  <w:r>
                    <w:rPr>
                      <w:rFonts w:hint="eastAsia" w:ascii="Times New Roman" w:hAnsi="Times New Roman" w:eastAsia="宋体" w:cs="Times New Roman"/>
                      <w:bCs/>
                      <w:snapToGrid w:val="0"/>
                      <w:color w:val="auto"/>
                      <w:kern w:val="0"/>
                      <w:sz w:val="18"/>
                      <w:szCs w:val="18"/>
                      <w:highlight w:val="none"/>
                      <w:lang w:eastAsia="zh-CN"/>
                    </w:rPr>
                    <w:t>不燃</w:t>
                  </w:r>
                </w:p>
              </w:tc>
              <w:tc>
                <w:tcPr>
                  <w:tcW w:w="1535" w:type="dxa"/>
                  <w:tcBorders>
                    <w:tl2br w:val="nil"/>
                    <w:tr2bl w:val="nil"/>
                  </w:tcBorders>
                  <w:noWrap w:val="0"/>
                  <w:vAlign w:val="center"/>
                </w:tcPr>
                <w:p w14:paraId="2B6195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LD50：</w:t>
                  </w:r>
                  <w:r>
                    <w:rPr>
                      <w:rFonts w:hint="eastAsia" w:ascii="Times New Roman" w:hAnsi="Times New Roman" w:eastAsia="宋体" w:cs="Times New Roman"/>
                      <w:bCs/>
                      <w:snapToGrid w:val="0"/>
                      <w:color w:val="auto"/>
                      <w:kern w:val="0"/>
                      <w:sz w:val="18"/>
                      <w:szCs w:val="18"/>
                      <w:highlight w:val="none"/>
                      <w:lang w:val="en-US" w:eastAsia="zh-CN"/>
                    </w:rPr>
                    <w:t>无资料</w:t>
                  </w:r>
                  <w:r>
                    <w:rPr>
                      <w:rFonts w:hint="default" w:ascii="Times New Roman" w:hAnsi="Times New Roman" w:eastAsia="宋体" w:cs="Times New Roman"/>
                      <w:bCs/>
                      <w:snapToGrid w:val="0"/>
                      <w:color w:val="auto"/>
                      <w:kern w:val="0"/>
                      <w:sz w:val="18"/>
                      <w:szCs w:val="18"/>
                      <w:highlight w:val="none"/>
                    </w:rPr>
                    <w:t>；</w:t>
                  </w:r>
                </w:p>
                <w:p w14:paraId="5EFCB6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18"/>
                      <w:szCs w:val="18"/>
                      <w:highlight w:val="none"/>
                    </w:rPr>
                  </w:pPr>
                  <w:r>
                    <w:rPr>
                      <w:rFonts w:hint="default" w:ascii="Times New Roman" w:hAnsi="Times New Roman" w:eastAsia="宋体" w:cs="Times New Roman"/>
                      <w:bCs/>
                      <w:snapToGrid w:val="0"/>
                      <w:color w:val="auto"/>
                      <w:kern w:val="0"/>
                      <w:sz w:val="18"/>
                      <w:szCs w:val="18"/>
                      <w:highlight w:val="none"/>
                    </w:rPr>
                    <w:t>LC50：</w:t>
                  </w:r>
                  <w:r>
                    <w:rPr>
                      <w:rFonts w:hint="eastAsia" w:ascii="Times New Roman" w:hAnsi="Times New Roman" w:eastAsia="宋体" w:cs="Times New Roman"/>
                      <w:bCs/>
                      <w:snapToGrid w:val="0"/>
                      <w:color w:val="auto"/>
                      <w:kern w:val="0"/>
                      <w:sz w:val="18"/>
                      <w:szCs w:val="18"/>
                      <w:highlight w:val="none"/>
                      <w:lang w:eastAsia="zh-CN"/>
                    </w:rPr>
                    <w:t>无资料</w:t>
                  </w:r>
                </w:p>
              </w:tc>
            </w:tr>
          </w:tbl>
          <w:p w14:paraId="7E4FF9D6">
            <w:pPr>
              <w:keepNext w:val="0"/>
              <w:keepLines w:val="0"/>
              <w:suppressLineNumbers w:val="0"/>
              <w:spacing w:before="0" w:beforeAutospacing="0" w:after="0" w:afterAutospacing="0"/>
              <w:ind w:left="0" w:right="0"/>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5.工程</w:t>
            </w:r>
            <w:r>
              <w:rPr>
                <w:rFonts w:hint="eastAsia"/>
                <w:b/>
                <w:bCs/>
                <w:color w:val="auto"/>
                <w:lang w:val="en-US" w:eastAsia="zh-CN"/>
              </w:rPr>
              <w:t>建设内容</w:t>
            </w:r>
          </w:p>
          <w:p w14:paraId="2A7950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表2.1-</w:t>
            </w:r>
            <w:r>
              <w:rPr>
                <w:rFonts w:hint="eastAsia" w:cs="Times New Roman"/>
                <w:b/>
                <w:bCs/>
                <w:color w:val="auto"/>
                <w:lang w:val="en-US" w:eastAsia="zh-CN"/>
              </w:rPr>
              <w:t>7</w:t>
            </w:r>
            <w:r>
              <w:rPr>
                <w:rFonts w:hint="default" w:ascii="Times New Roman" w:hAnsi="Times New Roman" w:cs="Times New Roman"/>
                <w:b/>
                <w:bCs/>
                <w:color w:val="auto"/>
                <w:lang w:val="en-US" w:eastAsia="zh-CN"/>
              </w:rPr>
              <w:t xml:space="preserve">  </w:t>
            </w:r>
            <w:r>
              <w:rPr>
                <w:rFonts w:hint="eastAsia" w:cs="Times New Roman"/>
                <w:b/>
                <w:bCs/>
                <w:color w:val="auto"/>
                <w:lang w:val="en-US" w:eastAsia="zh-CN"/>
              </w:rPr>
              <w:t>建设项目</w:t>
            </w:r>
            <w:r>
              <w:rPr>
                <w:rFonts w:hint="default" w:ascii="Times New Roman" w:hAnsi="Times New Roman" w:cs="Times New Roman"/>
                <w:b/>
                <w:bCs/>
                <w:color w:val="auto"/>
                <w:lang w:val="en-US" w:eastAsia="zh-CN"/>
              </w:rPr>
              <w:t>工程</w:t>
            </w:r>
            <w:r>
              <w:rPr>
                <w:rFonts w:hint="eastAsia" w:cs="Times New Roman"/>
                <w:b/>
                <w:bCs/>
                <w:color w:val="auto"/>
                <w:lang w:val="en-US" w:eastAsia="zh-CN"/>
              </w:rPr>
              <w:t>内容</w:t>
            </w:r>
            <w:r>
              <w:rPr>
                <w:rFonts w:hint="default" w:ascii="Times New Roman" w:hAnsi="Times New Roman" w:cs="Times New Roman"/>
                <w:b/>
                <w:bCs/>
                <w:color w:val="auto"/>
                <w:lang w:val="en-US" w:eastAsia="zh-CN"/>
              </w:rPr>
              <w:t>一览表</w:t>
            </w:r>
          </w:p>
          <w:tbl>
            <w:tblPr>
              <w:tblStyle w:val="24"/>
              <w:tblW w:w="84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11"/>
              <w:gridCol w:w="1009"/>
              <w:gridCol w:w="658"/>
              <w:gridCol w:w="780"/>
              <w:gridCol w:w="2844"/>
              <w:gridCol w:w="1929"/>
            </w:tblGrid>
            <w:tr w14:paraId="3A237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718" w:type="pct"/>
                  <w:tcBorders>
                    <w:tl2br w:val="nil"/>
                    <w:tr2bl w:val="nil"/>
                  </w:tcBorders>
                  <w:vAlign w:val="center"/>
                </w:tcPr>
                <w:p w14:paraId="7C404C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lang w:eastAsia="zh-CN"/>
                    </w:rPr>
                    <w:t>工程</w:t>
                  </w:r>
                  <w:r>
                    <w:rPr>
                      <w:rFonts w:hint="default" w:ascii="Times New Roman" w:hAnsi="Times New Roman" w:eastAsia="宋体" w:cs="Times New Roman"/>
                      <w:b/>
                      <w:color w:val="auto"/>
                      <w:sz w:val="18"/>
                      <w:szCs w:val="18"/>
                    </w:rPr>
                    <w:t>类别</w:t>
                  </w:r>
                </w:p>
              </w:tc>
              <w:tc>
                <w:tcPr>
                  <w:tcW w:w="1451" w:type="pct"/>
                  <w:gridSpan w:val="3"/>
                  <w:tcBorders>
                    <w:tl2br w:val="nil"/>
                    <w:tr2bl w:val="nil"/>
                  </w:tcBorders>
                  <w:vAlign w:val="center"/>
                </w:tcPr>
                <w:p w14:paraId="407795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建设名称</w:t>
                  </w:r>
                </w:p>
              </w:tc>
              <w:tc>
                <w:tcPr>
                  <w:tcW w:w="1686" w:type="pct"/>
                  <w:tcBorders>
                    <w:tl2br w:val="nil"/>
                    <w:tr2bl w:val="nil"/>
                  </w:tcBorders>
                  <w:vAlign w:val="center"/>
                </w:tcPr>
                <w:p w14:paraId="161D56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建设内容</w:t>
                  </w:r>
                </w:p>
              </w:tc>
              <w:tc>
                <w:tcPr>
                  <w:tcW w:w="1143" w:type="pct"/>
                  <w:tcBorders>
                    <w:tl2br w:val="nil"/>
                    <w:tr2bl w:val="nil"/>
                  </w:tcBorders>
                  <w:vAlign w:val="center"/>
                </w:tcPr>
                <w:p w14:paraId="52F76C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备注</w:t>
                  </w:r>
                </w:p>
              </w:tc>
            </w:tr>
            <w:tr w14:paraId="713DC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restart"/>
                  <w:tcBorders>
                    <w:tl2br w:val="nil"/>
                    <w:tr2bl w:val="nil"/>
                  </w:tcBorders>
                  <w:vAlign w:val="center"/>
                </w:tcPr>
                <w:p w14:paraId="5E25FB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主体工程</w:t>
                  </w:r>
                </w:p>
              </w:tc>
              <w:tc>
                <w:tcPr>
                  <w:tcW w:w="598" w:type="pct"/>
                  <w:vMerge w:val="restart"/>
                  <w:tcBorders>
                    <w:tl2br w:val="nil"/>
                    <w:tr2bl w:val="nil"/>
                  </w:tcBorders>
                  <w:vAlign w:val="center"/>
                </w:tcPr>
                <w:p w14:paraId="5B8D5D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教学科研楼</w:t>
                  </w:r>
                </w:p>
              </w:tc>
              <w:tc>
                <w:tcPr>
                  <w:tcW w:w="852" w:type="pct"/>
                  <w:gridSpan w:val="2"/>
                  <w:tcBorders>
                    <w:tl2br w:val="nil"/>
                    <w:tr2bl w:val="nil"/>
                  </w:tcBorders>
                  <w:vAlign w:val="center"/>
                </w:tcPr>
                <w:p w14:paraId="053570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1F</w:t>
                  </w:r>
                </w:p>
              </w:tc>
              <w:tc>
                <w:tcPr>
                  <w:tcW w:w="1686" w:type="pct"/>
                  <w:tcBorders>
                    <w:tl2br w:val="nil"/>
                    <w:tr2bl w:val="nil"/>
                  </w:tcBorders>
                  <w:vAlign w:val="center"/>
                </w:tcPr>
                <w:p w14:paraId="62EA06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图书馆、阅览室</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b w:val="0"/>
                      <w:bCs w:val="0"/>
                      <w:color w:val="auto"/>
                      <w:sz w:val="18"/>
                      <w:szCs w:val="18"/>
                      <w:lang w:val="en-US" w:eastAsia="zh-CN"/>
                    </w:rPr>
                    <w:t>多功能厅、配电间</w:t>
                  </w:r>
                </w:p>
              </w:tc>
              <w:tc>
                <w:tcPr>
                  <w:tcW w:w="1143" w:type="pct"/>
                  <w:tcBorders>
                    <w:tl2br w:val="nil"/>
                    <w:tr2bl w:val="nil"/>
                  </w:tcBorders>
                  <w:vAlign w:val="center"/>
                </w:tcPr>
                <w:p w14:paraId="392FE4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w:t>
                  </w:r>
                </w:p>
              </w:tc>
            </w:tr>
            <w:tr w14:paraId="68044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0FE554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071C87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852" w:type="pct"/>
                  <w:gridSpan w:val="2"/>
                  <w:tcBorders>
                    <w:tl2br w:val="nil"/>
                    <w:tr2bl w:val="nil"/>
                  </w:tcBorders>
                  <w:vAlign w:val="center"/>
                </w:tcPr>
                <w:p w14:paraId="091FF4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2F</w:t>
                  </w:r>
                </w:p>
              </w:tc>
              <w:tc>
                <w:tcPr>
                  <w:tcW w:w="1686" w:type="pct"/>
                  <w:tcBorders>
                    <w:tl2br w:val="nil"/>
                    <w:tr2bl w:val="nil"/>
                  </w:tcBorders>
                  <w:vAlign w:val="center"/>
                </w:tcPr>
                <w:p w14:paraId="60E6CC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办公室、会议室、</w:t>
                  </w:r>
                  <w:r>
                    <w:rPr>
                      <w:rFonts w:hint="default" w:ascii="Times New Roman" w:hAnsi="Times New Roman" w:eastAsia="宋体" w:cs="Times New Roman"/>
                      <w:b w:val="0"/>
                      <w:bCs w:val="0"/>
                      <w:color w:val="auto"/>
                      <w:sz w:val="18"/>
                      <w:szCs w:val="18"/>
                      <w:lang w:val="en-US" w:eastAsia="zh-CN"/>
                    </w:rPr>
                    <w:t>电教室、学术报告厅</w:t>
                  </w:r>
                </w:p>
              </w:tc>
              <w:tc>
                <w:tcPr>
                  <w:tcW w:w="1143" w:type="pct"/>
                  <w:tcBorders>
                    <w:tl2br w:val="nil"/>
                    <w:tr2bl w:val="nil"/>
                  </w:tcBorders>
                  <w:vAlign w:val="center"/>
                </w:tcPr>
                <w:p w14:paraId="555EF7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w:t>
                  </w:r>
                </w:p>
              </w:tc>
            </w:tr>
            <w:tr w14:paraId="2EFCF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4A2CE9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001F7A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852" w:type="pct"/>
                  <w:gridSpan w:val="2"/>
                  <w:tcBorders>
                    <w:tl2br w:val="nil"/>
                    <w:tr2bl w:val="nil"/>
                  </w:tcBorders>
                  <w:vAlign w:val="center"/>
                </w:tcPr>
                <w:p w14:paraId="5597A7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3F</w:t>
                  </w:r>
                </w:p>
              </w:tc>
              <w:tc>
                <w:tcPr>
                  <w:tcW w:w="1686" w:type="pct"/>
                  <w:tcBorders>
                    <w:tl2br w:val="nil"/>
                    <w:tr2bl w:val="nil"/>
                  </w:tcBorders>
                  <w:vAlign w:val="center"/>
                </w:tcPr>
                <w:p w14:paraId="3623A6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sz w:val="18"/>
                      <w:szCs w:val="18"/>
                      <w:lang w:val="en-US" w:eastAsia="zh-CN"/>
                    </w:rPr>
                    <w:t>操作技能培训中心、教学基地</w:t>
                  </w:r>
                </w:p>
              </w:tc>
              <w:tc>
                <w:tcPr>
                  <w:tcW w:w="1143" w:type="pct"/>
                  <w:tcBorders>
                    <w:tl2br w:val="nil"/>
                    <w:tr2bl w:val="nil"/>
                  </w:tcBorders>
                  <w:vAlign w:val="center"/>
                </w:tcPr>
                <w:p w14:paraId="406081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w:t>
                  </w:r>
                </w:p>
              </w:tc>
            </w:tr>
            <w:tr w14:paraId="71139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7280CA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54FD2D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852" w:type="pct"/>
                  <w:gridSpan w:val="2"/>
                  <w:tcBorders>
                    <w:tl2br w:val="nil"/>
                    <w:tr2bl w:val="nil"/>
                  </w:tcBorders>
                  <w:vAlign w:val="center"/>
                </w:tcPr>
                <w:p w14:paraId="4134D9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4F</w:t>
                  </w:r>
                </w:p>
              </w:tc>
              <w:tc>
                <w:tcPr>
                  <w:tcW w:w="1686" w:type="pct"/>
                  <w:tcBorders>
                    <w:tl2br w:val="nil"/>
                    <w:tr2bl w:val="nil"/>
                  </w:tcBorders>
                  <w:vAlign w:val="center"/>
                </w:tcPr>
                <w:p w14:paraId="2A9F2B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训练室</w:t>
                  </w:r>
                </w:p>
              </w:tc>
              <w:tc>
                <w:tcPr>
                  <w:tcW w:w="1143" w:type="pct"/>
                  <w:tcBorders>
                    <w:tl2br w:val="nil"/>
                    <w:tr2bl w:val="nil"/>
                  </w:tcBorders>
                  <w:vAlign w:val="center"/>
                </w:tcPr>
                <w:p w14:paraId="10297D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w:t>
                  </w:r>
                </w:p>
              </w:tc>
            </w:tr>
            <w:tr w14:paraId="5811D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718" w:type="pct"/>
                  <w:vMerge w:val="continue"/>
                  <w:tcBorders>
                    <w:tl2br w:val="nil"/>
                    <w:tr2bl w:val="nil"/>
                  </w:tcBorders>
                  <w:vAlign w:val="center"/>
                </w:tcPr>
                <w:p w14:paraId="479752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5538D4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852" w:type="pct"/>
                  <w:gridSpan w:val="2"/>
                  <w:tcBorders>
                    <w:tl2br w:val="nil"/>
                    <w:tr2bl w:val="nil"/>
                  </w:tcBorders>
                  <w:vAlign w:val="center"/>
                </w:tcPr>
                <w:p w14:paraId="1A2477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5F</w:t>
                  </w:r>
                </w:p>
              </w:tc>
              <w:tc>
                <w:tcPr>
                  <w:tcW w:w="1686" w:type="pct"/>
                  <w:tcBorders>
                    <w:tl2br w:val="nil"/>
                    <w:tr2bl w:val="nil"/>
                  </w:tcBorders>
                  <w:vAlign w:val="center"/>
                </w:tcPr>
                <w:p w14:paraId="698070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实验室（布设PCR室、灭菌消毒</w:t>
                  </w:r>
                  <w:r>
                    <w:rPr>
                      <w:rFonts w:hint="eastAsia" w:cs="Times New Roman"/>
                      <w:color w:val="auto"/>
                      <w:sz w:val="18"/>
                      <w:szCs w:val="18"/>
                      <w:lang w:val="en-US" w:eastAsia="zh-CN"/>
                    </w:rPr>
                    <w:t>室</w:t>
                  </w:r>
                  <w:r>
                    <w:rPr>
                      <w:rFonts w:hint="default" w:ascii="Times New Roman" w:hAnsi="Times New Roman" w:eastAsia="宋体" w:cs="Times New Roman"/>
                      <w:color w:val="auto"/>
                      <w:sz w:val="18"/>
                      <w:szCs w:val="18"/>
                      <w:lang w:val="en-US" w:eastAsia="zh-CN"/>
                    </w:rPr>
                    <w:t>、分子操作间、细胞储藏及培养室、荧光成像室</w:t>
                  </w:r>
                  <w:r>
                    <w:rPr>
                      <w:rFonts w:hint="eastAsia" w:cs="Times New Roman"/>
                      <w:color w:val="auto"/>
                      <w:sz w:val="18"/>
                      <w:szCs w:val="18"/>
                      <w:lang w:val="en-US" w:eastAsia="zh-CN"/>
                    </w:rPr>
                    <w:t>、SPF级动物房</w:t>
                  </w:r>
                  <w:r>
                    <w:rPr>
                      <w:rFonts w:hint="default" w:ascii="Times New Roman" w:hAnsi="Times New Roman" w:eastAsia="宋体" w:cs="Times New Roman"/>
                      <w:color w:val="auto"/>
                      <w:sz w:val="18"/>
                      <w:szCs w:val="18"/>
                      <w:lang w:val="en-US" w:eastAsia="zh-CN"/>
                    </w:rPr>
                    <w:t>等）</w:t>
                  </w:r>
                </w:p>
              </w:tc>
              <w:tc>
                <w:tcPr>
                  <w:tcW w:w="1143" w:type="pct"/>
                  <w:tcBorders>
                    <w:tl2br w:val="nil"/>
                    <w:tr2bl w:val="nil"/>
                  </w:tcBorders>
                  <w:vAlign w:val="center"/>
                </w:tcPr>
                <w:p w14:paraId="5853A2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w:t>
                  </w:r>
                </w:p>
              </w:tc>
            </w:tr>
            <w:tr w14:paraId="781C0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5569D4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2B7F01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852" w:type="pct"/>
                  <w:gridSpan w:val="2"/>
                  <w:tcBorders>
                    <w:tl2br w:val="nil"/>
                    <w:tr2bl w:val="nil"/>
                  </w:tcBorders>
                  <w:vAlign w:val="center"/>
                </w:tcPr>
                <w:p w14:paraId="4CF725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r>
                    <w:rPr>
                      <w:rFonts w:hint="eastAsia"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8F</w:t>
                  </w:r>
                </w:p>
              </w:tc>
              <w:tc>
                <w:tcPr>
                  <w:tcW w:w="1686" w:type="pct"/>
                  <w:tcBorders>
                    <w:tl2br w:val="nil"/>
                    <w:tr2bl w:val="nil"/>
                  </w:tcBorders>
                  <w:vAlign w:val="center"/>
                </w:tcPr>
                <w:p w14:paraId="6662A1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休息区</w:t>
                  </w:r>
                </w:p>
              </w:tc>
              <w:tc>
                <w:tcPr>
                  <w:tcW w:w="1143" w:type="pct"/>
                  <w:tcBorders>
                    <w:tl2br w:val="nil"/>
                    <w:tr2bl w:val="nil"/>
                  </w:tcBorders>
                  <w:vAlign w:val="center"/>
                </w:tcPr>
                <w:p w14:paraId="589571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w:t>
                  </w:r>
                </w:p>
              </w:tc>
            </w:tr>
            <w:tr w14:paraId="5848B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tcBorders>
                    <w:tl2br w:val="nil"/>
                    <w:tr2bl w:val="nil"/>
                  </w:tcBorders>
                  <w:vAlign w:val="center"/>
                </w:tcPr>
                <w:p w14:paraId="49DAA1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辅助工程</w:t>
                  </w:r>
                </w:p>
              </w:tc>
              <w:tc>
                <w:tcPr>
                  <w:tcW w:w="598" w:type="pct"/>
                  <w:tcBorders>
                    <w:tl2br w:val="nil"/>
                    <w:tr2bl w:val="nil"/>
                  </w:tcBorders>
                  <w:vAlign w:val="center"/>
                </w:tcPr>
                <w:p w14:paraId="3C7AF6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设备用房</w:t>
                  </w:r>
                </w:p>
              </w:tc>
              <w:tc>
                <w:tcPr>
                  <w:tcW w:w="852" w:type="pct"/>
                  <w:gridSpan w:val="2"/>
                  <w:tcBorders>
                    <w:tl2br w:val="nil"/>
                    <w:tr2bl w:val="nil"/>
                  </w:tcBorders>
                  <w:vAlign w:val="center"/>
                </w:tcPr>
                <w:p w14:paraId="0CFF5A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地下一层</w:t>
                  </w:r>
                </w:p>
              </w:tc>
              <w:tc>
                <w:tcPr>
                  <w:tcW w:w="1686" w:type="pct"/>
                  <w:tcBorders>
                    <w:tl2br w:val="nil"/>
                    <w:tr2bl w:val="nil"/>
                  </w:tcBorders>
                  <w:vAlign w:val="center"/>
                </w:tcPr>
                <w:p w14:paraId="2D8D09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布设消防水池及泵房</w:t>
                  </w:r>
                </w:p>
              </w:tc>
              <w:tc>
                <w:tcPr>
                  <w:tcW w:w="1143" w:type="pct"/>
                  <w:tcBorders>
                    <w:tl2br w:val="nil"/>
                    <w:tr2bl w:val="nil"/>
                  </w:tcBorders>
                  <w:vAlign w:val="center"/>
                </w:tcPr>
                <w:p w14:paraId="5F729F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w:t>
                  </w:r>
                </w:p>
              </w:tc>
            </w:tr>
            <w:tr w14:paraId="21187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restart"/>
                  <w:tcBorders>
                    <w:tl2br w:val="nil"/>
                    <w:tr2bl w:val="nil"/>
                  </w:tcBorders>
                  <w:vAlign w:val="center"/>
                </w:tcPr>
                <w:p w14:paraId="3ED278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贮运工程</w:t>
                  </w:r>
                </w:p>
              </w:tc>
              <w:tc>
                <w:tcPr>
                  <w:tcW w:w="1451" w:type="pct"/>
                  <w:gridSpan w:val="3"/>
                  <w:tcBorders>
                    <w:tl2br w:val="nil"/>
                    <w:tr2bl w:val="nil"/>
                  </w:tcBorders>
                  <w:vAlign w:val="center"/>
                </w:tcPr>
                <w:p w14:paraId="249B24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标本制备室</w:t>
                  </w:r>
                </w:p>
              </w:tc>
              <w:tc>
                <w:tcPr>
                  <w:tcW w:w="1686" w:type="pct"/>
                  <w:tcBorders>
                    <w:tl2br w:val="nil"/>
                    <w:tr2bl w:val="nil"/>
                  </w:tcBorders>
                  <w:vAlign w:val="center"/>
                </w:tcPr>
                <w:p w14:paraId="59F79E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位于实验室中北角</w:t>
                  </w:r>
                </w:p>
              </w:tc>
              <w:tc>
                <w:tcPr>
                  <w:tcW w:w="1143" w:type="pct"/>
                  <w:vMerge w:val="restart"/>
                  <w:tcBorders>
                    <w:tl2br w:val="nil"/>
                    <w:tr2bl w:val="nil"/>
                  </w:tcBorders>
                  <w:vAlign w:val="center"/>
                </w:tcPr>
                <w:p w14:paraId="4B35DB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w:t>
                  </w:r>
                </w:p>
              </w:tc>
            </w:tr>
            <w:tr w14:paraId="41CC5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24B08E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1451" w:type="pct"/>
                  <w:gridSpan w:val="3"/>
                  <w:tcBorders>
                    <w:tl2br w:val="nil"/>
                    <w:tr2bl w:val="nil"/>
                  </w:tcBorders>
                  <w:vAlign w:val="center"/>
                </w:tcPr>
                <w:p w14:paraId="33909A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highlight w:val="none"/>
                      <w:lang w:val="en-US" w:eastAsia="zh-CN"/>
                    </w:rPr>
                    <w:t>化学品</w:t>
                  </w:r>
                  <w:r>
                    <w:rPr>
                      <w:rFonts w:hint="eastAsia" w:cs="Times New Roman"/>
                      <w:bCs/>
                      <w:color w:val="auto"/>
                      <w:sz w:val="18"/>
                      <w:szCs w:val="18"/>
                      <w:highlight w:val="none"/>
                      <w:lang w:val="en-US" w:eastAsia="zh-CN"/>
                    </w:rPr>
                    <w:t>专柜</w:t>
                  </w:r>
                </w:p>
              </w:tc>
              <w:tc>
                <w:tcPr>
                  <w:tcW w:w="1686" w:type="pct"/>
                  <w:tcBorders>
                    <w:tl2br w:val="nil"/>
                    <w:tr2bl w:val="nil"/>
                  </w:tcBorders>
                  <w:vAlign w:val="center"/>
                </w:tcPr>
                <w:p w14:paraId="05AF98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highlight w:val="none"/>
                      <w:lang w:val="en-US" w:eastAsia="zh-CN"/>
                    </w:rPr>
                    <w:t>位于实验室东北角，主要用于试剂存储；建筑面积约50m</w:t>
                  </w:r>
                  <w:r>
                    <w:rPr>
                      <w:rFonts w:hint="default" w:ascii="Times New Roman" w:hAnsi="Times New Roman" w:eastAsia="宋体" w:cs="Times New Roman"/>
                      <w:bCs/>
                      <w:color w:val="auto"/>
                      <w:sz w:val="18"/>
                      <w:szCs w:val="18"/>
                      <w:highlight w:val="none"/>
                      <w:vertAlign w:val="superscript"/>
                      <w:lang w:val="en-US" w:eastAsia="zh-CN"/>
                    </w:rPr>
                    <w:t>2</w:t>
                  </w:r>
                </w:p>
              </w:tc>
              <w:tc>
                <w:tcPr>
                  <w:tcW w:w="1143" w:type="pct"/>
                  <w:vMerge w:val="continue"/>
                  <w:tcBorders>
                    <w:tl2br w:val="nil"/>
                    <w:tr2bl w:val="nil"/>
                  </w:tcBorders>
                  <w:vAlign w:val="center"/>
                </w:tcPr>
                <w:p w14:paraId="453391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p>
              </w:tc>
            </w:tr>
            <w:tr w14:paraId="62215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2973ED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1451" w:type="pct"/>
                  <w:gridSpan w:val="3"/>
                  <w:tcBorders>
                    <w:tl2br w:val="nil"/>
                    <w:tr2bl w:val="nil"/>
                  </w:tcBorders>
                  <w:vAlign w:val="center"/>
                </w:tcPr>
                <w:p w14:paraId="4B8F77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highlight w:val="none"/>
                      <w:lang w:val="en-US" w:eastAsia="zh-CN"/>
                    </w:rPr>
                    <w:t>档案室</w:t>
                  </w:r>
                </w:p>
              </w:tc>
              <w:tc>
                <w:tcPr>
                  <w:tcW w:w="1686" w:type="pct"/>
                  <w:tcBorders>
                    <w:tl2br w:val="nil"/>
                    <w:tr2bl w:val="nil"/>
                  </w:tcBorders>
                  <w:vAlign w:val="center"/>
                </w:tcPr>
                <w:p w14:paraId="1B35A6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highlight w:val="none"/>
                      <w:lang w:val="en-US" w:eastAsia="zh-CN"/>
                    </w:rPr>
                    <w:t>位于实验室南侧，主要用于存放临时档案，建筑面积约15m</w:t>
                  </w:r>
                  <w:r>
                    <w:rPr>
                      <w:rFonts w:hint="default" w:ascii="Times New Roman" w:hAnsi="Times New Roman" w:eastAsia="宋体" w:cs="Times New Roman"/>
                      <w:bCs/>
                      <w:color w:val="auto"/>
                      <w:sz w:val="18"/>
                      <w:szCs w:val="18"/>
                      <w:highlight w:val="none"/>
                      <w:vertAlign w:val="superscript"/>
                      <w:lang w:val="en-US" w:eastAsia="zh-CN"/>
                    </w:rPr>
                    <w:t>2</w:t>
                  </w:r>
                </w:p>
              </w:tc>
              <w:tc>
                <w:tcPr>
                  <w:tcW w:w="1143" w:type="pct"/>
                  <w:vMerge w:val="continue"/>
                  <w:tcBorders>
                    <w:tl2br w:val="nil"/>
                    <w:tr2bl w:val="nil"/>
                  </w:tcBorders>
                  <w:vAlign w:val="center"/>
                </w:tcPr>
                <w:p w14:paraId="02CD9D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p>
              </w:tc>
            </w:tr>
            <w:tr w14:paraId="2EF84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718" w:type="pct"/>
                  <w:vMerge w:val="restart"/>
                  <w:tcBorders>
                    <w:tl2br w:val="nil"/>
                    <w:tr2bl w:val="nil"/>
                  </w:tcBorders>
                  <w:vAlign w:val="center"/>
                </w:tcPr>
                <w:p w14:paraId="5733C4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公用工程</w:t>
                  </w:r>
                </w:p>
              </w:tc>
              <w:tc>
                <w:tcPr>
                  <w:tcW w:w="988" w:type="pct"/>
                  <w:gridSpan w:val="2"/>
                  <w:vMerge w:val="restart"/>
                  <w:tcBorders>
                    <w:tl2br w:val="nil"/>
                    <w:tr2bl w:val="nil"/>
                  </w:tcBorders>
                  <w:vAlign w:val="center"/>
                </w:tcPr>
                <w:p w14:paraId="4B904D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给水</w:t>
                  </w:r>
                </w:p>
              </w:tc>
              <w:tc>
                <w:tcPr>
                  <w:tcW w:w="462" w:type="pct"/>
                  <w:tcBorders>
                    <w:tl2br w:val="nil"/>
                    <w:tr2bl w:val="nil"/>
                  </w:tcBorders>
                  <w:vAlign w:val="center"/>
                </w:tcPr>
                <w:p w14:paraId="468A9B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新鲜水</w:t>
                  </w:r>
                </w:p>
              </w:tc>
              <w:tc>
                <w:tcPr>
                  <w:tcW w:w="1686" w:type="pct"/>
                  <w:tcBorders>
                    <w:tl2br w:val="nil"/>
                    <w:tr2bl w:val="nil"/>
                  </w:tcBorders>
                  <w:vAlign w:val="center"/>
                </w:tcPr>
                <w:p w14:paraId="25D43E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1770.9</w:t>
                  </w:r>
                  <w:r>
                    <w:rPr>
                      <w:rFonts w:hint="default" w:ascii="Times New Roman" w:hAnsi="Times New Roman" w:eastAsia="宋体" w:cs="Times New Roman"/>
                      <w:bCs/>
                      <w:color w:val="auto"/>
                      <w:sz w:val="18"/>
                      <w:szCs w:val="18"/>
                      <w:highlight w:val="none"/>
                      <w:lang w:val="en-US" w:eastAsia="zh-CN"/>
                    </w:rPr>
                    <w:t>t/a</w:t>
                  </w:r>
                </w:p>
              </w:tc>
              <w:tc>
                <w:tcPr>
                  <w:tcW w:w="1143" w:type="pct"/>
                  <w:tcBorders>
                    <w:tl2br w:val="nil"/>
                    <w:tr2bl w:val="nil"/>
                  </w:tcBorders>
                  <w:vAlign w:val="center"/>
                </w:tcPr>
                <w:p w14:paraId="6FB55C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来自市政自来水管网</w:t>
                  </w:r>
                </w:p>
              </w:tc>
            </w:tr>
            <w:tr w14:paraId="27710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4EEA93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988" w:type="pct"/>
                  <w:gridSpan w:val="2"/>
                  <w:vMerge w:val="continue"/>
                  <w:tcBorders>
                    <w:tl2br w:val="nil"/>
                    <w:tr2bl w:val="nil"/>
                  </w:tcBorders>
                  <w:vAlign w:val="center"/>
                </w:tcPr>
                <w:p w14:paraId="007E7D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p>
              </w:tc>
              <w:tc>
                <w:tcPr>
                  <w:tcW w:w="462" w:type="pct"/>
                  <w:tcBorders>
                    <w:tl2br w:val="nil"/>
                    <w:tr2bl w:val="nil"/>
                  </w:tcBorders>
                  <w:vAlign w:val="center"/>
                </w:tcPr>
                <w:p w14:paraId="1D206C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纯水</w:t>
                  </w:r>
                </w:p>
              </w:tc>
              <w:tc>
                <w:tcPr>
                  <w:tcW w:w="1686" w:type="pct"/>
                  <w:tcBorders>
                    <w:tl2br w:val="nil"/>
                    <w:tr2bl w:val="nil"/>
                  </w:tcBorders>
                  <w:vAlign w:val="center"/>
                </w:tcPr>
                <w:p w14:paraId="1D1671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663.6</w:t>
                  </w:r>
                  <w:r>
                    <w:rPr>
                      <w:rFonts w:hint="default" w:ascii="Times New Roman" w:hAnsi="Times New Roman" w:eastAsia="宋体" w:cs="Times New Roman"/>
                      <w:bCs/>
                      <w:color w:val="auto"/>
                      <w:sz w:val="18"/>
                      <w:szCs w:val="18"/>
                      <w:highlight w:val="none"/>
                      <w:lang w:val="en-US" w:eastAsia="zh-CN"/>
                    </w:rPr>
                    <w:t>t/a，主要用于实验室仪器及器皿清洗、实验试剂配置、</w:t>
                  </w:r>
                  <w:r>
                    <w:rPr>
                      <w:rFonts w:hint="eastAsia" w:cs="Times New Roman"/>
                      <w:bCs/>
                      <w:color w:val="auto"/>
                      <w:sz w:val="18"/>
                      <w:szCs w:val="18"/>
                      <w:highlight w:val="none"/>
                      <w:lang w:val="en-US" w:eastAsia="zh-CN"/>
                    </w:rPr>
                    <w:t>动物笼具清洗、</w:t>
                  </w:r>
                  <w:r>
                    <w:rPr>
                      <w:rFonts w:hint="default" w:ascii="Times New Roman" w:hAnsi="Times New Roman" w:eastAsia="宋体" w:cs="Times New Roman"/>
                      <w:bCs/>
                      <w:color w:val="auto"/>
                      <w:sz w:val="18"/>
                      <w:szCs w:val="18"/>
                      <w:highlight w:val="none"/>
                      <w:lang w:val="en-US" w:eastAsia="zh-CN"/>
                    </w:rPr>
                    <w:t>高压灭菌器补水</w:t>
                  </w:r>
                </w:p>
              </w:tc>
              <w:tc>
                <w:tcPr>
                  <w:tcW w:w="1143" w:type="pct"/>
                  <w:tcBorders>
                    <w:tl2br w:val="nil"/>
                    <w:tr2bl w:val="nil"/>
                  </w:tcBorders>
                  <w:vAlign w:val="center"/>
                </w:tcPr>
                <w:p w14:paraId="2EA084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来自纯水制备机，采用二级RO处理工艺，制水能力1t/h</w:t>
                  </w:r>
                </w:p>
              </w:tc>
            </w:tr>
            <w:tr w14:paraId="7EBB1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4BDEE1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1451" w:type="pct"/>
                  <w:gridSpan w:val="3"/>
                  <w:tcBorders>
                    <w:tl2br w:val="nil"/>
                    <w:tr2bl w:val="nil"/>
                  </w:tcBorders>
                  <w:vAlign w:val="center"/>
                </w:tcPr>
                <w:p w14:paraId="61B08C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排水</w:t>
                  </w:r>
                </w:p>
              </w:tc>
              <w:tc>
                <w:tcPr>
                  <w:tcW w:w="1686" w:type="pct"/>
                  <w:tcBorders>
                    <w:tl2br w:val="nil"/>
                    <w:tr2bl w:val="nil"/>
                  </w:tcBorders>
                  <w:vAlign w:val="center"/>
                </w:tcPr>
                <w:p w14:paraId="5F2803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1383.3t/a，</w:t>
                  </w:r>
                  <w:r>
                    <w:rPr>
                      <w:rFonts w:hint="default" w:ascii="Times New Roman" w:hAnsi="Times New Roman" w:eastAsia="宋体" w:cs="Times New Roman"/>
                      <w:bCs/>
                      <w:color w:val="auto"/>
                      <w:sz w:val="18"/>
                      <w:szCs w:val="18"/>
                      <w:highlight w:val="none"/>
                      <w:lang w:val="en-US" w:eastAsia="zh-CN"/>
                    </w:rPr>
                    <w:t>主要包括实验室仪器及器皿清洗废水、</w:t>
                  </w:r>
                  <w:r>
                    <w:rPr>
                      <w:rFonts w:hint="eastAsia" w:cs="Times New Roman"/>
                      <w:bCs/>
                      <w:color w:val="auto"/>
                      <w:sz w:val="18"/>
                      <w:szCs w:val="18"/>
                      <w:highlight w:val="none"/>
                      <w:lang w:val="en-US" w:eastAsia="zh-CN"/>
                    </w:rPr>
                    <w:t>动物笼具清洗废水、</w:t>
                  </w:r>
                  <w:r>
                    <w:rPr>
                      <w:rFonts w:hint="default" w:ascii="Times New Roman" w:hAnsi="Times New Roman" w:eastAsia="宋体" w:cs="Times New Roman"/>
                      <w:bCs/>
                      <w:color w:val="auto"/>
                      <w:sz w:val="18"/>
                      <w:szCs w:val="18"/>
                      <w:highlight w:val="none"/>
                      <w:lang w:val="en-US" w:eastAsia="zh-CN"/>
                    </w:rPr>
                    <w:t>纯水制备浓水、教学人员生活污水</w:t>
                  </w:r>
                </w:p>
              </w:tc>
              <w:tc>
                <w:tcPr>
                  <w:tcW w:w="1143" w:type="pct"/>
                  <w:tcBorders>
                    <w:tl2br w:val="nil"/>
                    <w:tr2bl w:val="nil"/>
                  </w:tcBorders>
                  <w:vAlign w:val="center"/>
                </w:tcPr>
                <w:p w14:paraId="56DA66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雨污分流</w:t>
                  </w:r>
                </w:p>
              </w:tc>
            </w:tr>
            <w:tr w14:paraId="10A3C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6B54DA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1451" w:type="pct"/>
                  <w:gridSpan w:val="3"/>
                  <w:tcBorders>
                    <w:tl2br w:val="nil"/>
                    <w:tr2bl w:val="nil"/>
                  </w:tcBorders>
                  <w:vAlign w:val="center"/>
                </w:tcPr>
                <w:p w14:paraId="702964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供电</w:t>
                  </w:r>
                </w:p>
              </w:tc>
              <w:tc>
                <w:tcPr>
                  <w:tcW w:w="1686" w:type="pct"/>
                  <w:tcBorders>
                    <w:tl2br w:val="nil"/>
                    <w:tr2bl w:val="nil"/>
                  </w:tcBorders>
                  <w:vAlign w:val="center"/>
                </w:tcPr>
                <w:p w14:paraId="48DC4F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年用电量100万kwh</w:t>
                  </w:r>
                </w:p>
              </w:tc>
              <w:tc>
                <w:tcPr>
                  <w:tcW w:w="1143" w:type="pct"/>
                  <w:tcBorders>
                    <w:tl2br w:val="nil"/>
                    <w:tr2bl w:val="nil"/>
                  </w:tcBorders>
                  <w:vAlign w:val="center"/>
                </w:tcPr>
                <w:p w14:paraId="6C903C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来自市政电网</w:t>
                  </w:r>
                </w:p>
              </w:tc>
            </w:tr>
            <w:tr w14:paraId="3B02C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restart"/>
                  <w:tcBorders>
                    <w:tl2br w:val="nil"/>
                    <w:tr2bl w:val="nil"/>
                  </w:tcBorders>
                  <w:vAlign w:val="center"/>
                </w:tcPr>
                <w:p w14:paraId="35233F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环保工程</w:t>
                  </w:r>
                </w:p>
              </w:tc>
              <w:tc>
                <w:tcPr>
                  <w:tcW w:w="1451" w:type="pct"/>
                  <w:gridSpan w:val="3"/>
                  <w:vMerge w:val="restart"/>
                  <w:tcBorders>
                    <w:tl2br w:val="nil"/>
                    <w:tr2bl w:val="nil"/>
                  </w:tcBorders>
                  <w:vAlign w:val="center"/>
                </w:tcPr>
                <w:p w14:paraId="457492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废气治理</w:t>
                  </w:r>
                </w:p>
              </w:tc>
              <w:tc>
                <w:tcPr>
                  <w:tcW w:w="1686" w:type="pct"/>
                  <w:tcBorders>
                    <w:tl2br w:val="nil"/>
                    <w:tr2bl w:val="nil"/>
                  </w:tcBorders>
                  <w:vAlign w:val="center"/>
                </w:tcPr>
                <w:p w14:paraId="7C9C7D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kern w:val="0"/>
                      <w:sz w:val="18"/>
                      <w:szCs w:val="18"/>
                      <w:lang w:val="en-US" w:eastAsia="zh-CN"/>
                    </w:rPr>
                    <w:t>实验室废气</w:t>
                  </w:r>
                  <w:r>
                    <w:rPr>
                      <w:rFonts w:hint="default" w:ascii="Times New Roman" w:hAnsi="Times New Roman" w:eastAsia="宋体" w:cs="Times New Roman"/>
                      <w:color w:val="auto"/>
                      <w:sz w:val="18"/>
                      <w:szCs w:val="18"/>
                    </w:rPr>
                    <w:t>经</w:t>
                  </w:r>
                  <w:r>
                    <w:rPr>
                      <w:rFonts w:hint="default" w:ascii="Times New Roman" w:hAnsi="Times New Roman" w:eastAsia="宋体" w:cs="Times New Roman"/>
                      <w:color w:val="auto"/>
                      <w:sz w:val="18"/>
                      <w:szCs w:val="18"/>
                      <w:lang w:val="en-US" w:eastAsia="zh-CN"/>
                    </w:rPr>
                    <w:t>通风橱/生物安全柜</w:t>
                  </w:r>
                  <w:r>
                    <w:rPr>
                      <w:rFonts w:hint="default" w:ascii="Times New Roman" w:hAnsi="Times New Roman" w:eastAsia="宋体" w:cs="Times New Roman"/>
                      <w:color w:val="auto"/>
                      <w:sz w:val="18"/>
                      <w:szCs w:val="18"/>
                    </w:rPr>
                    <w:t>收集后，通过一套二级活性炭吸附装置处理，尾气由1根</w:t>
                  </w:r>
                  <w:r>
                    <w:rPr>
                      <w:rFonts w:hint="eastAsia" w:cs="Times New Roman"/>
                      <w:color w:val="auto"/>
                      <w:sz w:val="18"/>
                      <w:szCs w:val="18"/>
                      <w:lang w:val="en-US" w:eastAsia="zh-CN"/>
                    </w:rPr>
                    <w:t>20</w:t>
                  </w:r>
                  <w:r>
                    <w:rPr>
                      <w:rFonts w:hint="default" w:ascii="Times New Roman" w:hAnsi="Times New Roman" w:eastAsia="宋体" w:cs="Times New Roman"/>
                      <w:color w:val="auto"/>
                      <w:sz w:val="18"/>
                      <w:szCs w:val="18"/>
                    </w:rPr>
                    <w:t>m高排气筒排放</w:t>
                  </w:r>
                </w:p>
              </w:tc>
              <w:tc>
                <w:tcPr>
                  <w:tcW w:w="1143" w:type="pct"/>
                  <w:tcBorders>
                    <w:tl2br w:val="nil"/>
                    <w:tr2bl w:val="nil"/>
                  </w:tcBorders>
                  <w:vAlign w:val="center"/>
                </w:tcPr>
                <w:p w14:paraId="45EFED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w:t>
                  </w:r>
                </w:p>
              </w:tc>
            </w:tr>
            <w:tr w14:paraId="78BA8B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06098E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p>
              </w:tc>
              <w:tc>
                <w:tcPr>
                  <w:tcW w:w="1451" w:type="pct"/>
                  <w:gridSpan w:val="3"/>
                  <w:vMerge w:val="continue"/>
                  <w:tcBorders>
                    <w:tl2br w:val="nil"/>
                    <w:tr2bl w:val="nil"/>
                  </w:tcBorders>
                  <w:vAlign w:val="center"/>
                </w:tcPr>
                <w:p w14:paraId="735678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1686" w:type="pct"/>
                  <w:tcBorders>
                    <w:tl2br w:val="nil"/>
                    <w:tr2bl w:val="nil"/>
                  </w:tcBorders>
                  <w:vAlign w:val="center"/>
                </w:tcPr>
                <w:p w14:paraId="552996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动物房恶臭通过加强动物房密闭，定期喷洒除臭剂控制</w:t>
                  </w:r>
                </w:p>
              </w:tc>
              <w:tc>
                <w:tcPr>
                  <w:tcW w:w="1143" w:type="pct"/>
                  <w:tcBorders>
                    <w:tl2br w:val="nil"/>
                    <w:tr2bl w:val="nil"/>
                  </w:tcBorders>
                  <w:vAlign w:val="center"/>
                </w:tcPr>
                <w:p w14:paraId="56D455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新建</w:t>
                  </w:r>
                </w:p>
              </w:tc>
            </w:tr>
            <w:tr w14:paraId="00F97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3CE9DB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restart"/>
                  <w:tcBorders>
                    <w:tl2br w:val="nil"/>
                    <w:tr2bl w:val="nil"/>
                  </w:tcBorders>
                  <w:vAlign w:val="center"/>
                </w:tcPr>
                <w:p w14:paraId="2D5C31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废水治理</w:t>
                  </w:r>
                </w:p>
              </w:tc>
              <w:tc>
                <w:tcPr>
                  <w:tcW w:w="852" w:type="pct"/>
                  <w:gridSpan w:val="2"/>
                  <w:tcBorders>
                    <w:tl2br w:val="nil"/>
                    <w:tr2bl w:val="nil"/>
                  </w:tcBorders>
                  <w:vAlign w:val="center"/>
                </w:tcPr>
                <w:p w14:paraId="31C840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highlight w:val="none"/>
                      <w:lang w:val="en-US" w:eastAsia="zh-CN"/>
                    </w:rPr>
                    <w:t>实验室仪器及器皿清洗废水</w:t>
                  </w:r>
                  <w:r>
                    <w:rPr>
                      <w:rFonts w:hint="eastAsia" w:cs="Times New Roman"/>
                      <w:bCs/>
                      <w:color w:val="auto"/>
                      <w:sz w:val="18"/>
                      <w:szCs w:val="18"/>
                      <w:highlight w:val="none"/>
                      <w:lang w:val="en-US" w:eastAsia="zh-CN"/>
                    </w:rPr>
                    <w:t>、</w:t>
                  </w:r>
                  <w:r>
                    <w:rPr>
                      <w:rFonts w:hint="eastAsia" w:ascii="Times New Roman" w:hAnsi="Times New Roman" w:eastAsia="宋体" w:cs="Times New Roman"/>
                      <w:bCs/>
                      <w:color w:val="auto"/>
                      <w:sz w:val="18"/>
                      <w:szCs w:val="18"/>
                      <w:lang w:val="en-US" w:eastAsia="zh-CN"/>
                    </w:rPr>
                    <w:t>笼具清洗废水</w:t>
                  </w:r>
                </w:p>
              </w:tc>
              <w:tc>
                <w:tcPr>
                  <w:tcW w:w="1686" w:type="pct"/>
                  <w:vMerge w:val="restart"/>
                  <w:tcBorders>
                    <w:tl2br w:val="nil"/>
                    <w:tr2bl w:val="nil"/>
                  </w:tcBorders>
                  <w:vAlign w:val="center"/>
                </w:tcPr>
                <w:p w14:paraId="7A8C00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排入医院现有已建成污水处理站处理</w:t>
                  </w:r>
                </w:p>
              </w:tc>
              <w:tc>
                <w:tcPr>
                  <w:tcW w:w="1143" w:type="pct"/>
                  <w:vMerge w:val="restart"/>
                  <w:tcBorders>
                    <w:tl2br w:val="nil"/>
                    <w:tr2bl w:val="nil"/>
                  </w:tcBorders>
                  <w:vAlign w:val="center"/>
                </w:tcPr>
                <w:p w14:paraId="0FED07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依托现有</w:t>
                  </w:r>
                  <w:r>
                    <w:rPr>
                      <w:rFonts w:hint="eastAsia" w:cs="Times New Roman"/>
                      <w:color w:val="auto"/>
                      <w:kern w:val="2"/>
                      <w:sz w:val="18"/>
                      <w:szCs w:val="18"/>
                      <w:lang w:val="en-US" w:eastAsia="zh-CN" w:bidi="ar-SA"/>
                    </w:rPr>
                    <w:t>，最终</w:t>
                  </w:r>
                  <w:r>
                    <w:rPr>
                      <w:rFonts w:hint="default" w:ascii="Times New Roman" w:hAnsi="Times New Roman" w:eastAsia="宋体" w:cs="Times New Roman"/>
                      <w:color w:val="auto"/>
                      <w:kern w:val="2"/>
                      <w:sz w:val="18"/>
                      <w:szCs w:val="18"/>
                      <w:lang w:val="en-US" w:eastAsia="zh-CN" w:bidi="ar-SA"/>
                    </w:rPr>
                    <w:t>接入医院污水管网后</w:t>
                  </w:r>
                  <w:r>
                    <w:rPr>
                      <w:rFonts w:hint="eastAsia" w:ascii="Times New Roman" w:hAnsi="Times New Roman" w:eastAsia="宋体" w:cs="Times New Roman"/>
                      <w:color w:val="auto"/>
                      <w:kern w:val="2"/>
                      <w:sz w:val="18"/>
                      <w:szCs w:val="18"/>
                      <w:lang w:val="en-US" w:eastAsia="zh-CN" w:bidi="ar-SA"/>
                    </w:rPr>
                    <w:t>经</w:t>
                  </w:r>
                  <w:r>
                    <w:rPr>
                      <w:rFonts w:hint="default" w:ascii="Times New Roman" w:hAnsi="Times New Roman" w:eastAsia="宋体" w:cs="Times New Roman"/>
                      <w:color w:val="auto"/>
                      <w:kern w:val="2"/>
                      <w:sz w:val="18"/>
                      <w:szCs w:val="18"/>
                      <w:lang w:val="en-US" w:eastAsia="zh-CN" w:bidi="ar-SA"/>
                    </w:rPr>
                    <w:t>总排放口排放</w:t>
                  </w:r>
                </w:p>
              </w:tc>
            </w:tr>
            <w:tr w14:paraId="75A81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632361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19B57B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230713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highlight w:val="none"/>
                      <w:lang w:val="en-US" w:eastAsia="zh-CN"/>
                    </w:rPr>
                    <w:t>纯水制备浓水</w:t>
                  </w:r>
                </w:p>
              </w:tc>
              <w:tc>
                <w:tcPr>
                  <w:tcW w:w="1686" w:type="pct"/>
                  <w:vMerge w:val="continue"/>
                  <w:tcBorders>
                    <w:tl2br w:val="nil"/>
                    <w:tr2bl w:val="nil"/>
                  </w:tcBorders>
                  <w:vAlign w:val="center"/>
                </w:tcPr>
                <w:p w14:paraId="1F3A4E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1143" w:type="pct"/>
                  <w:vMerge w:val="continue"/>
                  <w:tcBorders>
                    <w:tl2br w:val="nil"/>
                    <w:tr2bl w:val="nil"/>
                  </w:tcBorders>
                  <w:vAlign w:val="center"/>
                </w:tcPr>
                <w:p w14:paraId="10384F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p>
              </w:tc>
            </w:tr>
            <w:tr w14:paraId="46A13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78DD41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2BCD8D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0C4445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蒸汽冷凝水</w:t>
                  </w:r>
                </w:p>
              </w:tc>
              <w:tc>
                <w:tcPr>
                  <w:tcW w:w="1686" w:type="pct"/>
                  <w:tcBorders>
                    <w:tl2br w:val="nil"/>
                    <w:tr2bl w:val="nil"/>
                  </w:tcBorders>
                  <w:vAlign w:val="center"/>
                </w:tcPr>
                <w:p w14:paraId="3E588C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回用于蒸汽灭菌器</w:t>
                  </w:r>
                </w:p>
              </w:tc>
              <w:tc>
                <w:tcPr>
                  <w:tcW w:w="1143" w:type="pct"/>
                  <w:tcBorders>
                    <w:tl2br w:val="nil"/>
                    <w:tr2bl w:val="nil"/>
                  </w:tcBorders>
                  <w:vAlign w:val="center"/>
                </w:tcPr>
                <w:p w14:paraId="2E53B2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不排放</w:t>
                  </w:r>
                </w:p>
              </w:tc>
            </w:tr>
            <w:tr w14:paraId="72DB0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2714D1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01A1DF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5B6BBD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生活污水</w:t>
                  </w:r>
                </w:p>
              </w:tc>
              <w:tc>
                <w:tcPr>
                  <w:tcW w:w="1686" w:type="pct"/>
                  <w:tcBorders>
                    <w:tl2br w:val="nil"/>
                    <w:tr2bl w:val="nil"/>
                  </w:tcBorders>
                  <w:vAlign w:val="center"/>
                </w:tcPr>
                <w:p w14:paraId="2BB50F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化粪池</w:t>
                  </w:r>
                </w:p>
              </w:tc>
              <w:tc>
                <w:tcPr>
                  <w:tcW w:w="1143" w:type="pct"/>
                  <w:tcBorders>
                    <w:tl2br w:val="nil"/>
                    <w:tr2bl w:val="nil"/>
                  </w:tcBorders>
                  <w:vAlign w:val="center"/>
                </w:tcPr>
                <w:p w14:paraId="13AD28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接入医院污水管网后</w:t>
                  </w:r>
                  <w:r>
                    <w:rPr>
                      <w:rFonts w:hint="eastAsia" w:ascii="Times New Roman" w:hAnsi="Times New Roman" w:eastAsia="宋体" w:cs="Times New Roman"/>
                      <w:color w:val="auto"/>
                      <w:kern w:val="2"/>
                      <w:sz w:val="18"/>
                      <w:szCs w:val="18"/>
                      <w:lang w:val="en-US" w:eastAsia="zh-CN" w:bidi="ar-SA"/>
                    </w:rPr>
                    <w:t>经</w:t>
                  </w:r>
                  <w:r>
                    <w:rPr>
                      <w:rFonts w:hint="default" w:ascii="Times New Roman" w:hAnsi="Times New Roman" w:eastAsia="宋体" w:cs="Times New Roman"/>
                      <w:color w:val="auto"/>
                      <w:kern w:val="2"/>
                      <w:sz w:val="18"/>
                      <w:szCs w:val="18"/>
                      <w:lang w:val="en-US" w:eastAsia="zh-CN" w:bidi="ar-SA"/>
                    </w:rPr>
                    <w:t>总排放口排放</w:t>
                  </w:r>
                </w:p>
              </w:tc>
            </w:tr>
            <w:tr w14:paraId="06BFF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0BD9F8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restart"/>
                  <w:tcBorders>
                    <w:tl2br w:val="nil"/>
                    <w:tr2bl w:val="nil"/>
                  </w:tcBorders>
                  <w:vAlign w:val="center"/>
                </w:tcPr>
                <w:p w14:paraId="1CD10C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固体废弃物治理</w:t>
                  </w:r>
                </w:p>
              </w:tc>
              <w:tc>
                <w:tcPr>
                  <w:tcW w:w="852" w:type="pct"/>
                  <w:gridSpan w:val="2"/>
                  <w:tcBorders>
                    <w:tl2br w:val="nil"/>
                    <w:tr2bl w:val="nil"/>
                  </w:tcBorders>
                  <w:vAlign w:val="center"/>
                </w:tcPr>
                <w:p w14:paraId="77F3D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感染性废物</w:t>
                  </w:r>
                </w:p>
              </w:tc>
              <w:tc>
                <w:tcPr>
                  <w:tcW w:w="1686" w:type="pct"/>
                  <w:vMerge w:val="restart"/>
                  <w:tcBorders>
                    <w:tl2br w:val="nil"/>
                    <w:tr2bl w:val="nil"/>
                  </w:tcBorders>
                  <w:vAlign w:val="center"/>
                </w:tcPr>
                <w:p w14:paraId="3115A7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医院现有医疗废物</w:t>
                  </w:r>
                  <w:r>
                    <w:rPr>
                      <w:rFonts w:hint="eastAsia" w:cs="Times New Roman"/>
                      <w:color w:val="auto"/>
                      <w:sz w:val="18"/>
                      <w:szCs w:val="18"/>
                      <w:lang w:eastAsia="zh-CN"/>
                    </w:rPr>
                    <w:t>暂存间</w:t>
                  </w:r>
                  <w:r>
                    <w:rPr>
                      <w:rFonts w:hint="default" w:ascii="Times New Roman" w:hAnsi="Times New Roman" w:eastAsia="宋体" w:cs="Times New Roman"/>
                      <w:color w:val="auto"/>
                      <w:sz w:val="18"/>
                      <w:szCs w:val="18"/>
                      <w:lang w:eastAsia="zh-CN"/>
                    </w:rPr>
                    <w:t>集中贮存</w:t>
                  </w:r>
                </w:p>
              </w:tc>
              <w:tc>
                <w:tcPr>
                  <w:tcW w:w="1143" w:type="pct"/>
                  <w:tcBorders>
                    <w:tl2br w:val="nil"/>
                    <w:tr2bl w:val="nil"/>
                  </w:tcBorders>
                  <w:vAlign w:val="center"/>
                </w:tcPr>
                <w:p w14:paraId="4853E6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主要包括（1）一次性实验服、帽子、口罩及手套。（2）检测过程中使用的废移液管吸头、消毒纱布。（3）检测实验过程中产生的各种废液（试剂配置废液、检测废液）</w:t>
                  </w:r>
                  <w:r>
                    <w:rPr>
                      <w:rFonts w:hint="eastAsia"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（4）废弃的血液、血清</w:t>
                  </w:r>
                  <w:r>
                    <w:rPr>
                      <w:rFonts w:hint="eastAsia"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（5）废弃医学样本</w:t>
                  </w:r>
                  <w:r>
                    <w:rPr>
                      <w:rFonts w:hint="eastAsia" w:cs="Times New Roman"/>
                      <w:color w:val="auto"/>
                      <w:kern w:val="2"/>
                      <w:sz w:val="18"/>
                      <w:szCs w:val="18"/>
                      <w:lang w:val="en-US" w:eastAsia="zh-CN" w:bidi="ar-SA"/>
                    </w:rPr>
                    <w:t>；</w:t>
                  </w:r>
                  <w:r>
                    <w:rPr>
                      <w:rFonts w:hint="default" w:ascii="Times New Roman" w:hAnsi="Times New Roman" w:eastAsia="宋体" w:cs="Times New Roman"/>
                      <w:color w:val="auto"/>
                      <w:kern w:val="2"/>
                      <w:sz w:val="18"/>
                      <w:szCs w:val="18"/>
                      <w:lang w:val="en-US" w:eastAsia="zh-CN" w:bidi="ar-SA"/>
                    </w:rPr>
                    <w:t>（6）废培养基</w:t>
                  </w:r>
                </w:p>
              </w:tc>
            </w:tr>
            <w:tr w14:paraId="276BD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61ECF5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174374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209C15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损伤性废物</w:t>
                  </w:r>
                </w:p>
              </w:tc>
              <w:tc>
                <w:tcPr>
                  <w:tcW w:w="1686" w:type="pct"/>
                  <w:vMerge w:val="continue"/>
                  <w:tcBorders>
                    <w:tl2br w:val="nil"/>
                    <w:tr2bl w:val="nil"/>
                  </w:tcBorders>
                  <w:vAlign w:val="center"/>
                </w:tcPr>
                <w:p w14:paraId="5E1059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p>
              </w:tc>
              <w:tc>
                <w:tcPr>
                  <w:tcW w:w="1143" w:type="pct"/>
                  <w:tcBorders>
                    <w:tl2br w:val="nil"/>
                    <w:tr2bl w:val="nil"/>
                  </w:tcBorders>
                  <w:vAlign w:val="center"/>
                </w:tcPr>
                <w:p w14:paraId="36D048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主要为载玻片、玻璃试管</w:t>
                  </w:r>
                </w:p>
              </w:tc>
            </w:tr>
            <w:tr w14:paraId="32557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6C34CE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3D449A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4445BF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病理性废物</w:t>
                  </w:r>
                </w:p>
              </w:tc>
              <w:tc>
                <w:tcPr>
                  <w:tcW w:w="1686" w:type="pct"/>
                  <w:vMerge w:val="continue"/>
                  <w:tcBorders>
                    <w:tl2br w:val="nil"/>
                    <w:tr2bl w:val="nil"/>
                  </w:tcBorders>
                  <w:vAlign w:val="center"/>
                </w:tcPr>
                <w:p w14:paraId="1C93C3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p>
              </w:tc>
              <w:tc>
                <w:tcPr>
                  <w:tcW w:w="1143" w:type="pct"/>
                  <w:tcBorders>
                    <w:tl2br w:val="nil"/>
                    <w:tr2bl w:val="nil"/>
                  </w:tcBorders>
                  <w:vAlign w:val="center"/>
                </w:tcPr>
                <w:p w14:paraId="2E31BE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主要为病理切片后废弃的人体组织、</w:t>
                  </w:r>
                  <w:r>
                    <w:rPr>
                      <w:rFonts w:hint="eastAsia" w:cs="Times New Roman"/>
                      <w:color w:val="auto"/>
                      <w:kern w:val="2"/>
                      <w:sz w:val="18"/>
                      <w:szCs w:val="18"/>
                      <w:lang w:val="en-US" w:eastAsia="zh-CN" w:bidi="ar-SA"/>
                    </w:rPr>
                    <w:t>尸</w:t>
                  </w:r>
                  <w:r>
                    <w:rPr>
                      <w:rFonts w:hint="default" w:ascii="Times New Roman" w:hAnsi="Times New Roman" w:eastAsia="宋体" w:cs="Times New Roman"/>
                      <w:color w:val="auto"/>
                      <w:kern w:val="2"/>
                      <w:sz w:val="18"/>
                      <w:szCs w:val="18"/>
                      <w:lang w:val="en-US" w:eastAsia="zh-CN" w:bidi="ar-SA"/>
                    </w:rPr>
                    <w:t>块</w:t>
                  </w:r>
                  <w:r>
                    <w:rPr>
                      <w:rFonts w:hint="eastAsia" w:cs="Times New Roman"/>
                      <w:color w:val="auto"/>
                      <w:kern w:val="2"/>
                      <w:sz w:val="18"/>
                      <w:szCs w:val="18"/>
                      <w:lang w:val="en-US" w:eastAsia="zh-CN" w:bidi="ar-SA"/>
                    </w:rPr>
                    <w:t>、</w:t>
                  </w:r>
                  <w:r>
                    <w:rPr>
                      <w:rFonts w:hint="default" w:ascii="Times New Roman" w:hAnsi="Times New Roman" w:eastAsia="宋体" w:cs="Times New Roman"/>
                      <w:color w:val="auto"/>
                      <w:sz w:val="18"/>
                      <w:szCs w:val="18"/>
                      <w:lang w:val="en-US" w:eastAsia="zh-CN"/>
                    </w:rPr>
                    <w:t>病死动物尸体</w:t>
                  </w:r>
                </w:p>
              </w:tc>
            </w:tr>
            <w:tr w14:paraId="16338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1AEDE0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4C7727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136491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药物性废物</w:t>
                  </w:r>
                </w:p>
              </w:tc>
              <w:tc>
                <w:tcPr>
                  <w:tcW w:w="1686" w:type="pct"/>
                  <w:vMerge w:val="continue"/>
                  <w:tcBorders>
                    <w:tl2br w:val="nil"/>
                    <w:tr2bl w:val="nil"/>
                  </w:tcBorders>
                  <w:vAlign w:val="center"/>
                </w:tcPr>
                <w:p w14:paraId="5701C1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p>
              </w:tc>
              <w:tc>
                <w:tcPr>
                  <w:tcW w:w="1143" w:type="pct"/>
                  <w:tcBorders>
                    <w:tl2br w:val="nil"/>
                    <w:tr2bl w:val="nil"/>
                  </w:tcBorders>
                  <w:vAlign w:val="center"/>
                </w:tcPr>
                <w:p w14:paraId="537241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主要为过期药品</w:t>
                  </w:r>
                </w:p>
              </w:tc>
            </w:tr>
            <w:tr w14:paraId="1B8EE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693BD6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43A5B8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302E46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化学性废物</w:t>
                  </w:r>
                </w:p>
              </w:tc>
              <w:tc>
                <w:tcPr>
                  <w:tcW w:w="1686" w:type="pct"/>
                  <w:vMerge w:val="continue"/>
                  <w:tcBorders>
                    <w:tl2br w:val="nil"/>
                    <w:tr2bl w:val="nil"/>
                  </w:tcBorders>
                  <w:vAlign w:val="center"/>
                </w:tcPr>
                <w:p w14:paraId="7A632C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p>
              </w:tc>
              <w:tc>
                <w:tcPr>
                  <w:tcW w:w="1143" w:type="pct"/>
                  <w:tcBorders>
                    <w:tl2br w:val="nil"/>
                    <w:tr2bl w:val="nil"/>
                  </w:tcBorders>
                  <w:vAlign w:val="center"/>
                </w:tcPr>
                <w:p w14:paraId="2A600F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实验室废弃的化学试剂、废化学品包装材料</w:t>
                  </w:r>
                </w:p>
              </w:tc>
            </w:tr>
            <w:tr w14:paraId="699BB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1C492F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5E1892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12F6D6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废活性炭</w:t>
                  </w:r>
                </w:p>
              </w:tc>
              <w:tc>
                <w:tcPr>
                  <w:tcW w:w="1686" w:type="pct"/>
                  <w:vMerge w:val="continue"/>
                  <w:tcBorders>
                    <w:tl2br w:val="nil"/>
                    <w:tr2bl w:val="nil"/>
                  </w:tcBorders>
                  <w:vAlign w:val="center"/>
                </w:tcPr>
                <w:p w14:paraId="059835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p>
              </w:tc>
              <w:tc>
                <w:tcPr>
                  <w:tcW w:w="1143" w:type="pct"/>
                  <w:tcBorders>
                    <w:tl2br w:val="nil"/>
                    <w:tr2bl w:val="nil"/>
                  </w:tcBorders>
                  <w:vAlign w:val="center"/>
                </w:tcPr>
                <w:p w14:paraId="16CFB8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实验过程有机废气处理产生</w:t>
                  </w:r>
                </w:p>
              </w:tc>
            </w:tr>
            <w:tr w14:paraId="66AB4E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318396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4EBFC5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77981C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污水处理</w:t>
                  </w:r>
                  <w:r>
                    <w:rPr>
                      <w:rFonts w:hint="eastAsia" w:cs="Times New Roman"/>
                      <w:bCs/>
                      <w:color w:val="auto"/>
                      <w:sz w:val="18"/>
                      <w:szCs w:val="18"/>
                      <w:highlight w:val="none"/>
                      <w:lang w:val="en-US" w:eastAsia="zh-CN"/>
                    </w:rPr>
                    <w:t>站</w:t>
                  </w:r>
                  <w:r>
                    <w:rPr>
                      <w:rFonts w:hint="default" w:ascii="Times New Roman" w:hAnsi="Times New Roman" w:eastAsia="宋体" w:cs="Times New Roman"/>
                      <w:bCs/>
                      <w:color w:val="auto"/>
                      <w:sz w:val="18"/>
                      <w:szCs w:val="18"/>
                      <w:highlight w:val="none"/>
                      <w:lang w:val="en-US" w:eastAsia="zh-CN"/>
                    </w:rPr>
                    <w:t>污泥</w:t>
                  </w:r>
                </w:p>
              </w:tc>
              <w:tc>
                <w:tcPr>
                  <w:tcW w:w="1686" w:type="pct"/>
                  <w:vMerge w:val="continue"/>
                  <w:tcBorders>
                    <w:tl2br w:val="nil"/>
                    <w:tr2bl w:val="nil"/>
                  </w:tcBorders>
                  <w:vAlign w:val="center"/>
                </w:tcPr>
                <w:p w14:paraId="5D24A2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p>
              </w:tc>
              <w:tc>
                <w:tcPr>
                  <w:tcW w:w="1143" w:type="pct"/>
                  <w:tcBorders>
                    <w:tl2br w:val="nil"/>
                    <w:tr2bl w:val="nil"/>
                  </w:tcBorders>
                  <w:vAlign w:val="center"/>
                </w:tcPr>
                <w:p w14:paraId="2B43C5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污水处理产生</w:t>
                  </w:r>
                </w:p>
              </w:tc>
            </w:tr>
            <w:tr w14:paraId="78CE9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39AB3E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44665C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3461D0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纯水制备废RO膜</w:t>
                  </w:r>
                </w:p>
              </w:tc>
              <w:tc>
                <w:tcPr>
                  <w:tcW w:w="1686" w:type="pct"/>
                  <w:tcBorders>
                    <w:tl2br w:val="nil"/>
                    <w:tr2bl w:val="nil"/>
                  </w:tcBorders>
                  <w:vAlign w:val="center"/>
                </w:tcPr>
                <w:p w14:paraId="5DA10E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一般工业固废暂存</w:t>
                  </w:r>
                  <w:r>
                    <w:rPr>
                      <w:rFonts w:hint="eastAsia" w:cs="Times New Roman"/>
                      <w:color w:val="auto"/>
                      <w:sz w:val="18"/>
                      <w:szCs w:val="18"/>
                      <w:lang w:eastAsia="zh-CN"/>
                    </w:rPr>
                    <w:t>区</w:t>
                  </w:r>
                  <w:r>
                    <w:rPr>
                      <w:rFonts w:hint="default" w:ascii="Times New Roman" w:hAnsi="Times New Roman" w:eastAsia="宋体" w:cs="Times New Roman"/>
                      <w:color w:val="auto"/>
                      <w:sz w:val="18"/>
                      <w:szCs w:val="18"/>
                      <w:lang w:eastAsia="zh-CN"/>
                    </w:rPr>
                    <w:t>贮存</w:t>
                  </w:r>
                </w:p>
              </w:tc>
              <w:tc>
                <w:tcPr>
                  <w:tcW w:w="1143" w:type="pct"/>
                  <w:tcBorders>
                    <w:tl2br w:val="nil"/>
                    <w:tr2bl w:val="nil"/>
                  </w:tcBorders>
                  <w:vAlign w:val="center"/>
                </w:tcPr>
                <w:p w14:paraId="4D5B3F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新建</w:t>
                  </w:r>
                </w:p>
              </w:tc>
            </w:tr>
            <w:tr w14:paraId="6FAD2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24C517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4F7F3D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0C9E80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化粪池污泥</w:t>
                  </w:r>
                </w:p>
              </w:tc>
              <w:tc>
                <w:tcPr>
                  <w:tcW w:w="1686" w:type="pct"/>
                  <w:tcBorders>
                    <w:tl2br w:val="nil"/>
                    <w:tr2bl w:val="nil"/>
                  </w:tcBorders>
                  <w:vAlign w:val="center"/>
                </w:tcPr>
                <w:p w14:paraId="4D3937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eastAsia="zh-CN"/>
                    </w:rPr>
                    <w:t>消毒后环卫部门清运</w:t>
                  </w:r>
                </w:p>
              </w:tc>
              <w:tc>
                <w:tcPr>
                  <w:tcW w:w="1143" w:type="pct"/>
                  <w:tcBorders>
                    <w:tl2br w:val="nil"/>
                    <w:tr2bl w:val="nil"/>
                  </w:tcBorders>
                  <w:vAlign w:val="center"/>
                </w:tcPr>
                <w:p w14:paraId="1BE005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新建</w:t>
                  </w:r>
                </w:p>
              </w:tc>
            </w:tr>
            <w:tr w14:paraId="78954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23727B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598" w:type="pct"/>
                  <w:vMerge w:val="continue"/>
                  <w:tcBorders>
                    <w:tl2br w:val="nil"/>
                    <w:tr2bl w:val="nil"/>
                  </w:tcBorders>
                  <w:vAlign w:val="center"/>
                </w:tcPr>
                <w:p w14:paraId="026B39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c>
                <w:tcPr>
                  <w:tcW w:w="852" w:type="pct"/>
                  <w:gridSpan w:val="2"/>
                  <w:tcBorders>
                    <w:tl2br w:val="nil"/>
                    <w:tr2bl w:val="nil"/>
                  </w:tcBorders>
                  <w:vAlign w:val="center"/>
                </w:tcPr>
                <w:p w14:paraId="256DAC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生活垃圾</w:t>
                  </w:r>
                </w:p>
              </w:tc>
              <w:tc>
                <w:tcPr>
                  <w:tcW w:w="1686" w:type="pct"/>
                  <w:tcBorders>
                    <w:tl2br w:val="nil"/>
                    <w:tr2bl w:val="nil"/>
                  </w:tcBorders>
                  <w:vAlign w:val="center"/>
                </w:tcPr>
                <w:p w14:paraId="3E2831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环卫部门清运</w:t>
                  </w:r>
                </w:p>
              </w:tc>
              <w:tc>
                <w:tcPr>
                  <w:tcW w:w="1143" w:type="pct"/>
                  <w:tcBorders>
                    <w:tl2br w:val="nil"/>
                    <w:tr2bl w:val="nil"/>
                  </w:tcBorders>
                  <w:vAlign w:val="center"/>
                </w:tcPr>
                <w:p w14:paraId="4A6443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新建</w:t>
                  </w:r>
                </w:p>
              </w:tc>
            </w:tr>
            <w:tr w14:paraId="78E38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718" w:type="pct"/>
                  <w:vMerge w:val="continue"/>
                  <w:tcBorders>
                    <w:tl2br w:val="nil"/>
                    <w:tr2bl w:val="nil"/>
                  </w:tcBorders>
                  <w:vAlign w:val="center"/>
                </w:tcPr>
                <w:p w14:paraId="46B956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1451" w:type="pct"/>
                  <w:gridSpan w:val="3"/>
                  <w:tcBorders>
                    <w:tl2br w:val="nil"/>
                    <w:tr2bl w:val="nil"/>
                  </w:tcBorders>
                  <w:vAlign w:val="center"/>
                </w:tcPr>
                <w:p w14:paraId="57AC4C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噪声治理</w:t>
                  </w:r>
                </w:p>
              </w:tc>
              <w:tc>
                <w:tcPr>
                  <w:tcW w:w="1686" w:type="pct"/>
                  <w:tcBorders>
                    <w:tl2br w:val="nil"/>
                    <w:tr2bl w:val="nil"/>
                  </w:tcBorders>
                  <w:vAlign w:val="center"/>
                </w:tcPr>
                <w:p w14:paraId="71E357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kern w:val="0"/>
                      <w:sz w:val="18"/>
                      <w:szCs w:val="18"/>
                      <w:highlight w:val="none"/>
                      <w:lang w:bidi="ar"/>
                    </w:rPr>
                    <w:t>选用低噪声设备，采取减振、密闭、隔声等处理措施</w:t>
                  </w:r>
                </w:p>
              </w:tc>
              <w:tc>
                <w:tcPr>
                  <w:tcW w:w="1143" w:type="pct"/>
                  <w:tcBorders>
                    <w:tl2br w:val="nil"/>
                    <w:tr2bl w:val="nil"/>
                  </w:tcBorders>
                  <w:vAlign w:val="center"/>
                </w:tcPr>
                <w:p w14:paraId="590382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新建</w:t>
                  </w:r>
                </w:p>
              </w:tc>
            </w:tr>
          </w:tbl>
          <w:p w14:paraId="335250E7">
            <w:pPr>
              <w:keepNext w:val="0"/>
              <w:keepLines w:val="0"/>
              <w:numPr>
                <w:ilvl w:val="0"/>
                <w:numId w:val="0"/>
              </w:numPr>
              <w:suppressLineNumbers w:val="0"/>
              <w:spacing w:before="156" w:beforeLines="50" w:beforeAutospacing="0" w:after="0" w:afterAutospacing="0"/>
              <w:ind w:left="480" w:leftChars="200" w:right="0" w:rightChars="0"/>
              <w:rPr>
                <w:rFonts w:hint="default" w:ascii="Times New Roman" w:hAnsi="Times New Roman" w:eastAsia="宋体" w:cs="Times New Roman"/>
                <w:b/>
                <w:bCs/>
                <w:color w:val="auto"/>
                <w:lang w:val="en-US" w:eastAsia="zh-CN"/>
              </w:rPr>
            </w:pPr>
            <w:r>
              <w:rPr>
                <w:rFonts w:hint="eastAsia" w:cs="Times New Roman"/>
                <w:b/>
                <w:bCs/>
                <w:color w:val="auto"/>
                <w:lang w:val="en-US" w:eastAsia="zh-CN"/>
              </w:rPr>
              <w:t>6.</w:t>
            </w:r>
            <w:r>
              <w:rPr>
                <w:rFonts w:hint="default" w:ascii="Times New Roman" w:hAnsi="Times New Roman" w:cs="Times New Roman"/>
                <w:b/>
                <w:bCs/>
                <w:color w:val="auto"/>
                <w:lang w:val="en-US" w:eastAsia="zh-CN"/>
              </w:rPr>
              <w:t>平面布置</w:t>
            </w:r>
            <w:r>
              <w:rPr>
                <w:rFonts w:hint="eastAsia" w:cs="Times New Roman"/>
                <w:b/>
                <w:bCs/>
                <w:color w:val="auto"/>
                <w:lang w:val="en-US" w:eastAsia="zh-CN"/>
              </w:rPr>
              <w:t>情况</w:t>
            </w:r>
          </w:p>
          <w:p w14:paraId="0E3C497C">
            <w:pPr>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cs="Times New Roman"/>
                <w:color w:val="auto"/>
                <w:lang w:val="en-US" w:eastAsia="zh-CN"/>
              </w:rPr>
              <w:t>本次教学科研楼项目位于涟水县人民医院院内东北角地块，项目地上拟建8层，地下拟建1层，其中地上1F主要建设图书馆、阅览室、多功能厅、配电间；2F主要建设办公室、会议室、电教室、学术报告厅；3F主要建设操作技能培训中心、教学基地；4F主要建设训练室；5F由科研实验室组成，布设PCR室、灭菌消毒室、分子操作间、细胞储藏及培养室、荧光成像室、动物房等；地下一层为设备用房，布设消防水池及泵房</w:t>
            </w:r>
            <w:r>
              <w:rPr>
                <w:rFonts w:hint="default" w:ascii="Times New Roman" w:hAnsi="Times New Roman" w:cs="Times New Roman"/>
                <w:color w:val="auto"/>
                <w:lang w:val="en-US" w:eastAsia="zh-CN"/>
              </w:rPr>
              <w:t>。</w:t>
            </w:r>
            <w:r>
              <w:rPr>
                <w:rFonts w:hint="eastAsia" w:cs="Times New Roman"/>
                <w:b/>
                <w:bCs/>
                <w:color w:val="auto"/>
                <w:lang w:val="en-US" w:eastAsia="zh-CN"/>
              </w:rPr>
              <w:t>项目实验室总平面布置见附图4</w:t>
            </w:r>
            <w:r>
              <w:rPr>
                <w:rFonts w:hint="eastAsia" w:cs="Times New Roman"/>
                <w:color w:val="auto"/>
                <w:lang w:val="en-US" w:eastAsia="zh-CN"/>
              </w:rPr>
              <w:t>。</w:t>
            </w:r>
          </w:p>
          <w:p w14:paraId="60AA7479">
            <w:pPr>
              <w:keepNext w:val="0"/>
              <w:keepLines w:val="0"/>
              <w:numPr>
                <w:ilvl w:val="0"/>
                <w:numId w:val="0"/>
              </w:numPr>
              <w:suppressLineNumbers w:val="0"/>
              <w:bidi w:val="0"/>
              <w:spacing w:before="0" w:beforeAutospacing="0" w:after="0" w:afterAutospacing="0"/>
              <w:ind w:left="480" w:leftChars="200" w:right="0" w:rightChars="0"/>
              <w:rPr>
                <w:rFonts w:hint="default" w:ascii="Times New Roman" w:hAnsi="Times New Roman" w:cs="Times New Roman"/>
                <w:b/>
                <w:bCs/>
                <w:color w:val="auto"/>
                <w:lang w:val="en-US" w:eastAsia="zh-CN"/>
              </w:rPr>
            </w:pPr>
            <w:r>
              <w:rPr>
                <w:rFonts w:hint="eastAsia" w:cs="Times New Roman"/>
                <w:b/>
                <w:bCs/>
                <w:color w:val="auto"/>
                <w:lang w:val="en-US" w:eastAsia="zh-CN"/>
              </w:rPr>
              <w:t>7.</w:t>
            </w:r>
            <w:r>
              <w:rPr>
                <w:rFonts w:hint="default" w:ascii="Times New Roman" w:hAnsi="Times New Roman" w:cs="Times New Roman"/>
                <w:b/>
                <w:bCs/>
                <w:color w:val="auto"/>
                <w:lang w:val="en-US" w:eastAsia="zh-CN"/>
              </w:rPr>
              <w:t>水平衡分析</w:t>
            </w:r>
          </w:p>
          <w:p w14:paraId="517777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项目运营期用水主要为实验室用水（</w:t>
            </w:r>
            <w:r>
              <w:rPr>
                <w:rFonts w:hint="eastAsia" w:eastAsia="宋体" w:cs="Times New Roman"/>
                <w:color w:val="auto"/>
                <w:kern w:val="0"/>
                <w:sz w:val="24"/>
                <w:szCs w:val="24"/>
                <w:highlight w:val="none"/>
                <w:lang w:val="en-US" w:eastAsia="zh-CN" w:bidi="ar"/>
              </w:rPr>
              <w:t>蒸汽</w:t>
            </w:r>
            <w:r>
              <w:rPr>
                <w:rFonts w:hint="default" w:ascii="Times New Roman" w:hAnsi="Times New Roman" w:eastAsia="宋体" w:cs="Times New Roman"/>
                <w:color w:val="auto"/>
                <w:kern w:val="0"/>
                <w:sz w:val="24"/>
                <w:szCs w:val="24"/>
                <w:highlight w:val="none"/>
                <w:lang w:val="en-US" w:eastAsia="zh-CN" w:bidi="ar"/>
              </w:rPr>
              <w:t>灭菌器用水、实验室</w:t>
            </w:r>
            <w:r>
              <w:rPr>
                <w:rFonts w:hint="eastAsia" w:ascii="Times New Roman" w:hAnsi="Times New Roman" w:eastAsia="宋体" w:cs="Times New Roman"/>
                <w:color w:val="auto"/>
                <w:kern w:val="0"/>
                <w:sz w:val="24"/>
                <w:szCs w:val="24"/>
                <w:highlight w:val="none"/>
                <w:lang w:val="en-US" w:eastAsia="zh-CN" w:bidi="ar"/>
              </w:rPr>
              <w:t>仪器及器皿清洗用水</w:t>
            </w:r>
            <w:r>
              <w:rPr>
                <w:rFonts w:hint="default" w:ascii="Times New Roman" w:hAnsi="Times New Roman" w:eastAsia="宋体" w:cs="Times New Roman"/>
                <w:color w:val="auto"/>
                <w:kern w:val="0"/>
                <w:sz w:val="24"/>
                <w:szCs w:val="24"/>
                <w:highlight w:val="none"/>
                <w:lang w:val="en-US" w:eastAsia="zh-CN" w:bidi="ar"/>
              </w:rPr>
              <w:t>、实验室试剂配置用水、</w:t>
            </w:r>
            <w:r>
              <w:rPr>
                <w:rFonts w:hint="eastAsia" w:eastAsia="宋体" w:cs="Times New Roman"/>
                <w:color w:val="auto"/>
                <w:kern w:val="0"/>
                <w:sz w:val="24"/>
                <w:szCs w:val="24"/>
                <w:highlight w:val="none"/>
                <w:lang w:val="en-US" w:eastAsia="zh-CN" w:bidi="ar"/>
              </w:rPr>
              <w:t>水浴用水、</w:t>
            </w:r>
            <w:r>
              <w:rPr>
                <w:rFonts w:hint="default" w:ascii="Times New Roman" w:hAnsi="Times New Roman" w:eastAsia="宋体" w:cs="Times New Roman"/>
                <w:color w:val="auto"/>
                <w:kern w:val="0"/>
                <w:sz w:val="24"/>
                <w:szCs w:val="24"/>
                <w:highlight w:val="none"/>
                <w:lang w:val="en-US" w:eastAsia="zh-CN" w:bidi="ar"/>
              </w:rPr>
              <w:t>纯水制备用水）和生活用水。产生的废水主要为生活污水、实验室废水（实验室</w:t>
            </w:r>
            <w:r>
              <w:rPr>
                <w:rFonts w:hint="eastAsia" w:ascii="Times New Roman" w:hAnsi="Times New Roman" w:eastAsia="宋体" w:cs="Times New Roman"/>
                <w:color w:val="auto"/>
                <w:kern w:val="0"/>
                <w:sz w:val="24"/>
                <w:szCs w:val="24"/>
                <w:highlight w:val="none"/>
                <w:lang w:val="en-US" w:eastAsia="zh-CN" w:bidi="ar"/>
              </w:rPr>
              <w:t>仪器及器皿清洗用水</w:t>
            </w:r>
            <w:r>
              <w:rPr>
                <w:rFonts w:hint="default" w:ascii="Times New Roman" w:hAnsi="Times New Roman" w:eastAsia="宋体" w:cs="Times New Roman"/>
                <w:color w:val="auto"/>
                <w:kern w:val="0"/>
                <w:sz w:val="24"/>
                <w:szCs w:val="24"/>
                <w:highlight w:val="none"/>
                <w:lang w:val="en-US" w:eastAsia="zh-CN" w:bidi="ar"/>
              </w:rPr>
              <w:t>、纯水制备浓水）。</w:t>
            </w:r>
          </w:p>
          <w:p w14:paraId="2C102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1）实验室用</w:t>
            </w:r>
            <w:r>
              <w:rPr>
                <w:rFonts w:hint="eastAsia" w:cs="Times New Roman"/>
                <w:b/>
                <w:bCs/>
                <w:color w:val="auto"/>
                <w:kern w:val="0"/>
                <w:sz w:val="24"/>
                <w:szCs w:val="24"/>
                <w:highlight w:val="none"/>
                <w:lang w:val="en-US" w:eastAsia="zh-CN" w:bidi="ar"/>
              </w:rPr>
              <w:t>排</w:t>
            </w:r>
            <w:r>
              <w:rPr>
                <w:rFonts w:hint="default" w:ascii="Times New Roman" w:hAnsi="Times New Roman" w:eastAsia="宋体" w:cs="Times New Roman"/>
                <w:b/>
                <w:bCs/>
                <w:color w:val="auto"/>
                <w:kern w:val="0"/>
                <w:sz w:val="24"/>
                <w:szCs w:val="24"/>
                <w:highlight w:val="none"/>
                <w:lang w:val="en-US" w:eastAsia="zh-CN" w:bidi="ar"/>
              </w:rPr>
              <w:t>水</w:t>
            </w:r>
          </w:p>
          <w:p w14:paraId="7754E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w:t>
            </w:r>
            <w:r>
              <w:rPr>
                <w:rFonts w:hint="eastAsia" w:eastAsia="宋体" w:cs="Times New Roman"/>
                <w:color w:val="auto"/>
                <w:kern w:val="0"/>
                <w:sz w:val="24"/>
                <w:szCs w:val="24"/>
                <w:highlight w:val="none"/>
                <w:lang w:val="en-US" w:eastAsia="zh-CN" w:bidi="ar"/>
              </w:rPr>
              <w:t>蒸汽</w:t>
            </w:r>
            <w:r>
              <w:rPr>
                <w:rFonts w:hint="default" w:ascii="Times New Roman" w:hAnsi="Times New Roman" w:eastAsia="宋体" w:cs="Times New Roman"/>
                <w:color w:val="auto"/>
                <w:kern w:val="0"/>
                <w:sz w:val="24"/>
                <w:szCs w:val="24"/>
                <w:highlight w:val="none"/>
                <w:lang w:val="en-US" w:eastAsia="zh-CN" w:bidi="ar"/>
              </w:rPr>
              <w:t>灭菌器用水</w:t>
            </w:r>
          </w:p>
          <w:p w14:paraId="21979C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项目设高压</w:t>
            </w:r>
            <w:r>
              <w:rPr>
                <w:rFonts w:hint="eastAsia" w:eastAsia="宋体" w:cs="Times New Roman"/>
                <w:color w:val="auto"/>
                <w:kern w:val="0"/>
                <w:sz w:val="24"/>
                <w:szCs w:val="24"/>
                <w:highlight w:val="none"/>
                <w:lang w:val="en-US" w:eastAsia="zh-CN" w:bidi="ar"/>
              </w:rPr>
              <w:t>蒸汽</w:t>
            </w:r>
            <w:r>
              <w:rPr>
                <w:rFonts w:hint="default" w:ascii="Times New Roman" w:hAnsi="Times New Roman" w:eastAsia="宋体" w:cs="Times New Roman"/>
                <w:color w:val="auto"/>
                <w:kern w:val="0"/>
                <w:sz w:val="24"/>
                <w:szCs w:val="24"/>
                <w:highlight w:val="none"/>
                <w:lang w:val="en-US" w:eastAsia="zh-CN" w:bidi="ar"/>
              </w:rPr>
              <w:t>灭菌器对</w:t>
            </w:r>
            <w:r>
              <w:rPr>
                <w:rFonts w:hint="eastAsia" w:eastAsia="宋体" w:cs="Times New Roman"/>
                <w:color w:val="auto"/>
                <w:kern w:val="0"/>
                <w:sz w:val="24"/>
                <w:szCs w:val="24"/>
                <w:highlight w:val="none"/>
                <w:lang w:val="en-US" w:eastAsia="zh-CN" w:bidi="ar"/>
              </w:rPr>
              <w:t>细胞培养以及</w:t>
            </w:r>
            <w:r>
              <w:rPr>
                <w:rFonts w:hint="eastAsia" w:ascii="Times New Roman" w:hAnsi="Times New Roman" w:eastAsia="宋体" w:cs="Times New Roman"/>
                <w:color w:val="auto"/>
                <w:kern w:val="0"/>
                <w:sz w:val="24"/>
                <w:szCs w:val="24"/>
                <w:highlight w:val="none"/>
                <w:lang w:val="en-US" w:eastAsia="zh-CN" w:bidi="ar"/>
              </w:rPr>
              <w:t>实验</w:t>
            </w:r>
            <w:r>
              <w:rPr>
                <w:rFonts w:hint="default" w:ascii="Times New Roman" w:hAnsi="Times New Roman" w:eastAsia="宋体" w:cs="Times New Roman"/>
                <w:color w:val="auto"/>
                <w:kern w:val="0"/>
                <w:sz w:val="24"/>
                <w:szCs w:val="24"/>
                <w:highlight w:val="none"/>
                <w:lang w:val="en-US" w:eastAsia="zh-CN" w:bidi="ar"/>
              </w:rPr>
              <w:t>过程产生的</w:t>
            </w:r>
            <w:r>
              <w:rPr>
                <w:rFonts w:hint="eastAsia" w:ascii="Times New Roman" w:hAnsi="Times New Roman" w:eastAsia="宋体" w:cs="Times New Roman"/>
                <w:color w:val="auto"/>
                <w:kern w:val="0"/>
                <w:sz w:val="24"/>
                <w:szCs w:val="24"/>
                <w:highlight w:val="none"/>
                <w:lang w:val="en-US" w:eastAsia="zh-CN" w:bidi="ar"/>
              </w:rPr>
              <w:t>感染性废物（废弃医学样本、提取废液、废培养基、废消毒纱布）</w:t>
            </w:r>
            <w:r>
              <w:rPr>
                <w:rFonts w:hint="default" w:ascii="Times New Roman" w:hAnsi="Times New Roman" w:eastAsia="宋体" w:cs="Times New Roman"/>
                <w:color w:val="auto"/>
                <w:kern w:val="0"/>
                <w:sz w:val="24"/>
                <w:szCs w:val="24"/>
                <w:highlight w:val="none"/>
                <w:lang w:val="en-US" w:eastAsia="zh-CN" w:bidi="ar"/>
              </w:rPr>
              <w:t>等医疗废物进行高压蒸汽灭菌。高压蒸汽灭菌</w:t>
            </w:r>
            <w:r>
              <w:rPr>
                <w:rFonts w:hint="eastAsia" w:eastAsia="宋体" w:cs="Times New Roman"/>
                <w:color w:val="auto"/>
                <w:kern w:val="0"/>
                <w:sz w:val="24"/>
                <w:szCs w:val="24"/>
                <w:highlight w:val="none"/>
                <w:lang w:val="en-US" w:eastAsia="zh-CN" w:bidi="ar"/>
              </w:rPr>
              <w:t>器</w:t>
            </w:r>
            <w:r>
              <w:rPr>
                <w:rFonts w:hint="default" w:ascii="Times New Roman" w:hAnsi="Times New Roman" w:eastAsia="宋体" w:cs="Times New Roman"/>
                <w:color w:val="auto"/>
                <w:kern w:val="0"/>
                <w:sz w:val="24"/>
                <w:szCs w:val="24"/>
                <w:highlight w:val="none"/>
                <w:lang w:val="en-US" w:eastAsia="zh-CN" w:bidi="ar"/>
              </w:rPr>
              <w:t>采用纯水</w:t>
            </w:r>
            <w:r>
              <w:rPr>
                <w:rFonts w:hint="eastAsia" w:eastAsia="宋体" w:cs="Times New Roman"/>
                <w:color w:val="auto"/>
                <w:kern w:val="0"/>
                <w:sz w:val="24"/>
                <w:szCs w:val="24"/>
                <w:highlight w:val="none"/>
                <w:lang w:val="en-US" w:eastAsia="zh-CN" w:bidi="ar"/>
              </w:rPr>
              <w:t>加热后气化形成蒸汽</w:t>
            </w:r>
            <w:r>
              <w:rPr>
                <w:rFonts w:hint="default" w:ascii="Times New Roman" w:hAnsi="Times New Roman" w:eastAsia="宋体" w:cs="Times New Roman"/>
                <w:color w:val="auto"/>
                <w:kern w:val="0"/>
                <w:sz w:val="24"/>
                <w:szCs w:val="24"/>
                <w:highlight w:val="none"/>
                <w:lang w:val="en-US" w:eastAsia="zh-CN" w:bidi="ar"/>
              </w:rPr>
              <w:t>，在灭菌过程中会有部分以蒸汽的形式损耗，水量不足时添加，无废水外排。根据建设单位提供的数据可知，本项目设有</w:t>
            </w:r>
            <w:r>
              <w:rPr>
                <w:rFonts w:hint="eastAsia"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台高压</w:t>
            </w:r>
            <w:r>
              <w:rPr>
                <w:rFonts w:hint="eastAsia" w:eastAsia="宋体" w:cs="Times New Roman"/>
                <w:color w:val="auto"/>
                <w:kern w:val="0"/>
                <w:sz w:val="24"/>
                <w:szCs w:val="24"/>
                <w:highlight w:val="none"/>
                <w:lang w:val="en-US" w:eastAsia="zh-CN" w:bidi="ar"/>
              </w:rPr>
              <w:t>蒸汽</w:t>
            </w:r>
            <w:r>
              <w:rPr>
                <w:rFonts w:hint="default" w:ascii="Times New Roman" w:hAnsi="Times New Roman" w:eastAsia="宋体" w:cs="Times New Roman"/>
                <w:color w:val="auto"/>
                <w:kern w:val="0"/>
                <w:sz w:val="24"/>
                <w:szCs w:val="24"/>
                <w:highlight w:val="none"/>
                <w:lang w:val="en-US" w:eastAsia="zh-CN" w:bidi="ar"/>
              </w:rPr>
              <w:t>灭菌器，</w:t>
            </w:r>
            <w:r>
              <w:rPr>
                <w:rFonts w:hint="eastAsia" w:eastAsia="宋体" w:cs="Times New Roman"/>
                <w:color w:val="auto"/>
                <w:kern w:val="0"/>
                <w:sz w:val="24"/>
                <w:szCs w:val="24"/>
                <w:highlight w:val="none"/>
                <w:lang w:val="en-US" w:eastAsia="zh-CN" w:bidi="ar"/>
              </w:rPr>
              <w:t>单台</w:t>
            </w:r>
            <w:r>
              <w:rPr>
                <w:rFonts w:hint="default" w:ascii="Times New Roman" w:hAnsi="Times New Roman" w:eastAsia="宋体" w:cs="Times New Roman"/>
                <w:color w:val="auto"/>
                <w:kern w:val="0"/>
                <w:sz w:val="24"/>
                <w:szCs w:val="24"/>
                <w:highlight w:val="none"/>
                <w:lang w:val="en-US" w:eastAsia="zh-CN" w:bidi="ar"/>
              </w:rPr>
              <w:t>高压灭菌器内循环水量为</w:t>
            </w:r>
            <w:r>
              <w:rPr>
                <w:rFonts w:hint="eastAsia" w:ascii="Times New Roman" w:hAnsi="Times New Roman" w:eastAsia="宋体" w:cs="Times New Roman"/>
                <w:color w:val="auto"/>
                <w:kern w:val="0"/>
                <w:sz w:val="24"/>
                <w:szCs w:val="24"/>
                <w:highlight w:val="none"/>
                <w:lang w:val="en-US" w:eastAsia="zh-CN" w:bidi="ar"/>
              </w:rPr>
              <w:t>50L</w:t>
            </w:r>
            <w:r>
              <w:rPr>
                <w:rFonts w:hint="default" w:ascii="Times New Roman" w:hAnsi="Times New Roman" w:eastAsia="宋体" w:cs="Times New Roman"/>
                <w:color w:val="auto"/>
                <w:kern w:val="0"/>
                <w:sz w:val="24"/>
                <w:szCs w:val="24"/>
                <w:highlight w:val="none"/>
                <w:lang w:val="en-US" w:eastAsia="zh-CN" w:bidi="ar"/>
              </w:rPr>
              <w:t>，每天损耗约40%，日均补充水量为0.0</w:t>
            </w:r>
            <w:r>
              <w:rPr>
                <w:rFonts w:hint="eastAsia" w:eastAsia="宋体"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t</w:t>
            </w:r>
            <w:r>
              <w:rPr>
                <w:rFonts w:hint="eastAsia" w:eastAsia="宋体" w:cs="Times New Roman"/>
                <w:color w:val="auto"/>
                <w:kern w:val="0"/>
                <w:sz w:val="24"/>
                <w:szCs w:val="24"/>
                <w:highlight w:val="none"/>
                <w:lang w:val="en-US" w:eastAsia="zh-CN" w:bidi="ar"/>
              </w:rPr>
              <w:t>，年补充</w:t>
            </w:r>
            <w:r>
              <w:rPr>
                <w:rFonts w:hint="eastAsia" w:cs="Times New Roman"/>
                <w:color w:val="auto"/>
                <w:kern w:val="0"/>
                <w:sz w:val="24"/>
                <w:szCs w:val="24"/>
                <w:highlight w:val="none"/>
                <w:lang w:val="en-US" w:eastAsia="zh-CN" w:bidi="ar"/>
              </w:rPr>
              <w:t>纯</w:t>
            </w:r>
            <w:r>
              <w:rPr>
                <w:rFonts w:hint="eastAsia" w:eastAsia="宋体" w:cs="Times New Roman"/>
                <w:color w:val="auto"/>
                <w:kern w:val="0"/>
                <w:sz w:val="24"/>
                <w:szCs w:val="24"/>
                <w:highlight w:val="none"/>
                <w:lang w:val="en-US" w:eastAsia="zh-CN" w:bidi="ar"/>
              </w:rPr>
              <w:t>水量</w:t>
            </w:r>
            <w:r>
              <w:rPr>
                <w:rFonts w:hint="eastAsia" w:ascii="Times New Roman" w:hAnsi="Times New Roman" w:eastAsia="宋体"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t/a</w:t>
            </w:r>
            <w:r>
              <w:rPr>
                <w:rFonts w:hint="eastAsia" w:cs="Times New Roman"/>
                <w:color w:val="auto"/>
                <w:kern w:val="0"/>
                <w:sz w:val="24"/>
                <w:szCs w:val="24"/>
                <w:highlight w:val="none"/>
                <w:lang w:val="en-US" w:eastAsia="zh-CN" w:bidi="ar"/>
              </w:rPr>
              <w:t>，不排放</w:t>
            </w:r>
            <w:r>
              <w:rPr>
                <w:rFonts w:hint="default" w:ascii="Times New Roman" w:hAnsi="Times New Roman" w:eastAsia="宋体" w:cs="Times New Roman"/>
                <w:color w:val="auto"/>
                <w:kern w:val="0"/>
                <w:sz w:val="24"/>
                <w:szCs w:val="24"/>
                <w:highlight w:val="none"/>
                <w:lang w:val="en-US" w:eastAsia="zh-CN" w:bidi="ar"/>
              </w:rPr>
              <w:t>。</w:t>
            </w:r>
          </w:p>
          <w:p w14:paraId="261695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实验室</w:t>
            </w:r>
            <w:r>
              <w:rPr>
                <w:rFonts w:hint="eastAsia" w:eastAsia="宋体" w:cs="Times New Roman"/>
                <w:color w:val="auto"/>
                <w:kern w:val="0"/>
                <w:sz w:val="24"/>
                <w:szCs w:val="24"/>
                <w:highlight w:val="none"/>
                <w:lang w:val="en-US" w:eastAsia="zh-CN" w:bidi="ar"/>
              </w:rPr>
              <w:t>检测仪器设备</w:t>
            </w:r>
            <w:r>
              <w:rPr>
                <w:rFonts w:hint="eastAsia" w:ascii="Times New Roman" w:hAnsi="Times New Roman" w:eastAsia="宋体" w:cs="Times New Roman"/>
                <w:color w:val="auto"/>
                <w:kern w:val="0"/>
                <w:sz w:val="24"/>
                <w:szCs w:val="24"/>
                <w:highlight w:val="none"/>
                <w:lang w:val="en-US" w:eastAsia="zh-CN" w:bidi="ar"/>
              </w:rPr>
              <w:t>及器皿清洗用排水</w:t>
            </w:r>
            <w:r>
              <w:rPr>
                <w:rFonts w:hint="eastAsia" w:cs="Times New Roman"/>
                <w:color w:val="auto"/>
                <w:kern w:val="0"/>
                <w:sz w:val="24"/>
                <w:szCs w:val="24"/>
                <w:highlight w:val="none"/>
                <w:lang w:val="en-US" w:eastAsia="zh-CN" w:bidi="ar"/>
              </w:rPr>
              <w:t>、笼具清洗用排水</w:t>
            </w:r>
          </w:p>
          <w:p w14:paraId="23F4D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w:t>
            </w:r>
            <w:r>
              <w:rPr>
                <w:rFonts w:hint="eastAsia" w:eastAsia="宋体" w:cs="Times New Roman"/>
                <w:color w:val="auto"/>
                <w:kern w:val="0"/>
                <w:sz w:val="24"/>
                <w:szCs w:val="24"/>
                <w:highlight w:val="none"/>
                <w:lang w:val="en-US" w:eastAsia="zh-CN" w:bidi="ar"/>
              </w:rPr>
              <w:t>实验仪器设备及</w:t>
            </w:r>
            <w:r>
              <w:rPr>
                <w:rFonts w:hint="default" w:ascii="Times New Roman" w:hAnsi="Times New Roman" w:eastAsia="宋体" w:cs="Times New Roman"/>
                <w:color w:val="auto"/>
                <w:kern w:val="0"/>
                <w:sz w:val="24"/>
                <w:szCs w:val="24"/>
                <w:highlight w:val="none"/>
                <w:lang w:val="en-US" w:eastAsia="zh-CN" w:bidi="ar"/>
              </w:rPr>
              <w:t>实验器皿倒完溶液后</w:t>
            </w:r>
            <w:r>
              <w:rPr>
                <w:rFonts w:hint="eastAsia" w:cs="Times New Roman"/>
                <w:color w:val="auto"/>
                <w:kern w:val="0"/>
                <w:sz w:val="24"/>
                <w:szCs w:val="24"/>
                <w:highlight w:val="none"/>
                <w:lang w:val="en-US" w:eastAsia="zh-CN" w:bidi="ar"/>
              </w:rPr>
              <w:t>及动物房笼具</w:t>
            </w:r>
            <w:r>
              <w:rPr>
                <w:rFonts w:hint="default" w:ascii="Times New Roman" w:hAnsi="Times New Roman" w:eastAsia="宋体" w:cs="Times New Roman"/>
                <w:color w:val="auto"/>
                <w:kern w:val="0"/>
                <w:sz w:val="24"/>
                <w:szCs w:val="24"/>
                <w:highlight w:val="none"/>
                <w:lang w:val="en-US" w:eastAsia="zh-CN" w:bidi="ar"/>
              </w:rPr>
              <w:t>需要</w:t>
            </w:r>
            <w:r>
              <w:rPr>
                <w:rFonts w:hint="eastAsia" w:eastAsia="宋体" w:cs="Times New Roman"/>
                <w:color w:val="auto"/>
                <w:kern w:val="0"/>
                <w:sz w:val="24"/>
                <w:szCs w:val="24"/>
                <w:highlight w:val="none"/>
                <w:lang w:val="en-US" w:eastAsia="zh-CN" w:bidi="ar"/>
              </w:rPr>
              <w:t>使用纯水进行</w:t>
            </w:r>
            <w:r>
              <w:rPr>
                <w:rFonts w:hint="default" w:ascii="Times New Roman" w:hAnsi="Times New Roman" w:eastAsia="宋体" w:cs="Times New Roman"/>
                <w:color w:val="auto"/>
                <w:kern w:val="0"/>
                <w:sz w:val="24"/>
                <w:szCs w:val="24"/>
                <w:highlight w:val="none"/>
                <w:lang w:val="en-US" w:eastAsia="zh-CN" w:bidi="ar"/>
              </w:rPr>
              <w:t>清洗</w:t>
            </w:r>
            <w:r>
              <w:rPr>
                <w:rFonts w:hint="eastAsia"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lang w:val="en-US" w:eastAsia="zh-CN" w:bidi="ar"/>
              </w:rPr>
              <w:t>根据建设</w:t>
            </w:r>
            <w:r>
              <w:rPr>
                <w:rFonts w:hint="eastAsia" w:ascii="Times New Roman" w:hAnsi="Times New Roman" w:eastAsia="宋体" w:cs="Times New Roman"/>
                <w:color w:val="auto"/>
                <w:kern w:val="0"/>
                <w:sz w:val="24"/>
                <w:szCs w:val="24"/>
                <w:lang w:val="en-US" w:eastAsia="zh-CN" w:bidi="ar"/>
              </w:rPr>
              <w:t>单位</w:t>
            </w:r>
            <w:r>
              <w:rPr>
                <w:rFonts w:hint="default" w:ascii="Times New Roman" w:hAnsi="Times New Roman" w:eastAsia="宋体" w:cs="Times New Roman"/>
                <w:color w:val="auto"/>
                <w:kern w:val="0"/>
                <w:sz w:val="24"/>
                <w:szCs w:val="24"/>
                <w:lang w:val="en-US" w:eastAsia="zh-CN" w:bidi="ar"/>
              </w:rPr>
              <w:t>提供</w:t>
            </w:r>
            <w:r>
              <w:rPr>
                <w:rFonts w:hint="eastAsia" w:ascii="Times New Roman" w:hAnsi="Times New Roman" w:eastAsia="宋体" w:cs="Times New Roman"/>
                <w:color w:val="auto"/>
                <w:kern w:val="0"/>
                <w:sz w:val="24"/>
                <w:szCs w:val="24"/>
                <w:lang w:val="en-US" w:eastAsia="zh-CN" w:bidi="ar"/>
              </w:rPr>
              <w:t>资料</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清洗</w:t>
            </w:r>
            <w:r>
              <w:rPr>
                <w:rFonts w:hint="default" w:ascii="Times New Roman" w:hAnsi="Times New Roman" w:eastAsia="宋体" w:cs="Times New Roman"/>
                <w:color w:val="auto"/>
                <w:kern w:val="0"/>
                <w:sz w:val="24"/>
                <w:szCs w:val="24"/>
                <w:lang w:val="en-US" w:eastAsia="zh-CN" w:bidi="ar"/>
              </w:rPr>
              <w:t>用</w:t>
            </w:r>
            <w:r>
              <w:rPr>
                <w:rFonts w:hint="eastAsia" w:cs="Times New Roman"/>
                <w:color w:val="auto"/>
                <w:kern w:val="0"/>
                <w:sz w:val="24"/>
                <w:szCs w:val="24"/>
                <w:lang w:val="en-US" w:eastAsia="zh-CN" w:bidi="ar"/>
              </w:rPr>
              <w:t>纯</w:t>
            </w:r>
            <w:r>
              <w:rPr>
                <w:rFonts w:hint="default" w:ascii="Times New Roman" w:hAnsi="Times New Roman" w:eastAsia="宋体" w:cs="Times New Roman"/>
                <w:color w:val="auto"/>
                <w:kern w:val="0"/>
                <w:sz w:val="24"/>
                <w:szCs w:val="24"/>
                <w:lang w:val="en-US" w:eastAsia="zh-CN" w:bidi="ar"/>
              </w:rPr>
              <w:t>水量约</w:t>
            </w:r>
            <w:r>
              <w:rPr>
                <w:rFonts w:hint="eastAsia" w:ascii="Times New Roman" w:hAnsi="Times New Roman" w:eastAsia="宋体" w:cs="Times New Roman"/>
                <w:color w:val="auto"/>
                <w:kern w:val="0"/>
                <w:sz w:val="24"/>
                <w:szCs w:val="24"/>
                <w:lang w:val="en-US" w:eastAsia="zh-CN" w:bidi="ar"/>
              </w:rPr>
              <w:t>1.3t</w:t>
            </w:r>
            <w:r>
              <w:rPr>
                <w:rFonts w:hint="default" w:ascii="Times New Roman" w:hAnsi="Times New Roman" w:eastAsia="宋体" w:cs="Times New Roman"/>
                <w:color w:val="auto"/>
                <w:kern w:val="0"/>
                <w:sz w:val="24"/>
                <w:szCs w:val="24"/>
                <w:lang w:val="en-US" w:eastAsia="zh-CN" w:bidi="ar"/>
              </w:rPr>
              <w:t>/d（</w:t>
            </w:r>
            <w:r>
              <w:rPr>
                <w:rFonts w:hint="eastAsia" w:ascii="Times New Roman" w:hAnsi="Times New Roman" w:eastAsia="宋体" w:cs="Times New Roman"/>
                <w:color w:val="auto"/>
                <w:kern w:val="0"/>
                <w:sz w:val="24"/>
                <w:szCs w:val="24"/>
                <w:lang w:val="en-US" w:eastAsia="zh-CN" w:bidi="ar"/>
              </w:rPr>
              <w:t>390t</w:t>
            </w:r>
            <w:r>
              <w:rPr>
                <w:rFonts w:hint="default" w:ascii="Times New Roman" w:hAnsi="Times New Roman" w:eastAsia="宋体" w:cs="Times New Roman"/>
                <w:color w:val="auto"/>
                <w:kern w:val="0"/>
                <w:sz w:val="24"/>
                <w:szCs w:val="24"/>
                <w:lang w:val="en-US" w:eastAsia="zh-CN" w:bidi="ar"/>
              </w:rPr>
              <w:t>/a）</w:t>
            </w:r>
            <w:r>
              <w:rPr>
                <w:rFonts w:hint="default" w:ascii="Times New Roman" w:hAnsi="Times New Roman" w:eastAsia="宋体" w:cs="Times New Roman"/>
                <w:color w:val="auto"/>
                <w:kern w:val="0"/>
                <w:sz w:val="24"/>
                <w:szCs w:val="24"/>
                <w:highlight w:val="none"/>
                <w:lang w:val="en-US" w:eastAsia="zh-CN" w:bidi="ar"/>
              </w:rPr>
              <w:t>，按用水量的</w:t>
            </w:r>
            <w:r>
              <w:rPr>
                <w:rFonts w:hint="eastAsia" w:eastAsia="宋体"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0%计算废水量，则</w:t>
            </w:r>
            <w:r>
              <w:rPr>
                <w:rFonts w:hint="eastAsia" w:ascii="Times New Roman" w:hAnsi="Times New Roman" w:eastAsia="宋体" w:cs="Times New Roman"/>
                <w:color w:val="auto"/>
                <w:kern w:val="0"/>
                <w:sz w:val="24"/>
                <w:szCs w:val="24"/>
                <w:highlight w:val="none"/>
                <w:lang w:val="en-US" w:eastAsia="zh-CN" w:bidi="ar"/>
              </w:rPr>
              <w:t>清洗废水</w:t>
            </w:r>
            <w:r>
              <w:rPr>
                <w:rFonts w:hint="default" w:ascii="Times New Roman" w:hAnsi="Times New Roman" w:eastAsia="宋体" w:cs="Times New Roman"/>
                <w:color w:val="auto"/>
                <w:kern w:val="0"/>
                <w:sz w:val="24"/>
                <w:szCs w:val="24"/>
                <w:highlight w:val="none"/>
                <w:lang w:val="en-US" w:eastAsia="zh-CN" w:bidi="ar"/>
              </w:rPr>
              <w:t>产生量为</w:t>
            </w:r>
            <w:r>
              <w:rPr>
                <w:rFonts w:hint="eastAsia" w:eastAsia="宋体" w:cs="Times New Roman"/>
                <w:color w:val="auto"/>
                <w:kern w:val="0"/>
                <w:sz w:val="24"/>
                <w:szCs w:val="24"/>
                <w:highlight w:val="none"/>
                <w:lang w:val="en-US" w:eastAsia="zh-CN" w:bidi="ar"/>
              </w:rPr>
              <w:t>351t</w:t>
            </w:r>
            <w:r>
              <w:rPr>
                <w:rFonts w:hint="default" w:ascii="Times New Roman" w:hAnsi="Times New Roman" w:eastAsia="宋体" w:cs="Times New Roman"/>
                <w:color w:val="auto"/>
                <w:kern w:val="0"/>
                <w:sz w:val="24"/>
                <w:szCs w:val="24"/>
                <w:highlight w:val="none"/>
                <w:lang w:val="en-US" w:eastAsia="zh-CN" w:bidi="ar"/>
              </w:rPr>
              <w:t>/a。废水主要污染物为COD、BOD</w:t>
            </w:r>
            <w:r>
              <w:rPr>
                <w:rFonts w:hint="eastAsia" w:eastAsia="宋体" w:cs="Times New Roman"/>
                <w:color w:val="auto"/>
                <w:kern w:val="0"/>
                <w:sz w:val="24"/>
                <w:szCs w:val="24"/>
                <w:highlight w:val="none"/>
                <w:vertAlign w:val="subscript"/>
                <w:lang w:val="en-US" w:eastAsia="zh-CN" w:bidi="ar"/>
              </w:rPr>
              <w:t>5</w:t>
            </w:r>
            <w:r>
              <w:rPr>
                <w:rFonts w:hint="default" w:ascii="Times New Roman" w:hAnsi="Times New Roman" w:eastAsia="宋体" w:cs="Times New Roman"/>
                <w:color w:val="auto"/>
                <w:kern w:val="0"/>
                <w:sz w:val="24"/>
                <w:szCs w:val="24"/>
                <w:highlight w:val="none"/>
                <w:lang w:val="en-US" w:eastAsia="zh-CN" w:bidi="ar"/>
              </w:rPr>
              <w:t>、NH</w:t>
            </w:r>
            <w:r>
              <w:rPr>
                <w:rFonts w:hint="eastAsia"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-N、</w:t>
            </w:r>
            <w:r>
              <w:rPr>
                <w:rFonts w:hint="eastAsia" w:eastAsia="宋体" w:cs="Times New Roman"/>
                <w:color w:val="auto"/>
                <w:kern w:val="0"/>
                <w:sz w:val="24"/>
                <w:szCs w:val="24"/>
                <w:highlight w:val="none"/>
                <w:lang w:val="en-US" w:eastAsia="zh-CN" w:bidi="ar"/>
              </w:rPr>
              <w:t>TN、TP、</w:t>
            </w:r>
            <w:r>
              <w:rPr>
                <w:rFonts w:hint="default" w:ascii="Times New Roman" w:hAnsi="Times New Roman" w:eastAsia="宋体" w:cs="Times New Roman"/>
                <w:color w:val="auto"/>
                <w:kern w:val="0"/>
                <w:sz w:val="24"/>
                <w:szCs w:val="24"/>
                <w:highlight w:val="none"/>
                <w:lang w:val="en-US" w:eastAsia="zh-CN" w:bidi="ar"/>
              </w:rPr>
              <w:t>SS</w:t>
            </w:r>
            <w:r>
              <w:rPr>
                <w:rFonts w:hint="eastAsia" w:ascii="Times New Roman" w:hAnsi="Times New Roman" w:eastAsia="宋体" w:cs="Times New Roman"/>
                <w:color w:val="auto"/>
                <w:kern w:val="0"/>
                <w:sz w:val="24"/>
                <w:szCs w:val="24"/>
                <w:highlight w:val="none"/>
                <w:lang w:val="en-US" w:eastAsia="zh-CN" w:bidi="ar"/>
              </w:rPr>
              <w:t>、阴离子表面活性剂、色度、粪大肠菌群</w:t>
            </w:r>
            <w:r>
              <w:rPr>
                <w:rFonts w:hint="eastAsia" w:eastAsia="宋体" w:cs="Times New Roman"/>
                <w:color w:val="auto"/>
                <w:kern w:val="0"/>
                <w:sz w:val="24"/>
                <w:szCs w:val="24"/>
                <w:highlight w:val="none"/>
                <w:lang w:val="en-US" w:eastAsia="zh-CN" w:bidi="ar"/>
              </w:rPr>
              <w:t>、总盐</w:t>
            </w:r>
            <w:r>
              <w:rPr>
                <w:rFonts w:hint="default" w:ascii="Times New Roman" w:hAnsi="Times New Roman" w:eastAsia="宋体" w:cs="Times New Roman"/>
                <w:color w:val="auto"/>
                <w:kern w:val="0"/>
                <w:sz w:val="24"/>
                <w:szCs w:val="24"/>
                <w:highlight w:val="none"/>
                <w:lang w:val="en-US" w:eastAsia="zh-CN" w:bidi="ar"/>
              </w:rPr>
              <w:t>等。类比同类实验室，</w:t>
            </w:r>
            <w:r>
              <w:rPr>
                <w:rFonts w:hint="eastAsia" w:ascii="Times New Roman" w:hAnsi="Times New Roman" w:eastAsia="宋体" w:cs="Times New Roman"/>
                <w:color w:val="auto"/>
                <w:kern w:val="0"/>
                <w:sz w:val="24"/>
                <w:szCs w:val="24"/>
                <w:highlight w:val="none"/>
                <w:lang w:val="en-US" w:eastAsia="zh-CN" w:bidi="ar"/>
              </w:rPr>
              <w:t>该部分</w:t>
            </w:r>
            <w:r>
              <w:rPr>
                <w:rFonts w:hint="default" w:ascii="Times New Roman" w:hAnsi="Times New Roman" w:eastAsia="宋体" w:cs="Times New Roman"/>
                <w:color w:val="auto"/>
                <w:kern w:val="0"/>
                <w:sz w:val="24"/>
                <w:szCs w:val="24"/>
                <w:highlight w:val="none"/>
                <w:lang w:val="en-US" w:eastAsia="zh-CN" w:bidi="ar"/>
              </w:rPr>
              <w:t>废水水质情况大体为pH：6.5~8.0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COD</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500</w:t>
            </w:r>
            <w:r>
              <w:rPr>
                <w:rFonts w:hint="default" w:ascii="Times New Roman" w:hAnsi="Times New Roman" w:eastAsia="宋体" w:cs="Times New Roman"/>
                <w:color w:val="auto"/>
                <w:kern w:val="0"/>
                <w:sz w:val="24"/>
                <w:szCs w:val="24"/>
                <w:highlight w:val="none"/>
                <w:lang w:val="en-US" w:eastAsia="zh-CN" w:bidi="ar"/>
              </w:rPr>
              <w:t>mg/L</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BOD</w:t>
            </w:r>
            <w:r>
              <w:rPr>
                <w:rFonts w:hint="default" w:ascii="Times New Roman" w:hAnsi="Times New Roman" w:eastAsia="宋体" w:cs="Times New Roman"/>
                <w:color w:val="auto"/>
                <w:kern w:val="0"/>
                <w:sz w:val="24"/>
                <w:szCs w:val="24"/>
                <w:highlight w:val="none"/>
                <w:vertAlign w:val="subscript"/>
                <w:lang w:val="en-US" w:eastAsia="zh-CN" w:bidi="ar"/>
              </w:rPr>
              <w:t>5</w:t>
            </w:r>
            <w:r>
              <w:rPr>
                <w:rFonts w:hint="eastAsia" w:cs="Times New Roman"/>
                <w:color w:val="auto"/>
                <w:kern w:val="0"/>
                <w:sz w:val="24"/>
                <w:szCs w:val="24"/>
                <w:highlight w:val="none"/>
                <w:vertAlign w:val="subscript"/>
                <w:lang w:val="en-US" w:eastAsia="zh-CN" w:bidi="ar"/>
              </w:rPr>
              <w:t>:</w:t>
            </w:r>
            <w:r>
              <w:rPr>
                <w:rFonts w:hint="eastAsia"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0mg/L</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SS</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00mg/L</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NH</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-N</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40</w:t>
            </w:r>
            <w:r>
              <w:rPr>
                <w:rFonts w:hint="default" w:ascii="Times New Roman" w:hAnsi="Times New Roman" w:eastAsia="宋体" w:cs="Times New Roman"/>
                <w:color w:val="auto"/>
                <w:kern w:val="0"/>
                <w:sz w:val="24"/>
                <w:szCs w:val="24"/>
                <w:highlight w:val="none"/>
                <w:lang w:val="en-US" w:eastAsia="zh-CN" w:bidi="ar"/>
              </w:rPr>
              <w:t>mg/L</w:t>
            </w:r>
            <w:r>
              <w:rPr>
                <w:rFonts w:hint="eastAsia" w:ascii="Times New Roman" w:hAnsi="Times New Roman" w:eastAsia="宋体" w:cs="Times New Roman"/>
                <w:color w:val="auto"/>
                <w:kern w:val="0"/>
                <w:sz w:val="24"/>
                <w:szCs w:val="24"/>
                <w:highlight w:val="none"/>
                <w:lang w:val="en-US" w:eastAsia="zh-CN" w:bidi="ar"/>
              </w:rPr>
              <w:t>、</w:t>
            </w:r>
            <w:r>
              <w:rPr>
                <w:rFonts w:hint="eastAsia" w:eastAsia="宋体" w:cs="Times New Roman"/>
                <w:color w:val="auto"/>
                <w:kern w:val="0"/>
                <w:sz w:val="24"/>
                <w:szCs w:val="24"/>
                <w:highlight w:val="none"/>
                <w:lang w:val="en-US" w:eastAsia="zh-CN" w:bidi="ar"/>
              </w:rPr>
              <w:t>TN:</w:t>
            </w:r>
            <w:r>
              <w:rPr>
                <w:rFonts w:hint="eastAsia" w:cs="Times New Roman"/>
                <w:color w:val="auto"/>
                <w:kern w:val="0"/>
                <w:sz w:val="24"/>
                <w:szCs w:val="24"/>
                <w:highlight w:val="none"/>
                <w:lang w:val="en-US" w:eastAsia="zh-CN" w:bidi="ar"/>
              </w:rPr>
              <w:t>60</w:t>
            </w:r>
            <w:r>
              <w:rPr>
                <w:rFonts w:hint="default" w:ascii="Times New Roman" w:hAnsi="Times New Roman" w:eastAsia="宋体" w:cs="Times New Roman"/>
                <w:color w:val="auto"/>
                <w:kern w:val="0"/>
                <w:sz w:val="24"/>
                <w:szCs w:val="24"/>
                <w:highlight w:val="none"/>
                <w:lang w:val="en-US" w:eastAsia="zh-CN" w:bidi="ar"/>
              </w:rPr>
              <w:t>mg/L</w:t>
            </w:r>
            <w:r>
              <w:rPr>
                <w:rFonts w:hint="eastAsia" w:ascii="Times New Roman" w:hAnsi="Times New Roman" w:eastAsia="宋体" w:cs="Times New Roman"/>
                <w:color w:val="auto"/>
                <w:kern w:val="0"/>
                <w:sz w:val="24"/>
                <w:szCs w:val="24"/>
                <w:highlight w:val="none"/>
                <w:lang w:val="en-US" w:eastAsia="zh-CN" w:bidi="ar"/>
              </w:rPr>
              <w:t>、TP</w:t>
            </w:r>
            <w:r>
              <w:rPr>
                <w:rFonts w:hint="eastAsia" w:cs="Times New Roman"/>
                <w:color w:val="auto"/>
                <w:kern w:val="0"/>
                <w:sz w:val="24"/>
                <w:szCs w:val="24"/>
                <w:highlight w:val="none"/>
                <w:lang w:val="en-US" w:eastAsia="zh-CN" w:bidi="ar"/>
              </w:rPr>
              <w:t>：5</w:t>
            </w:r>
            <w:r>
              <w:rPr>
                <w:rFonts w:hint="eastAsia" w:ascii="Times New Roman" w:hAnsi="Times New Roman" w:eastAsia="宋体" w:cs="Times New Roman"/>
                <w:color w:val="auto"/>
                <w:kern w:val="0"/>
                <w:sz w:val="24"/>
                <w:szCs w:val="24"/>
                <w:highlight w:val="none"/>
                <w:lang w:val="en-US" w:eastAsia="zh-CN" w:bidi="ar"/>
              </w:rPr>
              <w:t>mg/L、阴离子表面活性剂</w:t>
            </w:r>
            <w:r>
              <w:rPr>
                <w:rFonts w:hint="eastAsia" w:cs="Times New Roman"/>
                <w:color w:val="auto"/>
                <w:kern w:val="0"/>
                <w:sz w:val="24"/>
                <w:szCs w:val="24"/>
                <w:highlight w:val="none"/>
                <w:lang w:val="en-US" w:eastAsia="zh-CN" w:bidi="ar"/>
              </w:rPr>
              <w:t>：12</w:t>
            </w:r>
            <w:r>
              <w:rPr>
                <w:rFonts w:hint="eastAsia" w:ascii="Times New Roman" w:hAnsi="Times New Roman" w:eastAsia="宋体" w:cs="Times New Roman"/>
                <w:color w:val="auto"/>
                <w:kern w:val="0"/>
                <w:sz w:val="24"/>
                <w:szCs w:val="24"/>
                <w:highlight w:val="none"/>
                <w:lang w:val="en-US" w:eastAsia="zh-CN" w:bidi="ar"/>
              </w:rPr>
              <w:t>mg/L、粪大肠菌群：</w:t>
            </w:r>
            <w:r>
              <w:rPr>
                <w:rFonts w:hint="default" w:ascii="Times New Roman" w:hAnsi="Times New Roman" w:eastAsia="宋体" w:cs="Times New Roman"/>
                <w:color w:val="auto"/>
                <w:kern w:val="0"/>
                <w:sz w:val="24"/>
                <w:szCs w:val="24"/>
                <w:highlight w:val="none"/>
                <w:lang w:val="en-US" w:eastAsia="zh-CN" w:bidi="ar"/>
              </w:rPr>
              <w:t>6000MPN/L</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实验室</w:t>
            </w:r>
            <w:r>
              <w:rPr>
                <w:rFonts w:hint="eastAsia" w:eastAsia="宋体" w:cs="Times New Roman"/>
                <w:color w:val="auto"/>
                <w:kern w:val="0"/>
                <w:sz w:val="24"/>
                <w:szCs w:val="24"/>
                <w:highlight w:val="none"/>
                <w:lang w:val="en-US" w:eastAsia="zh-CN" w:bidi="ar"/>
              </w:rPr>
              <w:t>检测仪器设备</w:t>
            </w:r>
            <w:r>
              <w:rPr>
                <w:rFonts w:hint="eastAsia" w:ascii="Times New Roman" w:hAnsi="Times New Roman" w:eastAsia="宋体" w:cs="Times New Roman"/>
                <w:color w:val="auto"/>
                <w:kern w:val="0"/>
                <w:sz w:val="24"/>
                <w:szCs w:val="24"/>
                <w:highlight w:val="none"/>
                <w:lang w:val="en-US" w:eastAsia="zh-CN" w:bidi="ar"/>
              </w:rPr>
              <w:t>及器皿清洗</w:t>
            </w:r>
            <w:r>
              <w:rPr>
                <w:rFonts w:hint="eastAsia" w:cs="Times New Roman"/>
                <w:color w:val="auto"/>
                <w:kern w:val="0"/>
                <w:sz w:val="24"/>
                <w:szCs w:val="24"/>
                <w:highlight w:val="none"/>
                <w:lang w:val="en-US" w:eastAsia="zh-CN" w:bidi="ar"/>
              </w:rPr>
              <w:t>废水、笼具清洗废水排入医院现有污水处理站处理</w:t>
            </w:r>
            <w:r>
              <w:rPr>
                <w:rFonts w:hint="eastAsia" w:ascii="Times New Roman" w:hAnsi="Times New Roman" w:eastAsia="宋体" w:cs="Times New Roman"/>
                <w:color w:val="auto"/>
                <w:kern w:val="0"/>
                <w:sz w:val="24"/>
                <w:szCs w:val="24"/>
                <w:highlight w:val="none"/>
                <w:lang w:val="en-US" w:eastAsia="zh-CN" w:bidi="ar"/>
              </w:rPr>
              <w:t>。</w:t>
            </w:r>
          </w:p>
          <w:p w14:paraId="60F3BF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3）实验室试剂配置用水</w:t>
            </w:r>
          </w:p>
          <w:p w14:paraId="65F82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olor w:val="auto"/>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实验室试剂采用纯水</w:t>
            </w:r>
            <w:r>
              <w:rPr>
                <w:rFonts w:hint="eastAsia" w:cs="Times New Roman"/>
                <w:color w:val="auto"/>
                <w:kern w:val="0"/>
                <w:sz w:val="24"/>
                <w:szCs w:val="24"/>
                <w:highlight w:val="none"/>
                <w:lang w:val="en-US" w:eastAsia="zh-CN" w:bidi="ar"/>
              </w:rPr>
              <w:t>配制</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根据建设单位提供的数据可知，</w:t>
            </w:r>
            <w:r>
              <w:rPr>
                <w:rFonts w:hint="eastAsia" w:ascii="Times New Roman" w:hAnsi="Times New Roman" w:eastAsia="宋体" w:cs="Times New Roman"/>
                <w:color w:val="auto"/>
                <w:kern w:val="0"/>
                <w:sz w:val="24"/>
                <w:szCs w:val="24"/>
                <w:highlight w:val="none"/>
                <w:lang w:val="en-US" w:eastAsia="zh-CN" w:bidi="ar"/>
              </w:rPr>
              <w:t>该过程需水量为0.</w:t>
            </w:r>
            <w:r>
              <w:rPr>
                <w:rFonts w:hint="eastAsia" w:cs="Times New Roman"/>
                <w:color w:val="auto"/>
                <w:kern w:val="0"/>
                <w:sz w:val="24"/>
                <w:szCs w:val="24"/>
                <w:highlight w:val="none"/>
                <w:lang w:val="en-US" w:eastAsia="zh-CN" w:bidi="ar"/>
              </w:rPr>
              <w:t>333</w:t>
            </w:r>
            <w:r>
              <w:rPr>
                <w:rFonts w:hint="default" w:ascii="Times New Roman" w:hAnsi="Times New Roman" w:eastAsia="宋体" w:cs="Times New Roman"/>
                <w:color w:val="auto"/>
                <w:kern w:val="0"/>
                <w:sz w:val="24"/>
                <w:szCs w:val="24"/>
                <w:highlight w:val="none"/>
                <w:lang w:val="en-US" w:eastAsia="zh-CN" w:bidi="ar"/>
              </w:rPr>
              <w:t>t/d</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99.9</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p>
          <w:p w14:paraId="04819F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4）水浴用水</w:t>
            </w:r>
          </w:p>
          <w:p w14:paraId="089F0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olor w:val="auto"/>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项目设3台恒温水浴箱，单台尺寸76cm*34cm*38cm，有效容积约为该体积的80%，经计算单台有效容积为0.079m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vertAlign w:val="baseline"/>
                <w:lang w:val="en-US" w:eastAsia="zh-CN" w:bidi="ar"/>
              </w:rPr>
              <w:t>，损耗量约为20%，经计算3台</w:t>
            </w:r>
            <w:r>
              <w:rPr>
                <w:rFonts w:hint="eastAsia" w:ascii="Times New Roman" w:hAnsi="Times New Roman" w:eastAsia="宋体" w:cs="Times New Roman"/>
                <w:color w:val="auto"/>
                <w:kern w:val="0"/>
                <w:sz w:val="24"/>
                <w:szCs w:val="24"/>
                <w:highlight w:val="none"/>
                <w:lang w:val="en-US" w:eastAsia="zh-CN" w:bidi="ar"/>
              </w:rPr>
              <w:t>恒温水浴箱补充纯水量0.047t/d（14.</w:t>
            </w:r>
            <w:r>
              <w:rPr>
                <w:rFonts w:hint="eastAsia"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t/a）。项目细胞房设1台温浴箱，尺寸160*160*120cm，有效容积约为该体积的80%，经计算有效容积为0.079m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vertAlign w:val="baseline"/>
                <w:lang w:val="en-US" w:eastAsia="zh-CN" w:bidi="ar"/>
              </w:rPr>
              <w:t>，损耗量约为20%，经计算</w:t>
            </w:r>
            <w:r>
              <w:rPr>
                <w:rFonts w:hint="eastAsia" w:ascii="Times New Roman" w:hAnsi="Times New Roman" w:eastAsia="宋体" w:cs="Times New Roman"/>
                <w:color w:val="auto"/>
                <w:kern w:val="0"/>
                <w:sz w:val="24"/>
                <w:szCs w:val="24"/>
                <w:highlight w:val="none"/>
                <w:lang w:val="en-US" w:eastAsia="zh-CN" w:bidi="ar"/>
              </w:rPr>
              <w:t>温浴箱补充纯水量0.492t/d（147.5t/a），水浴用水合计161.</w:t>
            </w:r>
            <w:r>
              <w:rPr>
                <w:rFonts w:hint="eastAsia" w:cs="Times New Roman"/>
                <w:color w:val="auto"/>
                <w:kern w:val="0"/>
                <w:sz w:val="24"/>
                <w:szCs w:val="24"/>
                <w:highlight w:val="none"/>
                <w:lang w:val="en-US" w:eastAsia="zh-CN" w:bidi="ar"/>
              </w:rPr>
              <w:t>7</w:t>
            </w:r>
            <w:r>
              <w:rPr>
                <w:rFonts w:hint="eastAsia" w:ascii="Times New Roman" w:hAnsi="Times New Roman" w:eastAsia="宋体" w:cs="Times New Roman"/>
                <w:color w:val="auto"/>
                <w:kern w:val="0"/>
                <w:sz w:val="24"/>
                <w:szCs w:val="24"/>
                <w:highlight w:val="none"/>
                <w:lang w:val="en-US" w:eastAsia="zh-CN" w:bidi="ar"/>
              </w:rPr>
              <w:t>t/a。水浴箱及温浴箱定期补充损耗，不排放。</w:t>
            </w:r>
          </w:p>
          <w:p w14:paraId="76EAC3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eastAsia="宋体" w:cs="Times New Roman"/>
                <w:color w:val="auto"/>
                <w:kern w:val="0"/>
                <w:sz w:val="24"/>
                <w:szCs w:val="24"/>
                <w:highlight w:val="none"/>
                <w:lang w:val="en-US" w:eastAsia="zh-CN" w:bidi="ar"/>
              </w:rPr>
              <w:t>5</w:t>
            </w:r>
            <w:r>
              <w:rPr>
                <w:rFonts w:hint="eastAsia" w:ascii="Times New Roman" w:hAnsi="Times New Roman" w:eastAsia="宋体" w:cs="Times New Roman"/>
                <w:color w:val="auto"/>
                <w:kern w:val="0"/>
                <w:sz w:val="24"/>
                <w:szCs w:val="24"/>
                <w:highlight w:val="none"/>
                <w:lang w:val="en-US" w:eastAsia="zh-CN" w:bidi="ar"/>
              </w:rPr>
              <w:t>）纯水制备用排水</w:t>
            </w:r>
          </w:p>
          <w:p w14:paraId="32F44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项目高压</w:t>
            </w:r>
            <w:r>
              <w:rPr>
                <w:rFonts w:hint="eastAsia" w:cs="Times New Roman"/>
                <w:color w:val="auto"/>
                <w:kern w:val="0"/>
                <w:sz w:val="24"/>
                <w:szCs w:val="24"/>
                <w:highlight w:val="none"/>
                <w:lang w:val="en-US" w:eastAsia="zh-CN" w:bidi="ar"/>
              </w:rPr>
              <w:t>蒸汽</w:t>
            </w:r>
            <w:r>
              <w:rPr>
                <w:rFonts w:hint="eastAsia" w:ascii="Times New Roman" w:hAnsi="Times New Roman" w:eastAsia="宋体" w:cs="Times New Roman"/>
                <w:color w:val="auto"/>
                <w:kern w:val="0"/>
                <w:sz w:val="24"/>
                <w:szCs w:val="24"/>
                <w:highlight w:val="none"/>
                <w:lang w:val="en-US" w:eastAsia="zh-CN" w:bidi="ar"/>
              </w:rPr>
              <w:t>灭菌器、实验室</w:t>
            </w:r>
            <w:r>
              <w:rPr>
                <w:rFonts w:hint="eastAsia" w:cs="Times New Roman"/>
                <w:color w:val="auto"/>
                <w:kern w:val="0"/>
                <w:sz w:val="24"/>
                <w:szCs w:val="24"/>
                <w:highlight w:val="none"/>
                <w:lang w:val="en-US" w:eastAsia="zh-CN" w:bidi="ar"/>
              </w:rPr>
              <w:t>检测</w:t>
            </w:r>
            <w:r>
              <w:rPr>
                <w:rFonts w:hint="eastAsia" w:ascii="Times New Roman" w:hAnsi="Times New Roman" w:eastAsia="宋体" w:cs="Times New Roman"/>
                <w:color w:val="auto"/>
                <w:kern w:val="0"/>
                <w:sz w:val="24"/>
                <w:szCs w:val="24"/>
                <w:highlight w:val="none"/>
                <w:lang w:val="en-US" w:eastAsia="zh-CN" w:bidi="ar"/>
              </w:rPr>
              <w:t>仪器</w:t>
            </w:r>
            <w:r>
              <w:rPr>
                <w:rFonts w:hint="eastAsia" w:cs="Times New Roman"/>
                <w:color w:val="auto"/>
                <w:kern w:val="0"/>
                <w:sz w:val="24"/>
                <w:szCs w:val="24"/>
                <w:highlight w:val="none"/>
                <w:lang w:val="en-US" w:eastAsia="zh-CN" w:bidi="ar"/>
              </w:rPr>
              <w:t>设备</w:t>
            </w:r>
            <w:r>
              <w:rPr>
                <w:rFonts w:hint="eastAsia" w:ascii="Times New Roman" w:hAnsi="Times New Roman" w:eastAsia="宋体" w:cs="Times New Roman"/>
                <w:color w:val="auto"/>
                <w:kern w:val="0"/>
                <w:sz w:val="24"/>
                <w:szCs w:val="24"/>
                <w:highlight w:val="none"/>
                <w:lang w:val="en-US" w:eastAsia="zh-CN" w:bidi="ar"/>
              </w:rPr>
              <w:t>及器皿清洗用水及实验室试剂配置用水均为纯水，由上文分析可知，纯水需水量</w:t>
            </w:r>
            <w:r>
              <w:rPr>
                <w:rFonts w:hint="eastAsia" w:cs="Times New Roman"/>
                <w:color w:val="auto"/>
                <w:kern w:val="0"/>
                <w:sz w:val="24"/>
                <w:szCs w:val="24"/>
                <w:highlight w:val="none"/>
                <w:lang w:val="en-US" w:eastAsia="zh-CN" w:bidi="ar"/>
              </w:rPr>
              <w:t>合计</w:t>
            </w:r>
            <w:r>
              <w:rPr>
                <w:rFonts w:hint="eastAsia" w:ascii="Times New Roman" w:hAnsi="Times New Roman" w:eastAsia="宋体" w:cs="Times New Roman"/>
                <w:color w:val="auto"/>
                <w:kern w:val="0"/>
                <w:sz w:val="24"/>
                <w:szCs w:val="24"/>
                <w:highlight w:val="none"/>
                <w:lang w:val="en-US" w:eastAsia="zh-CN" w:bidi="ar"/>
              </w:rPr>
              <w:t>为</w:t>
            </w:r>
            <w:r>
              <w:rPr>
                <w:rFonts w:hint="eastAsia" w:cs="Times New Roman"/>
                <w:color w:val="auto"/>
                <w:kern w:val="0"/>
                <w:sz w:val="24"/>
                <w:szCs w:val="24"/>
                <w:highlight w:val="none"/>
                <w:lang w:val="en-US" w:eastAsia="zh-CN" w:bidi="ar"/>
              </w:rPr>
              <w:t>2.212</w:t>
            </w:r>
            <w:r>
              <w:rPr>
                <w:rFonts w:hint="default" w:ascii="Times New Roman" w:hAnsi="Times New Roman" w:eastAsia="宋体" w:cs="Times New Roman"/>
                <w:color w:val="auto"/>
                <w:kern w:val="0"/>
                <w:sz w:val="24"/>
                <w:szCs w:val="24"/>
                <w:highlight w:val="none"/>
                <w:lang w:val="en-US" w:eastAsia="zh-CN" w:bidi="ar"/>
              </w:rPr>
              <w:t>t/d</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663.6</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），纯水机制备效率按照</w:t>
            </w:r>
            <w:r>
              <w:rPr>
                <w:rFonts w:hint="default" w:ascii="Times New Roman" w:hAnsi="Times New Roman" w:eastAsia="宋体" w:cs="Times New Roman"/>
                <w:color w:val="auto"/>
                <w:kern w:val="0"/>
                <w:sz w:val="24"/>
                <w:szCs w:val="24"/>
                <w:highlight w:val="none"/>
                <w:lang w:val="en-US" w:eastAsia="zh-CN" w:bidi="ar"/>
              </w:rPr>
              <w:t>6</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计算，则纯水机用</w:t>
            </w:r>
            <w:r>
              <w:rPr>
                <w:rFonts w:hint="eastAsia" w:cs="Times New Roman"/>
                <w:color w:val="auto"/>
                <w:kern w:val="0"/>
                <w:sz w:val="24"/>
                <w:szCs w:val="24"/>
                <w:highlight w:val="none"/>
                <w:lang w:val="en-US" w:eastAsia="zh-CN" w:bidi="ar"/>
              </w:rPr>
              <w:t>新鲜</w:t>
            </w:r>
            <w:r>
              <w:rPr>
                <w:rFonts w:hint="eastAsia" w:ascii="Times New Roman" w:hAnsi="Times New Roman" w:eastAsia="宋体" w:cs="Times New Roman"/>
                <w:color w:val="auto"/>
                <w:kern w:val="0"/>
                <w:sz w:val="24"/>
                <w:szCs w:val="24"/>
                <w:highlight w:val="none"/>
                <w:lang w:val="en-US" w:eastAsia="zh-CN" w:bidi="ar"/>
              </w:rPr>
              <w:t>水约为</w:t>
            </w:r>
            <w:r>
              <w:rPr>
                <w:rFonts w:hint="eastAsia" w:cs="Times New Roman"/>
                <w:color w:val="auto"/>
                <w:kern w:val="0"/>
                <w:sz w:val="24"/>
                <w:szCs w:val="24"/>
                <w:highlight w:val="none"/>
                <w:lang w:val="en-US" w:eastAsia="zh-CN" w:bidi="ar"/>
              </w:rPr>
              <w:t>3.403</w:t>
            </w:r>
            <w:r>
              <w:rPr>
                <w:rFonts w:hint="default" w:ascii="Times New Roman" w:hAnsi="Times New Roman" w:eastAsia="宋体" w:cs="Times New Roman"/>
                <w:color w:val="auto"/>
                <w:kern w:val="0"/>
                <w:sz w:val="24"/>
                <w:szCs w:val="24"/>
                <w:highlight w:val="none"/>
                <w:lang w:val="en-US" w:eastAsia="zh-CN" w:bidi="ar"/>
              </w:rPr>
              <w:t>t/d</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1020.9</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），产生的浓水为</w:t>
            </w:r>
            <w:r>
              <w:rPr>
                <w:rFonts w:hint="eastAsia" w:cs="Times New Roman"/>
                <w:color w:val="auto"/>
                <w:kern w:val="0"/>
                <w:sz w:val="24"/>
                <w:szCs w:val="24"/>
                <w:highlight w:val="none"/>
                <w:lang w:val="en-US" w:eastAsia="zh-CN" w:bidi="ar"/>
              </w:rPr>
              <w:t>1.191</w:t>
            </w:r>
            <w:r>
              <w:rPr>
                <w:rFonts w:hint="default" w:ascii="Times New Roman" w:hAnsi="Times New Roman" w:eastAsia="宋体" w:cs="Times New Roman"/>
                <w:color w:val="auto"/>
                <w:kern w:val="0"/>
                <w:sz w:val="24"/>
                <w:szCs w:val="24"/>
                <w:highlight w:val="none"/>
                <w:lang w:val="en-US" w:eastAsia="zh-CN" w:bidi="ar"/>
              </w:rPr>
              <w:t>t/d</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357.3</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）。纯水制备浓水水质情况为</w:t>
            </w:r>
            <w:r>
              <w:rPr>
                <w:rFonts w:hint="default" w:ascii="Times New Roman" w:hAnsi="Times New Roman" w:eastAsia="宋体" w:cs="Times New Roman"/>
                <w:color w:val="auto"/>
                <w:kern w:val="0"/>
                <w:sz w:val="24"/>
                <w:szCs w:val="24"/>
                <w:highlight w:val="none"/>
                <w:lang w:val="en-US" w:eastAsia="zh-CN" w:bidi="ar"/>
              </w:rPr>
              <w:t>COD</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40mg/L</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SS</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30mg/L</w:t>
            </w:r>
            <w:r>
              <w:rPr>
                <w:rFonts w:hint="eastAsia" w:cs="Times New Roman"/>
                <w:color w:val="auto"/>
                <w:kern w:val="0"/>
                <w:sz w:val="24"/>
                <w:szCs w:val="24"/>
                <w:highlight w:val="none"/>
                <w:lang w:val="en-US" w:eastAsia="zh-CN" w:bidi="ar"/>
              </w:rPr>
              <w:t>，纯水制备浓水排入医院现有污水处理站处理</w:t>
            </w:r>
            <w:r>
              <w:rPr>
                <w:rFonts w:hint="eastAsia" w:ascii="Times New Roman" w:hAnsi="Times New Roman" w:eastAsia="宋体" w:cs="Times New Roman"/>
                <w:color w:val="auto"/>
                <w:kern w:val="0"/>
                <w:sz w:val="24"/>
                <w:szCs w:val="24"/>
                <w:highlight w:val="none"/>
                <w:lang w:val="en-US" w:eastAsia="zh-CN" w:bidi="ar"/>
              </w:rPr>
              <w:t>。</w:t>
            </w:r>
          </w:p>
          <w:p w14:paraId="168A83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2）生活用</w:t>
            </w:r>
            <w:r>
              <w:rPr>
                <w:rFonts w:hint="eastAsia" w:cs="Times New Roman"/>
                <w:b/>
                <w:bCs/>
                <w:color w:val="auto"/>
                <w:kern w:val="0"/>
                <w:sz w:val="24"/>
                <w:szCs w:val="24"/>
                <w:highlight w:val="none"/>
                <w:lang w:val="en-US" w:eastAsia="zh-CN" w:bidi="ar"/>
              </w:rPr>
              <w:t>排</w:t>
            </w:r>
            <w:r>
              <w:rPr>
                <w:rFonts w:hint="default" w:ascii="Times New Roman" w:hAnsi="Times New Roman" w:eastAsia="宋体" w:cs="Times New Roman"/>
                <w:b/>
                <w:bCs/>
                <w:color w:val="auto"/>
                <w:kern w:val="0"/>
                <w:sz w:val="24"/>
                <w:szCs w:val="24"/>
                <w:highlight w:val="none"/>
                <w:lang w:val="en-US" w:eastAsia="zh-CN" w:bidi="ar"/>
              </w:rPr>
              <w:t>水</w:t>
            </w:r>
          </w:p>
          <w:p w14:paraId="7EEADE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本项目不设食宿，</w:t>
            </w:r>
            <w:r>
              <w:rPr>
                <w:rFonts w:hint="default" w:ascii="Times New Roman" w:hAnsi="Times New Roman" w:eastAsia="宋体" w:cs="Times New Roman"/>
                <w:color w:val="auto"/>
                <w:sz w:val="24"/>
                <w:lang w:eastAsia="zh-CN"/>
              </w:rPr>
              <w:t>本次新建教学科研楼项目不新增职工，在医院现有员工中调配</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生活用水仅考虑外来教学对象用水，</w:t>
            </w:r>
            <w:r>
              <w:rPr>
                <w:rFonts w:hint="default" w:ascii="Times New Roman" w:hAnsi="Times New Roman" w:eastAsia="宋体" w:cs="Times New Roman"/>
                <w:color w:val="auto"/>
                <w:kern w:val="0"/>
                <w:sz w:val="24"/>
                <w:szCs w:val="24"/>
                <w:highlight w:val="none"/>
                <w:lang w:val="en-US" w:eastAsia="zh-CN" w:bidi="ar"/>
              </w:rPr>
              <w:t>根据建设单位提供</w:t>
            </w:r>
            <w:r>
              <w:rPr>
                <w:rFonts w:hint="eastAsia" w:cs="Times New Roman"/>
                <w:color w:val="auto"/>
                <w:kern w:val="0"/>
                <w:sz w:val="24"/>
                <w:szCs w:val="24"/>
                <w:highlight w:val="none"/>
                <w:lang w:val="en-US" w:eastAsia="zh-CN" w:bidi="ar"/>
              </w:rPr>
              <w:t>资料</w:t>
            </w:r>
            <w:r>
              <w:rPr>
                <w:rFonts w:hint="default" w:ascii="Times New Roman" w:hAnsi="Times New Roman" w:eastAsia="宋体" w:cs="Times New Roman"/>
                <w:color w:val="auto"/>
                <w:kern w:val="0"/>
                <w:sz w:val="24"/>
                <w:szCs w:val="24"/>
                <w:highlight w:val="none"/>
                <w:lang w:val="en-US" w:eastAsia="zh-CN" w:bidi="ar"/>
              </w:rPr>
              <w:t>，教学科研楼新增外来教学对象50人/天</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参考《综合医院建筑设计规范》（GB51039-2014），</w:t>
            </w:r>
            <w:r>
              <w:rPr>
                <w:rFonts w:hint="eastAsia" w:cs="Times New Roman"/>
                <w:color w:val="auto"/>
                <w:kern w:val="0"/>
                <w:sz w:val="24"/>
                <w:szCs w:val="24"/>
                <w:highlight w:val="none"/>
                <w:lang w:val="en-US" w:eastAsia="zh-CN" w:bidi="ar"/>
              </w:rPr>
              <w:t>生活用水</w:t>
            </w:r>
            <w:r>
              <w:rPr>
                <w:rFonts w:hint="default" w:ascii="Times New Roman" w:hAnsi="Times New Roman" w:eastAsia="宋体" w:cs="Times New Roman"/>
                <w:color w:val="auto"/>
                <w:kern w:val="0"/>
                <w:sz w:val="24"/>
                <w:szCs w:val="24"/>
                <w:highlight w:val="none"/>
                <w:lang w:val="en-US" w:eastAsia="zh-CN" w:bidi="ar"/>
              </w:rPr>
              <w:t>量取50L/（人·</w:t>
            </w:r>
            <w:r>
              <w:rPr>
                <w:rFonts w:hint="eastAsia" w:cs="Times New Roman"/>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经计算，</w:t>
            </w:r>
            <w:r>
              <w:rPr>
                <w:rFonts w:hint="default" w:ascii="Times New Roman" w:hAnsi="Times New Roman" w:eastAsia="宋体" w:cs="Times New Roman"/>
                <w:color w:val="auto"/>
                <w:kern w:val="0"/>
                <w:sz w:val="24"/>
                <w:szCs w:val="24"/>
                <w:highlight w:val="none"/>
                <w:lang w:val="en-US" w:eastAsia="zh-CN" w:bidi="ar"/>
              </w:rPr>
              <w:t>项目生活用水量约为</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.5t/d（</w:t>
            </w:r>
            <w:r>
              <w:rPr>
                <w:rFonts w:hint="eastAsia" w:cs="Times New Roman"/>
                <w:color w:val="auto"/>
                <w:kern w:val="0"/>
                <w:sz w:val="24"/>
                <w:szCs w:val="24"/>
                <w:highlight w:val="none"/>
                <w:lang w:val="en-US" w:eastAsia="zh-CN" w:bidi="ar"/>
              </w:rPr>
              <w:t>75</w:t>
            </w:r>
            <w:r>
              <w:rPr>
                <w:rFonts w:hint="default" w:ascii="Times New Roman" w:hAnsi="Times New Roman" w:eastAsia="宋体" w:cs="Times New Roman"/>
                <w:color w:val="auto"/>
                <w:kern w:val="0"/>
                <w:sz w:val="24"/>
                <w:szCs w:val="24"/>
                <w:highlight w:val="none"/>
                <w:lang w:val="en-US" w:eastAsia="zh-CN" w:bidi="ar"/>
              </w:rPr>
              <w:t>0t/a），按排污系数0.</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计，项目生活污水排放量约</w:t>
            </w:r>
            <w:r>
              <w:rPr>
                <w:rFonts w:hint="eastAsia" w:cs="Times New Roman"/>
                <w:color w:val="auto"/>
                <w:kern w:val="0"/>
                <w:sz w:val="24"/>
                <w:szCs w:val="24"/>
                <w:highlight w:val="none"/>
                <w:lang w:val="en-US" w:eastAsia="zh-CN" w:bidi="ar"/>
              </w:rPr>
              <w:t>2.25</w:t>
            </w:r>
            <w:r>
              <w:rPr>
                <w:rFonts w:hint="default" w:ascii="Times New Roman" w:hAnsi="Times New Roman" w:eastAsia="宋体" w:cs="Times New Roman"/>
                <w:color w:val="auto"/>
                <w:kern w:val="0"/>
                <w:sz w:val="24"/>
                <w:szCs w:val="24"/>
                <w:highlight w:val="none"/>
                <w:lang w:val="en-US" w:eastAsia="zh-CN" w:bidi="ar"/>
              </w:rPr>
              <w:t>t/d（</w:t>
            </w:r>
            <w:r>
              <w:rPr>
                <w:rFonts w:hint="eastAsia" w:cs="Times New Roman"/>
                <w:color w:val="auto"/>
                <w:kern w:val="0"/>
                <w:sz w:val="24"/>
                <w:szCs w:val="24"/>
                <w:highlight w:val="none"/>
                <w:lang w:val="en-US" w:eastAsia="zh-CN" w:bidi="ar"/>
              </w:rPr>
              <w:t>675</w:t>
            </w:r>
            <w:r>
              <w:rPr>
                <w:rFonts w:hint="default" w:ascii="Times New Roman" w:hAnsi="Times New Roman" w:eastAsia="宋体" w:cs="Times New Roman"/>
                <w:color w:val="auto"/>
                <w:kern w:val="0"/>
                <w:sz w:val="24"/>
                <w:szCs w:val="24"/>
                <w:highlight w:val="none"/>
                <w:lang w:val="en-US" w:eastAsia="zh-CN" w:bidi="ar"/>
              </w:rPr>
              <w:t>t/a）。生活污水水质情况COD：</w:t>
            </w:r>
            <w:r>
              <w:rPr>
                <w:rFonts w:hint="eastAsia" w:ascii="Times New Roman" w:hAnsi="Times New Roman" w:eastAsia="宋体" w:cs="Times New Roman"/>
                <w:color w:val="auto"/>
                <w:kern w:val="0"/>
                <w:sz w:val="24"/>
                <w:szCs w:val="24"/>
                <w:highlight w:val="none"/>
                <w:lang w:val="en-US" w:eastAsia="zh-CN" w:bidi="ar"/>
              </w:rPr>
              <w:t>350</w:t>
            </w:r>
            <w:r>
              <w:rPr>
                <w:rFonts w:hint="default" w:ascii="Times New Roman" w:hAnsi="Times New Roman" w:eastAsia="宋体" w:cs="Times New Roman"/>
                <w:color w:val="auto"/>
                <w:kern w:val="0"/>
                <w:sz w:val="24"/>
                <w:szCs w:val="24"/>
                <w:highlight w:val="none"/>
                <w:lang w:val="en-US" w:eastAsia="zh-CN" w:bidi="ar"/>
              </w:rPr>
              <w:t>mg/L、SS：</w:t>
            </w:r>
            <w:r>
              <w:rPr>
                <w:rFonts w:hint="eastAsia" w:ascii="Times New Roman" w:hAnsi="Times New Roman" w:eastAsia="宋体" w:cs="Times New Roman"/>
                <w:color w:val="auto"/>
                <w:kern w:val="0"/>
                <w:sz w:val="24"/>
                <w:szCs w:val="24"/>
                <w:highlight w:val="none"/>
                <w:lang w:val="en-US" w:eastAsia="zh-CN" w:bidi="ar"/>
              </w:rPr>
              <w:t>250</w:t>
            </w:r>
            <w:r>
              <w:rPr>
                <w:rFonts w:hint="default" w:ascii="Times New Roman" w:hAnsi="Times New Roman" w:eastAsia="宋体" w:cs="Times New Roman"/>
                <w:color w:val="auto"/>
                <w:kern w:val="0"/>
                <w:sz w:val="24"/>
                <w:szCs w:val="24"/>
                <w:highlight w:val="none"/>
                <w:lang w:val="en-US" w:eastAsia="zh-CN" w:bidi="ar"/>
              </w:rPr>
              <w:t>mg/L、NH</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-N：30mg/L</w:t>
            </w:r>
            <w:r>
              <w:rPr>
                <w:rFonts w:hint="eastAsia" w:cs="Times New Roman"/>
                <w:color w:val="auto"/>
                <w:kern w:val="0"/>
                <w:sz w:val="24"/>
                <w:szCs w:val="24"/>
                <w:highlight w:val="none"/>
                <w:lang w:val="en-US" w:eastAsia="zh-CN" w:bidi="ar"/>
              </w:rPr>
              <w:t>、TN：40</w:t>
            </w:r>
            <w:r>
              <w:rPr>
                <w:rFonts w:hint="default" w:ascii="Times New Roman" w:hAnsi="Times New Roman" w:eastAsia="宋体" w:cs="Times New Roman"/>
                <w:color w:val="auto"/>
                <w:kern w:val="0"/>
                <w:sz w:val="24"/>
                <w:szCs w:val="24"/>
                <w:highlight w:val="none"/>
                <w:lang w:val="en-US" w:eastAsia="zh-CN" w:bidi="ar"/>
              </w:rPr>
              <w:t>mg/L</w:t>
            </w:r>
            <w:r>
              <w:rPr>
                <w:rFonts w:hint="eastAsia" w:cs="Times New Roman"/>
                <w:color w:val="auto"/>
                <w:kern w:val="0"/>
                <w:sz w:val="24"/>
                <w:szCs w:val="24"/>
                <w:highlight w:val="none"/>
                <w:lang w:val="en-US" w:eastAsia="zh-CN" w:bidi="ar"/>
              </w:rPr>
              <w:t>、TP：4mg/L</w:t>
            </w:r>
            <w:r>
              <w:rPr>
                <w:rFonts w:hint="default" w:ascii="Times New Roman" w:hAnsi="Times New Roman" w:eastAsia="宋体" w:cs="Times New Roman"/>
                <w:color w:val="auto"/>
                <w:kern w:val="0"/>
                <w:sz w:val="24"/>
                <w:szCs w:val="24"/>
                <w:highlight w:val="none"/>
                <w:lang w:val="en-US" w:eastAsia="zh-CN" w:bidi="ar"/>
              </w:rPr>
              <w:t>。</w:t>
            </w:r>
          </w:p>
          <w:p w14:paraId="6334E2CD">
            <w:pPr>
              <w:keepNext w:val="0"/>
              <w:keepLines w:val="0"/>
              <w:suppressLineNumbers w:val="0"/>
              <w:adjustRightInd w:val="0"/>
              <w:snapToGrid w:val="0"/>
              <w:spacing w:before="0" w:beforeAutospacing="0" w:after="0" w:afterAutospacing="0" w:line="360" w:lineRule="auto"/>
              <w:ind w:left="0" w:right="0" w:firstLine="480" w:firstLineChars="200"/>
              <w:rPr>
                <w:rFonts w:hint="eastAsia"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建设项目</w:t>
            </w:r>
            <w:r>
              <w:rPr>
                <w:rFonts w:hint="default" w:ascii="Times New Roman" w:hAnsi="Times New Roman" w:cs="Times New Roman" w:eastAsiaTheme="minorEastAsia"/>
                <w:color w:val="auto"/>
                <w:sz w:val="24"/>
                <w:lang w:val="en-US" w:eastAsia="zh-CN"/>
              </w:rPr>
              <w:t>水平衡图</w:t>
            </w:r>
            <w:r>
              <w:rPr>
                <w:rFonts w:hint="eastAsia" w:cs="Times New Roman" w:eastAsiaTheme="minorEastAsia"/>
                <w:color w:val="auto"/>
                <w:sz w:val="24"/>
                <w:lang w:val="en-US" w:eastAsia="zh-CN"/>
              </w:rPr>
              <w:t>见2.1-3。</w:t>
            </w:r>
          </w:p>
          <w:p w14:paraId="1941E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eastAsiaTheme="minorEastAsia"/>
                <w:b/>
                <w:bCs/>
                <w:color w:val="auto"/>
                <w:lang w:val="en-US" w:eastAsia="zh-CN"/>
              </w:rPr>
            </w:pPr>
            <w:r>
              <w:rPr>
                <w:rFonts w:hint="eastAsia" w:eastAsiaTheme="minorEastAsia"/>
                <w:b/>
                <w:bCs/>
                <w:color w:val="auto"/>
                <w:lang w:val="en-US" w:eastAsia="zh-CN"/>
              </w:rPr>
              <w:object>
                <v:shape id="_x0000_i1025" o:spt="75" type="#_x0000_t75" style="height:369.8pt;width:416.5pt;" o:ole="t" filled="f" o:preferrelative="t" stroked="f" coordsize="21600,21600">
                  <v:path/>
                  <v:fill on="f" focussize="0,0"/>
                  <v:stroke on="f"/>
                  <v:imagedata r:id="rId10" cropleft="14430f" croptop="4448f" cropright="19752f" cropbottom="450f" o:title=""/>
                  <o:lock v:ext="edit" aspectratio="t"/>
                  <w10:wrap type="none"/>
                  <w10:anchorlock/>
                </v:shape>
                <o:OLEObject Type="Embed" ProgID="AutoCAD.Drawing.17" ShapeID="_x0000_i1025" DrawAspect="Content" ObjectID="_1468075725" r:id="rId9">
                  <o:LockedField>false</o:LockedField>
                </o:OLEObject>
              </w:object>
            </w:r>
          </w:p>
          <w:p w14:paraId="13E1D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eastAsiaTheme="minorEastAsia"/>
                <w:color w:val="auto"/>
                <w:sz w:val="24"/>
                <w:lang w:val="en-US" w:eastAsia="zh-CN"/>
              </w:rPr>
            </w:pPr>
            <w:r>
              <w:rPr>
                <w:rFonts w:hint="eastAsia" w:eastAsiaTheme="minorEastAsia"/>
                <w:b/>
                <w:bCs/>
                <w:color w:val="auto"/>
                <w:lang w:val="en-US" w:eastAsia="zh-CN"/>
              </w:rPr>
              <w:t>图</w:t>
            </w:r>
            <w:r>
              <w:rPr>
                <w:rFonts w:hint="default" w:ascii="Times New Roman" w:hAnsi="Times New Roman" w:cs="Times New Roman"/>
                <w:b/>
                <w:bCs/>
                <w:color w:val="auto"/>
                <w:lang w:val="en-US" w:eastAsia="zh-CN"/>
              </w:rPr>
              <w:t>2.1-</w:t>
            </w:r>
            <w:r>
              <w:rPr>
                <w:rFonts w:hint="eastAsia" w:cs="Times New Roman"/>
                <w:b/>
                <w:bCs/>
                <w:color w:val="auto"/>
                <w:lang w:val="en-US" w:eastAsia="zh-CN"/>
              </w:rPr>
              <w:t>1</w:t>
            </w:r>
            <w:r>
              <w:rPr>
                <w:rFonts w:hint="default" w:ascii="Times New Roman" w:hAnsi="Times New Roman" w:cs="Times New Roman"/>
                <w:b/>
                <w:bCs/>
                <w:color w:val="auto"/>
                <w:lang w:val="en-US" w:eastAsia="zh-CN"/>
              </w:rPr>
              <w:t xml:space="preserve">  </w:t>
            </w:r>
            <w:r>
              <w:rPr>
                <w:rFonts w:hint="eastAsia" w:cs="Times New Roman"/>
                <w:b/>
                <w:bCs/>
                <w:color w:val="auto"/>
                <w:lang w:val="en-US" w:eastAsia="zh-CN"/>
              </w:rPr>
              <w:t>建设项目</w:t>
            </w:r>
            <w:r>
              <w:rPr>
                <w:rFonts w:hint="default" w:ascii="Times New Roman" w:hAnsi="Times New Roman" w:cs="Times New Roman"/>
                <w:b/>
                <w:bCs/>
                <w:color w:val="auto"/>
                <w:lang w:val="en-US" w:eastAsia="zh-CN"/>
              </w:rPr>
              <w:t>水平衡图</w:t>
            </w:r>
            <w:r>
              <w:rPr>
                <w:rFonts w:hint="eastAsia"/>
                <w:color w:val="auto"/>
                <w:lang w:val="en-US" w:eastAsia="zh-CN"/>
              </w:rPr>
              <w:t xml:space="preserve">  单位：t/a</w:t>
            </w:r>
          </w:p>
          <w:p w14:paraId="38D88E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color w:val="auto"/>
                <w:lang w:val="en-US" w:eastAsia="zh-CN"/>
              </w:rPr>
            </w:pPr>
          </w:p>
          <w:p w14:paraId="46A381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color w:val="auto"/>
                <w:lang w:val="en-US" w:eastAsia="zh-CN"/>
              </w:rPr>
            </w:pPr>
          </w:p>
          <w:p w14:paraId="6B43F1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color w:val="auto"/>
                <w:lang w:val="en-US" w:eastAsia="zh-CN"/>
              </w:rPr>
            </w:pPr>
          </w:p>
          <w:p w14:paraId="16DAB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color w:val="auto"/>
                <w:lang w:val="en-US" w:eastAsia="zh-CN"/>
              </w:rPr>
            </w:pPr>
          </w:p>
          <w:p w14:paraId="6F1D63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color w:val="auto"/>
                <w:lang w:val="en-US" w:eastAsia="zh-CN"/>
              </w:rPr>
            </w:pPr>
          </w:p>
        </w:tc>
      </w:tr>
      <w:tr w14:paraId="5CCA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trPr>
        <w:tc>
          <w:tcPr>
            <w:tcW w:w="477" w:type="dxa"/>
            <w:vAlign w:val="center"/>
          </w:tcPr>
          <w:p w14:paraId="0711ECD5">
            <w:pPr>
              <w:keepNext w:val="0"/>
              <w:keepLines w:val="0"/>
              <w:suppressLineNumbers w:val="0"/>
              <w:spacing w:before="156" w:beforeAutospacing="0" w:after="0" w:afterAutospacing="0"/>
              <w:ind w:left="0" w:right="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工艺流程和产排污环节</w:t>
            </w:r>
          </w:p>
        </w:tc>
        <w:tc>
          <w:tcPr>
            <w:tcW w:w="8583" w:type="dxa"/>
          </w:tcPr>
          <w:p w14:paraId="4B228801">
            <w:pPr>
              <w:keepNext w:val="0"/>
              <w:keepLines w:val="0"/>
              <w:numPr>
                <w:ilvl w:val="0"/>
                <w:numId w:val="5"/>
              </w:numPr>
              <w:suppressLineNumbers w:val="0"/>
              <w:spacing w:before="156" w:beforeLines="50" w:beforeAutospacing="0" w:after="0" w:afterAutospacing="0"/>
              <w:ind w:left="0" w:right="0" w:firstLine="482"/>
              <w:rPr>
                <w:rFonts w:hint="default" w:ascii="Times New Roman" w:hAnsi="Times New Roman" w:cs="Times New Roman"/>
                <w:b/>
                <w:bCs/>
                <w:color w:val="auto"/>
              </w:rPr>
            </w:pPr>
            <w:r>
              <w:rPr>
                <w:rFonts w:hint="default" w:ascii="Times New Roman" w:hAnsi="Times New Roman" w:cs="Times New Roman"/>
                <w:b/>
                <w:bCs/>
                <w:color w:val="auto"/>
              </w:rPr>
              <w:t>工艺流程和产排污环节</w:t>
            </w:r>
          </w:p>
          <w:p w14:paraId="2209381F">
            <w:pPr>
              <w:keepNext w:val="0"/>
              <w:keepLines w:val="0"/>
              <w:suppressLineNumbers w:val="0"/>
              <w:spacing w:before="0" w:beforeAutospacing="0" w:after="0" w:afterAutospacing="0"/>
              <w:ind w:left="0" w:right="0" w:firstLine="480"/>
              <w:rPr>
                <w:rFonts w:hint="default" w:ascii="Times New Roman" w:hAnsi="Times New Roman" w:cs="Times New Roman"/>
                <w:color w:val="auto"/>
              </w:rPr>
            </w:pPr>
            <w:r>
              <w:rPr>
                <w:rFonts w:hint="eastAsia" w:cs="Times New Roman"/>
                <w:color w:val="auto"/>
                <w:lang w:val="en-US" w:eastAsia="zh-CN"/>
              </w:rPr>
              <w:t>本项目主要检测内容包括PCR检测、蛋白质检测、细胞实验、病毒及病理检测等。</w:t>
            </w:r>
            <w:r>
              <w:rPr>
                <w:rFonts w:hint="eastAsia" w:cs="Times New Roman"/>
                <w:color w:val="auto"/>
                <w:lang w:eastAsia="zh-CN"/>
              </w:rPr>
              <w:t>检测</w:t>
            </w:r>
            <w:r>
              <w:rPr>
                <w:rFonts w:hint="default" w:ascii="Times New Roman" w:hAnsi="Times New Roman" w:cs="Times New Roman"/>
                <w:color w:val="auto"/>
              </w:rPr>
              <w:t>工艺流程及产污环节详见图2.2-</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p w14:paraId="73EE99EF">
            <w:pPr>
              <w:pStyle w:val="35"/>
              <w:keepNext w:val="0"/>
              <w:keepLines w:val="0"/>
              <w:widowControl/>
              <w:numPr>
                <w:ilvl w:val="0"/>
                <w:numId w:val="0"/>
              </w:numPr>
              <w:suppressLineNumbers w:val="0"/>
              <w:adjustRightInd w:val="0"/>
              <w:snapToGrid w:val="0"/>
              <w:spacing w:before="0" w:beforeAutospacing="0" w:after="0" w:afterAutospacing="0" w:line="360" w:lineRule="auto"/>
              <w:ind w:left="425" w:leftChars="0" w:right="0" w:rightChars="0"/>
              <w:jc w:val="left"/>
              <w:rPr>
                <w:rFonts w:hint="default" w:ascii="Times New Roman" w:hAnsi="Times New Roman" w:cs="Times New Roman" w:eastAsiaTheme="minorEastAsia"/>
                <w:b/>
                <w:color w:val="auto"/>
                <w:sz w:val="24"/>
              </w:rPr>
            </w:pPr>
            <w:r>
              <w:rPr>
                <w:rFonts w:hint="eastAsia" w:cs="Times New Roman" w:eastAsiaTheme="minorEastAsia"/>
                <w:b/>
                <w:color w:val="auto"/>
                <w:sz w:val="24"/>
                <w:lang w:val="en-US" w:eastAsia="zh-CN"/>
              </w:rPr>
              <w:t>1.1实验室检测</w:t>
            </w:r>
            <w:r>
              <w:rPr>
                <w:rFonts w:hint="default" w:ascii="Times New Roman" w:hAnsi="Times New Roman" w:cs="Times New Roman" w:eastAsiaTheme="minorEastAsia"/>
                <w:b/>
                <w:color w:val="auto"/>
                <w:sz w:val="24"/>
              </w:rPr>
              <w:t>工艺流程及产污环节</w:t>
            </w:r>
          </w:p>
          <w:p w14:paraId="0687531C">
            <w:pPr>
              <w:keepNext w:val="0"/>
              <w:keepLines w:val="0"/>
              <w:suppressLineNumbers w:val="0"/>
              <w:spacing w:before="0" w:beforeAutospacing="0" w:after="0" w:afterAutospacing="0"/>
              <w:ind w:left="0" w:right="0" w:firstLine="48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object>
                <v:shape id="_x0000_i1026" o:spt="75" type="#_x0000_t75" style="height:287.05pt;width:358.9pt;" o:ole="t" filled="f" o:preferrelative="t" stroked="f" coordsize="21600,21600">
                  <v:path/>
                  <v:fill on="f" focussize="0,0"/>
                  <v:stroke on="f"/>
                  <v:imagedata r:id="rId12" cropleft="18182f" croptop="9411f" cropright="19425f" cropbottom="8476f" o:title=""/>
                  <o:lock v:ext="edit" aspectratio="t"/>
                  <w10:wrap type="none"/>
                  <w10:anchorlock/>
                </v:shape>
                <o:OLEObject Type="Embed" ProgID="AutoCAD.Drawing.17" ShapeID="_x0000_i1026" DrawAspect="Content" ObjectID="_1468075726" r:id="rId11">
                  <o:LockedField>false</o:LockedField>
                </o:OLEObject>
              </w:object>
            </w:r>
          </w:p>
          <w:p w14:paraId="5829815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 xml:space="preserve">图2.2-1  </w:t>
            </w:r>
            <w:r>
              <w:rPr>
                <w:rFonts w:hint="eastAsia" w:cs="Times New Roman"/>
                <w:b/>
                <w:bCs/>
                <w:color w:val="auto"/>
                <w:lang w:val="en-US" w:eastAsia="zh-CN"/>
              </w:rPr>
              <w:t>实验室</w:t>
            </w:r>
            <w:r>
              <w:rPr>
                <w:rFonts w:hint="eastAsia" w:cs="Times New Roman"/>
                <w:b/>
                <w:color w:val="auto"/>
                <w:kern w:val="0"/>
                <w:sz w:val="24"/>
                <w:lang w:val="en-US" w:eastAsia="zh-CN"/>
              </w:rPr>
              <w:t>检测</w:t>
            </w:r>
            <w:r>
              <w:rPr>
                <w:rFonts w:hint="default" w:ascii="Times New Roman" w:hAnsi="Times New Roman" w:cs="Times New Roman"/>
                <w:b/>
                <w:bCs/>
                <w:color w:val="auto"/>
                <w:lang w:val="en-US" w:eastAsia="zh-CN"/>
              </w:rPr>
              <w:t>工艺及产污环节图</w:t>
            </w:r>
          </w:p>
          <w:p w14:paraId="62679BFC">
            <w:pPr>
              <w:keepNext w:val="0"/>
              <w:keepLines w:val="0"/>
              <w:suppressLineNumbers w:val="0"/>
              <w:adjustRightInd w:val="0"/>
              <w:snapToGrid w:val="0"/>
              <w:spacing w:before="0" w:beforeAutospacing="0" w:after="0" w:afterAutospacing="0" w:line="240" w:lineRule="auto"/>
              <w:ind w:left="0" w:right="0"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工艺流程简述：</w:t>
            </w:r>
          </w:p>
          <w:p w14:paraId="025B4C11">
            <w:pPr>
              <w:keepNext w:val="0"/>
              <w:keepLines w:val="0"/>
              <w:suppressLineNumbers w:val="0"/>
              <w:spacing w:before="0" w:beforeAutospacing="0" w:after="0" w:afterAutospacing="0"/>
              <w:ind w:left="0" w:right="0"/>
              <w:rPr>
                <w:rFonts w:hint="default" w:ascii="Times New Roman" w:hAnsi="Times New Roman" w:cs="Times New Roman"/>
                <w:color w:val="auto"/>
                <w:lang w:val="en-US"/>
              </w:rPr>
            </w:pPr>
            <w:r>
              <w:rPr>
                <w:rFonts w:hint="eastAsia" w:cs="Times New Roman"/>
                <w:color w:val="auto"/>
                <w:kern w:val="0"/>
                <w:szCs w:val="24"/>
                <w:lang w:val="en-US" w:eastAsia="zh-CN" w:bidi="ar"/>
              </w:rPr>
              <w:t>（1）细胞培养</w:t>
            </w:r>
          </w:p>
          <w:p w14:paraId="250C8F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color w:val="auto"/>
                <w:sz w:val="24"/>
                <w:lang w:eastAsia="zh-CN"/>
              </w:rPr>
            </w:pPr>
            <w:r>
              <w:rPr>
                <w:rFonts w:hint="eastAsia" w:cs="Times New Roman"/>
                <w:color w:val="auto"/>
                <w:sz w:val="24"/>
                <w:lang w:eastAsia="zh-CN"/>
              </w:rPr>
              <w:t>使用采购的</w:t>
            </w:r>
            <w:r>
              <w:rPr>
                <w:rFonts w:hint="default" w:ascii="Times New Roman" w:hAnsi="Times New Roman" w:cs="Times New Roman"/>
                <w:color w:val="auto"/>
                <w:sz w:val="24"/>
              </w:rPr>
              <w:t>氯化钠</w:t>
            </w:r>
            <w:r>
              <w:rPr>
                <w:rFonts w:hint="eastAsia" w:cs="Times New Roman"/>
                <w:color w:val="auto"/>
                <w:sz w:val="24"/>
                <w:lang w:eastAsia="zh-CN"/>
              </w:rPr>
              <w:t>、</w:t>
            </w:r>
            <w:r>
              <w:rPr>
                <w:rFonts w:hint="default" w:ascii="Times New Roman" w:hAnsi="Times New Roman" w:cs="Times New Roman"/>
                <w:color w:val="auto"/>
                <w:sz w:val="24"/>
              </w:rPr>
              <w:t>氯化钾</w:t>
            </w:r>
            <w:r>
              <w:rPr>
                <w:rFonts w:hint="eastAsia" w:cs="Times New Roman"/>
                <w:color w:val="auto"/>
                <w:sz w:val="24"/>
                <w:lang w:eastAsia="zh-CN"/>
              </w:rPr>
              <w:t>、</w:t>
            </w:r>
            <w:r>
              <w:rPr>
                <w:rFonts w:hint="default" w:ascii="Times New Roman" w:hAnsi="Times New Roman" w:cs="Times New Roman"/>
                <w:color w:val="auto"/>
                <w:sz w:val="24"/>
              </w:rPr>
              <w:t>磷酸氢二</w:t>
            </w:r>
            <w:r>
              <w:rPr>
                <w:rFonts w:hint="eastAsia" w:cs="Times New Roman"/>
                <w:color w:val="auto"/>
                <w:sz w:val="24"/>
                <w:lang w:eastAsia="zh-CN"/>
              </w:rPr>
              <w:t>、</w:t>
            </w:r>
            <w:r>
              <w:rPr>
                <w:rFonts w:hint="default" w:ascii="Times New Roman" w:hAnsi="Times New Roman" w:cs="Times New Roman"/>
                <w:color w:val="auto"/>
                <w:sz w:val="24"/>
              </w:rPr>
              <w:t>磷酸二氢钾</w:t>
            </w:r>
            <w:r>
              <w:rPr>
                <w:rFonts w:hint="eastAsia" w:cs="Times New Roman"/>
                <w:color w:val="auto"/>
                <w:sz w:val="24"/>
                <w:lang w:eastAsia="zh-CN"/>
              </w:rPr>
              <w:t>与蒸馏水在细胞房配制成1×PBS缓冲液，随后准备好采用水浴灭菌后的培养基与PBS缓冲液进行细胞培养，</w:t>
            </w:r>
            <w:r>
              <w:rPr>
                <w:rFonts w:hint="default" w:ascii="Times New Roman" w:hAnsi="Times New Roman" w:eastAsia="宋体" w:cs="Times New Roman"/>
                <w:color w:val="auto"/>
                <w:sz w:val="24"/>
                <w:szCs w:val="24"/>
                <w:lang w:val="en-US" w:eastAsia="zh-CN"/>
              </w:rPr>
              <w:t>弃去上清中的死细胞</w:t>
            </w:r>
            <w:r>
              <w:rPr>
                <w:rFonts w:hint="eastAsia" w:ascii="Times New Roman" w:hAnsi="Times New Roman" w:eastAsia="宋体" w:cs="Times New Roman"/>
                <w:color w:val="auto"/>
                <w:sz w:val="24"/>
                <w:szCs w:val="24"/>
                <w:lang w:val="en-US" w:eastAsia="zh-CN"/>
              </w:rPr>
              <w:t>及培养基废物</w:t>
            </w:r>
            <w:r>
              <w:rPr>
                <w:rFonts w:hint="default" w:ascii="Times New Roman" w:hAnsi="Times New Roman" w:cs="Times New Roman"/>
                <w:color w:val="auto"/>
                <w:sz w:val="24"/>
              </w:rPr>
              <w:t>。</w:t>
            </w:r>
            <w:r>
              <w:rPr>
                <w:rFonts w:hint="eastAsia" w:cs="Times New Roman"/>
                <w:color w:val="auto"/>
                <w:sz w:val="24"/>
                <w:lang w:eastAsia="zh-CN"/>
              </w:rPr>
              <w:t>细胞培养的目的是了解细胞培养过程中的无菌操作和细胞传代技术以及了解细胞在体外培养过程中的生长和变化。</w:t>
            </w:r>
            <w:r>
              <w:rPr>
                <w:rFonts w:hint="eastAsia" w:cs="Times New Roman"/>
                <w:color w:val="auto"/>
                <w:sz w:val="24"/>
                <w:lang w:val="en-US" w:eastAsia="zh-CN"/>
              </w:rPr>
              <w:t>该工段会产生细胞培养废物S</w:t>
            </w:r>
            <w:r>
              <w:rPr>
                <w:rFonts w:hint="eastAsia" w:ascii="Times New Roman" w:hAnsi="Times New Roman" w:cs="Times New Roman"/>
                <w:color w:val="auto"/>
                <w:sz w:val="24"/>
                <w:vertAlign w:val="baseline"/>
                <w:lang w:val="en-US" w:eastAsia="zh-CN"/>
              </w:rPr>
              <w:t>、</w:t>
            </w:r>
            <w:r>
              <w:rPr>
                <w:rFonts w:hint="eastAsia" w:cs="Times New Roman"/>
                <w:color w:val="auto"/>
                <w:sz w:val="24"/>
                <w:lang w:eastAsia="zh-CN"/>
              </w:rPr>
              <w:t>实验废水</w:t>
            </w:r>
            <w:r>
              <w:rPr>
                <w:rFonts w:hint="eastAsia" w:cs="Times New Roman"/>
                <w:color w:val="auto"/>
                <w:sz w:val="24"/>
                <w:lang w:val="en-US" w:eastAsia="zh-CN"/>
              </w:rPr>
              <w:t>W</w:t>
            </w:r>
            <w:r>
              <w:rPr>
                <w:rFonts w:hint="default" w:ascii="Times New Roman" w:hAnsi="Times New Roman" w:cs="Times New Roman"/>
                <w:color w:val="auto"/>
                <w:sz w:val="24"/>
                <w:lang w:val="en-US" w:eastAsia="zh-CN"/>
              </w:rPr>
              <w:t>和</w:t>
            </w:r>
            <w:r>
              <w:rPr>
                <w:rFonts w:hint="eastAsia" w:cs="Times New Roman"/>
                <w:color w:val="auto"/>
                <w:sz w:val="24"/>
                <w:lang w:val="en-US" w:eastAsia="zh-CN"/>
              </w:rPr>
              <w:t>实验</w:t>
            </w:r>
            <w:r>
              <w:rPr>
                <w:rFonts w:hint="default" w:ascii="Times New Roman" w:hAnsi="Times New Roman" w:cs="Times New Roman"/>
                <w:color w:val="auto"/>
                <w:sz w:val="24"/>
                <w:lang w:val="en-US" w:eastAsia="zh-CN"/>
              </w:rPr>
              <w:t>设备</w:t>
            </w:r>
            <w:r>
              <w:rPr>
                <w:rFonts w:hint="default" w:ascii="Times New Roman" w:hAnsi="Times New Roman" w:cs="Times New Roman"/>
                <w:color w:val="auto"/>
                <w:sz w:val="24"/>
              </w:rPr>
              <w:t>噪声N</w:t>
            </w:r>
            <w:r>
              <w:rPr>
                <w:rFonts w:hint="default" w:ascii="Times New Roman" w:hAnsi="Times New Roman" w:cs="Times New Roman"/>
                <w:color w:val="auto"/>
                <w:sz w:val="24"/>
                <w:lang w:eastAsia="zh-CN"/>
              </w:rPr>
              <w:t>。</w:t>
            </w:r>
          </w:p>
          <w:p w14:paraId="4A426D1E">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4"/>
                <w:lang w:bidi="ar"/>
              </w:rPr>
            </w:pPr>
            <w:r>
              <w:rPr>
                <w:rFonts w:hint="default" w:ascii="Times New Roman" w:hAnsi="Times New Roman" w:cs="Times New Roman"/>
                <w:color w:val="auto"/>
                <w:kern w:val="0"/>
                <w:szCs w:val="24"/>
                <w:lang w:bidi="ar"/>
              </w:rPr>
              <w:t>（</w:t>
            </w:r>
            <w:r>
              <w:rPr>
                <w:rFonts w:hint="eastAsia" w:cs="Times New Roman"/>
                <w:color w:val="auto"/>
                <w:kern w:val="0"/>
                <w:szCs w:val="24"/>
                <w:lang w:val="en-US" w:eastAsia="zh-CN" w:bidi="ar"/>
              </w:rPr>
              <w:t>2</w:t>
            </w:r>
            <w:r>
              <w:rPr>
                <w:rFonts w:hint="default" w:ascii="Times New Roman" w:hAnsi="Times New Roman" w:cs="Times New Roman"/>
                <w:color w:val="auto"/>
                <w:kern w:val="0"/>
                <w:szCs w:val="24"/>
                <w:lang w:bidi="ar"/>
              </w:rPr>
              <w:t>）</w:t>
            </w:r>
            <w:r>
              <w:rPr>
                <w:rFonts w:hint="eastAsia" w:cs="Times New Roman"/>
                <w:color w:val="auto"/>
                <w:kern w:val="0"/>
                <w:szCs w:val="24"/>
                <w:lang w:val="en-US" w:eastAsia="zh-CN" w:bidi="ar"/>
              </w:rPr>
              <w:t>样本采集</w:t>
            </w:r>
          </w:p>
          <w:p w14:paraId="52020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color w:val="auto"/>
                <w:sz w:val="24"/>
                <w:lang w:eastAsia="zh-CN"/>
              </w:rPr>
            </w:pPr>
            <w:r>
              <w:rPr>
                <w:rFonts w:hint="eastAsia"/>
                <w:color w:val="auto"/>
                <w:lang w:val="en-US" w:eastAsia="zh-CN"/>
              </w:rPr>
              <w:t>本项目主要以医院采集的人体组织、血液为样本</w:t>
            </w:r>
            <w:r>
              <w:rPr>
                <w:rFonts w:hint="default" w:ascii="Times New Roman" w:hAnsi="Times New Roman" w:cs="Times New Roman"/>
                <w:color w:val="auto"/>
                <w:sz w:val="24"/>
                <w:lang w:eastAsia="zh-CN"/>
              </w:rPr>
              <w:t>。</w:t>
            </w:r>
          </w:p>
          <w:p w14:paraId="5C0A6E5A">
            <w:pPr>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w:t>
            </w:r>
            <w:r>
              <w:rPr>
                <w:rFonts w:hint="eastAsia" w:cs="Times New Roman"/>
                <w:color w:val="auto"/>
                <w:lang w:val="en-US" w:eastAsia="zh-CN"/>
              </w:rPr>
              <w:t>低温保存</w:t>
            </w:r>
          </w:p>
          <w:p w14:paraId="4F077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cs="Times New Roman"/>
                <w:color w:val="auto"/>
                <w:sz w:val="24"/>
                <w:lang w:eastAsia="zh-CN"/>
              </w:rPr>
            </w:pPr>
            <w:r>
              <w:rPr>
                <w:rFonts w:hint="eastAsia" w:cs="Times New Roman"/>
                <w:color w:val="auto"/>
                <w:kern w:val="0"/>
                <w:szCs w:val="24"/>
                <w:lang w:val="en-US" w:eastAsia="zh-CN" w:bidi="ar"/>
              </w:rPr>
              <w:t>采集的样本进行登记后由传递窗送入实验室，于不同温度的冰箱进行低温保存</w:t>
            </w:r>
            <w:r>
              <w:rPr>
                <w:rFonts w:hint="default" w:ascii="Times New Roman" w:hAnsi="Times New Roman" w:cs="Times New Roman"/>
                <w:color w:val="auto"/>
                <w:sz w:val="24"/>
                <w:lang w:val="en-US" w:eastAsia="zh-CN"/>
              </w:rPr>
              <w:t>。</w:t>
            </w:r>
            <w:r>
              <w:rPr>
                <w:rFonts w:hint="eastAsia" w:cs="Times New Roman"/>
                <w:color w:val="auto"/>
                <w:sz w:val="24"/>
                <w:lang w:val="en-US" w:eastAsia="zh-CN"/>
              </w:rPr>
              <w:t>该工段会产生废样本S</w:t>
            </w:r>
            <w:r>
              <w:rPr>
                <w:rFonts w:hint="default" w:ascii="Times New Roman" w:hAnsi="Times New Roman" w:cs="Times New Roman"/>
                <w:color w:val="auto"/>
                <w:sz w:val="24"/>
                <w:lang w:eastAsia="zh-CN"/>
              </w:rPr>
              <w:t>。</w:t>
            </w:r>
          </w:p>
          <w:p w14:paraId="0919D4E2">
            <w:pPr>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t>）</w:t>
            </w:r>
            <w:r>
              <w:rPr>
                <w:rFonts w:hint="eastAsia" w:cs="Times New Roman"/>
                <w:color w:val="auto"/>
                <w:lang w:val="en-US" w:eastAsia="zh-CN"/>
              </w:rPr>
              <w:t>样本处理</w:t>
            </w:r>
          </w:p>
          <w:p w14:paraId="3EFE3D1B">
            <w:pPr>
              <w:keepNext w:val="0"/>
              <w:keepLines w:val="0"/>
              <w:suppressLineNumbers w:val="0"/>
              <w:spacing w:before="0" w:beforeAutospacing="0" w:after="0" w:afterAutospacing="0"/>
              <w:ind w:left="0" w:right="0"/>
              <w:rPr>
                <w:rFonts w:hint="default" w:ascii="Times New Roman" w:hAnsi="Times New Roman" w:cs="Times New Roman"/>
                <w:color w:val="auto"/>
                <w:sz w:val="24"/>
                <w:lang w:val="en-US" w:eastAsia="zh-CN"/>
              </w:rPr>
            </w:pPr>
            <w:r>
              <w:rPr>
                <w:rFonts w:hint="eastAsia" w:cs="Times New Roman"/>
                <w:color w:val="auto"/>
                <w:sz w:val="24"/>
                <w:lang w:val="en-US" w:eastAsia="zh-CN"/>
              </w:rPr>
              <w:t>确定实验项目，在实验开始前由工作人员根据实验项目在准备好实验所用的各类试剂、仪器，采用消化、过滤、浓缩、沉淀、离心等方法，利用试剂、仪器等提取、分类待检验的样品。目的是消除基本干扰，完整保留被测组分，并使被测组分浓缩，样本处理的目的是提高方法的准确度、精密度、选择性和灵敏度，以获得可靠的分析结果。此过程会产生废弃样品S、实验废水W、实验废气G、实验</w:t>
            </w:r>
            <w:r>
              <w:rPr>
                <w:rFonts w:hint="default" w:ascii="Times New Roman" w:hAnsi="Times New Roman" w:cs="Times New Roman"/>
                <w:color w:val="auto"/>
                <w:sz w:val="24"/>
                <w:lang w:val="en-US" w:eastAsia="zh-CN"/>
              </w:rPr>
              <w:t>设备</w:t>
            </w:r>
            <w:r>
              <w:rPr>
                <w:rFonts w:hint="default" w:ascii="Times New Roman" w:hAnsi="Times New Roman" w:cs="Times New Roman"/>
                <w:color w:val="auto"/>
                <w:sz w:val="24"/>
              </w:rPr>
              <w:t>噪声N</w:t>
            </w:r>
            <w:r>
              <w:rPr>
                <w:rFonts w:hint="default" w:ascii="Times New Roman" w:hAnsi="Times New Roman" w:cs="Times New Roman"/>
                <w:color w:val="auto"/>
                <w:sz w:val="24"/>
                <w:lang w:val="en-US" w:eastAsia="zh-CN"/>
              </w:rPr>
              <w:t>。</w:t>
            </w:r>
          </w:p>
          <w:p w14:paraId="1D468C6C">
            <w:pPr>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eastAsia" w:cs="Times New Roman"/>
                <w:color w:val="auto"/>
                <w:lang w:val="en-US" w:eastAsia="zh-CN"/>
              </w:rPr>
              <w:t>5</w:t>
            </w:r>
            <w:r>
              <w:rPr>
                <w:rFonts w:hint="default" w:ascii="Times New Roman" w:hAnsi="Times New Roman" w:cs="Times New Roman"/>
                <w:color w:val="auto"/>
              </w:rPr>
              <w:t>）</w:t>
            </w:r>
            <w:r>
              <w:rPr>
                <w:rFonts w:hint="eastAsia" w:cs="Times New Roman"/>
                <w:color w:val="auto"/>
                <w:lang w:val="en-US" w:eastAsia="zh-CN"/>
              </w:rPr>
              <w:t>样本检测</w:t>
            </w:r>
          </w:p>
          <w:p w14:paraId="1939AEC0">
            <w:pPr>
              <w:keepNext w:val="0"/>
              <w:keepLines w:val="0"/>
              <w:suppressLineNumbers w:val="0"/>
              <w:spacing w:before="0" w:beforeAutospacing="0" w:after="0" w:afterAutospacing="0"/>
              <w:ind w:left="0" w:right="0"/>
              <w:rPr>
                <w:rFonts w:hint="default" w:ascii="Times New Roman" w:hAnsi="Times New Roman" w:cs="Times New Roman"/>
                <w:color w:val="auto"/>
                <w:sz w:val="24"/>
                <w:lang w:val="en-US" w:eastAsia="zh-CN"/>
              </w:rPr>
            </w:pPr>
            <w:r>
              <w:rPr>
                <w:rFonts w:hint="eastAsia" w:cs="Times New Roman"/>
                <w:color w:val="auto"/>
                <w:sz w:val="24"/>
                <w:lang w:val="en-US" w:eastAsia="zh-CN"/>
              </w:rPr>
              <w:t>根据样本的不同，进行不同的实验。设计使用原代培养物、菌毒株以及诊断性标本等具有感染性的实验材料时，相关实验操作在生物安全柜中进行。此过程会产生废试剂等化验废物S、实验废水W、实验废气G、实验</w:t>
            </w:r>
            <w:r>
              <w:rPr>
                <w:rFonts w:hint="default" w:ascii="Times New Roman" w:hAnsi="Times New Roman" w:cs="Times New Roman"/>
                <w:color w:val="auto"/>
                <w:sz w:val="24"/>
                <w:lang w:val="en-US" w:eastAsia="zh-CN"/>
              </w:rPr>
              <w:t>设备</w:t>
            </w:r>
            <w:r>
              <w:rPr>
                <w:rFonts w:hint="default" w:ascii="Times New Roman" w:hAnsi="Times New Roman" w:cs="Times New Roman"/>
                <w:color w:val="auto"/>
                <w:sz w:val="24"/>
              </w:rPr>
              <w:t>噪声N</w:t>
            </w:r>
            <w:r>
              <w:rPr>
                <w:rFonts w:hint="default" w:ascii="Times New Roman" w:hAnsi="Times New Roman" w:cs="Times New Roman"/>
                <w:color w:val="auto"/>
                <w:sz w:val="24"/>
                <w:lang w:val="en-US" w:eastAsia="zh-CN"/>
              </w:rPr>
              <w:t>。</w:t>
            </w:r>
          </w:p>
          <w:p w14:paraId="6ACA9D58">
            <w:pPr>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eastAsia" w:cs="Times New Roman"/>
                <w:color w:val="auto"/>
                <w:lang w:val="en-US" w:eastAsia="zh-CN"/>
              </w:rPr>
              <w:t>6</w:t>
            </w:r>
            <w:r>
              <w:rPr>
                <w:rFonts w:hint="default" w:ascii="Times New Roman" w:hAnsi="Times New Roman" w:cs="Times New Roman"/>
                <w:color w:val="auto"/>
              </w:rPr>
              <w:t>）</w:t>
            </w:r>
            <w:r>
              <w:rPr>
                <w:rFonts w:hint="eastAsia" w:cs="Times New Roman"/>
                <w:color w:val="auto"/>
                <w:lang w:val="en-US" w:eastAsia="zh-CN"/>
              </w:rPr>
              <w:t>结果处理</w:t>
            </w:r>
          </w:p>
          <w:p w14:paraId="11F5A3FE">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根据实验完成的结果整理数据并打印报告，电子留档等</w:t>
            </w:r>
            <w:r>
              <w:rPr>
                <w:rFonts w:hint="default" w:ascii="Times New Roman" w:hAnsi="Times New Roman" w:eastAsia="宋体" w:cs="Times New Roman"/>
                <w:color w:val="auto"/>
                <w:kern w:val="2"/>
                <w:sz w:val="24"/>
                <w:szCs w:val="24"/>
                <w:lang w:val="en-US" w:eastAsia="zh-CN" w:bidi="ar-SA"/>
              </w:rPr>
              <w:t>。</w:t>
            </w:r>
          </w:p>
          <w:p w14:paraId="7EFC5B1E">
            <w:pPr>
              <w:keepNext w:val="0"/>
              <w:keepLines w:val="0"/>
              <w:suppressLineNumbers w:val="0"/>
              <w:spacing w:before="0" w:beforeAutospacing="0" w:after="0" w:afterAutospacing="0"/>
              <w:ind w:left="0" w:right="0"/>
              <w:rPr>
                <w:rFonts w:hint="default" w:ascii="Times New Roman" w:hAnsi="Times New Roman" w:eastAsia="宋体" w:cs="Times New Roman"/>
                <w:color w:val="auto"/>
                <w:lang w:eastAsia="zh-CN"/>
              </w:rPr>
            </w:pPr>
            <w:r>
              <w:rPr>
                <w:rFonts w:hint="default" w:ascii="Times New Roman" w:hAnsi="Times New Roman" w:cs="Times New Roman"/>
                <w:color w:val="auto"/>
              </w:rPr>
              <w:t>（</w:t>
            </w:r>
            <w:r>
              <w:rPr>
                <w:rFonts w:hint="eastAsia" w:cs="Times New Roman"/>
                <w:color w:val="auto"/>
                <w:lang w:val="en-US" w:eastAsia="zh-CN"/>
              </w:rPr>
              <w:t>7</w:t>
            </w:r>
            <w:r>
              <w:rPr>
                <w:rFonts w:hint="default" w:ascii="Times New Roman" w:hAnsi="Times New Roman" w:cs="Times New Roman"/>
                <w:color w:val="auto"/>
              </w:rPr>
              <w:t>）</w:t>
            </w:r>
            <w:r>
              <w:rPr>
                <w:rFonts w:hint="eastAsia" w:cs="Times New Roman"/>
                <w:color w:val="auto"/>
                <w:lang w:val="en-US" w:eastAsia="zh-CN"/>
              </w:rPr>
              <w:t>实验结束</w:t>
            </w:r>
          </w:p>
          <w:p w14:paraId="73CF24D0">
            <w:pPr>
              <w:pStyle w:val="10"/>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left="0" w:right="0" w:rightChars="0" w:firstLine="480" w:firstLineChars="200"/>
              <w:textAlignment w:val="auto"/>
              <w:rPr>
                <w:rFonts w:hint="default" w:ascii="Times New Roman" w:hAnsi="Times New Roman" w:cs="Times New Roman"/>
                <w:color w:val="auto"/>
                <w:sz w:val="24"/>
                <w:lang w:val="en-US" w:eastAsia="zh-CN"/>
              </w:rPr>
            </w:pPr>
            <w:r>
              <w:rPr>
                <w:rFonts w:hint="eastAsia" w:cs="Times New Roman"/>
                <w:color w:val="auto"/>
                <w:sz w:val="24"/>
                <w:lang w:val="en-US" w:eastAsia="zh-CN"/>
              </w:rPr>
              <w:t>针对多余新鲜样品及废弃样品S，本项目采用高压蒸汽灭菌法处理，可杀灭活体细胞，灭活效果较好。已检活的样本按照性质进行分装，由医院统一收集后交由有资质的医疗废物处理单位处理，并填写废弃物交接记录</w:t>
            </w:r>
            <w:r>
              <w:rPr>
                <w:rFonts w:hint="default" w:ascii="Times New Roman" w:hAnsi="Times New Roman" w:cs="Times New Roman"/>
                <w:color w:val="auto"/>
                <w:sz w:val="24"/>
                <w:lang w:val="en-US" w:eastAsia="zh-CN"/>
              </w:rPr>
              <w:t>。</w:t>
            </w:r>
          </w:p>
        </w:tc>
      </w:tr>
      <w:tr w14:paraId="498B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dxa"/>
            <w:vAlign w:val="center"/>
          </w:tcPr>
          <w:p w14:paraId="53F84EC3">
            <w:pPr>
              <w:keepNext w:val="0"/>
              <w:keepLines w:val="0"/>
              <w:suppressLineNumbers w:val="0"/>
              <w:spacing w:before="156" w:beforeAutospacing="0" w:after="0" w:afterAutospacing="0"/>
              <w:ind w:left="0" w:right="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与项目有关的原有环境污染问题</w:t>
            </w:r>
          </w:p>
        </w:tc>
        <w:tc>
          <w:tcPr>
            <w:tcW w:w="8583" w:type="dxa"/>
          </w:tcPr>
          <w:p w14:paraId="7BC69C11">
            <w:pPr>
              <w:keepNext w:val="0"/>
              <w:keepLines w:val="0"/>
              <w:suppressLineNumbers w:val="0"/>
              <w:spacing w:before="0" w:beforeAutospacing="0" w:after="0" w:afterAutospacing="0" w:line="360" w:lineRule="auto"/>
              <w:ind w:left="0" w:right="0" w:firstLine="482" w:firstLineChars="200"/>
              <w:jc w:val="left"/>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w:t>
            </w:r>
            <w:r>
              <w:rPr>
                <w:rFonts w:hint="eastAsia" w:ascii="Times New Roman" w:hAnsi="Times New Roman" w:eastAsia="宋体" w:cs="Times New Roman"/>
                <w:b/>
                <w:bCs/>
                <w:color w:val="auto"/>
                <w:szCs w:val="21"/>
                <w:highlight w:val="none"/>
                <w:lang w:val="en-US" w:eastAsia="zh-CN"/>
              </w:rPr>
              <w:t>院</w:t>
            </w:r>
            <w:r>
              <w:rPr>
                <w:rFonts w:hint="default" w:ascii="Times New Roman" w:hAnsi="Times New Roman" w:eastAsia="宋体" w:cs="Times New Roman"/>
                <w:b/>
                <w:bCs/>
                <w:color w:val="auto"/>
                <w:szCs w:val="21"/>
                <w:highlight w:val="none"/>
              </w:rPr>
              <w:t>区现有项目</w:t>
            </w:r>
            <w:r>
              <w:rPr>
                <w:rFonts w:hint="eastAsia" w:cs="Times New Roman"/>
                <w:b/>
                <w:bCs/>
                <w:color w:val="auto"/>
                <w:szCs w:val="21"/>
                <w:highlight w:val="none"/>
                <w:lang w:eastAsia="zh-CN"/>
              </w:rPr>
              <w:t>环保手续</w:t>
            </w:r>
            <w:r>
              <w:rPr>
                <w:rFonts w:hint="default" w:ascii="Times New Roman" w:hAnsi="Times New Roman" w:eastAsia="宋体" w:cs="Times New Roman"/>
                <w:b/>
                <w:bCs/>
                <w:color w:val="auto"/>
                <w:szCs w:val="21"/>
                <w:highlight w:val="none"/>
              </w:rPr>
              <w:t>执行情况</w:t>
            </w:r>
          </w:p>
          <w:p w14:paraId="55E86C66">
            <w:pPr>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涟水县人民医院建于1950年，该院现有职工人数800余人，其中卫技人员596人。院内建筑面积54567平方米。医院门诊部设有29个临床诊室，9个医技科室，21个专科诊室，年诊疗40万人次。</w:t>
            </w:r>
          </w:p>
          <w:p w14:paraId="77E2494E">
            <w:pPr>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涟水县人民医院于2010年委托编制了《涟水县人民医院异地新建项目环境影响报告书》，2010年7月1日取得涟水县环境保护局《关于对涟水县人民医院异地新建项目环境影响报告书的批复》（涟环发〔2010〕50号）。原涟水县环境保护局于2015年12月2日组织召开环保“三同时”竣工验收会并出具验收意见（详见附件）。</w:t>
            </w:r>
          </w:p>
          <w:p w14:paraId="57FB3876">
            <w:pPr>
              <w:keepNext w:val="0"/>
              <w:keepLines w:val="0"/>
              <w:suppressLineNumbers w:val="0"/>
              <w:spacing w:before="0" w:beforeAutospacing="0" w:after="0" w:afterAutospacing="0"/>
              <w:ind w:left="0" w:right="0"/>
              <w:rPr>
                <w:rFonts w:hint="eastAsia"/>
                <w:color w:val="auto"/>
              </w:rPr>
            </w:pPr>
            <w:r>
              <w:rPr>
                <w:rFonts w:hint="eastAsia"/>
                <w:color w:val="auto"/>
                <w:lang w:val="en-US" w:eastAsia="zh-CN"/>
              </w:rPr>
              <w:t>《涟水县人民医院感染楼改建项目环境影响报告表》及《涟水县人民医院急诊楼改造项目环境影响报告表》于2020年11月19日取得淮安市生态环境局批复（批复文号分别为：淮（涟）环表复〔2020〕94号、淮（涟）环表复〔2020〕95号）），感染楼与急诊楼改造项目于2022年5月8日通过环保三同时竣工验收</w:t>
            </w:r>
            <w:r>
              <w:rPr>
                <w:rFonts w:hint="eastAsia"/>
                <w:color w:val="auto"/>
              </w:rPr>
              <w:t>。</w:t>
            </w:r>
          </w:p>
          <w:p w14:paraId="2A949D31">
            <w:pPr>
              <w:keepNext w:val="0"/>
              <w:keepLines w:val="0"/>
              <w:suppressLineNumbers w:val="0"/>
              <w:spacing w:before="0" w:beforeAutospacing="0" w:after="0" w:afterAutospacing="0"/>
              <w:ind w:left="0" w:right="0"/>
              <w:rPr>
                <w:rFonts w:hint="eastAsia"/>
                <w:color w:val="auto"/>
              </w:rPr>
            </w:pPr>
            <w:r>
              <w:rPr>
                <w:rFonts w:hint="eastAsia"/>
                <w:color w:val="auto"/>
                <w:lang w:val="en-US" w:eastAsia="zh-CN"/>
              </w:rPr>
              <w:t>《涟水县人民医院门诊住院一体化感染楼建设项目环境影响报告表》于2024年1月16日取得淮安市生态环境局批复（淮（涟）环表复〔2024〕1号），该项目尚未进行竣工环保验收（目前正在组织验收过程中）</w:t>
            </w:r>
            <w:r>
              <w:rPr>
                <w:rFonts w:hint="eastAsia"/>
                <w:color w:val="auto"/>
              </w:rPr>
              <w:t>。</w:t>
            </w:r>
          </w:p>
          <w:p w14:paraId="5BB14B22">
            <w:pPr>
              <w:pStyle w:val="10"/>
              <w:keepNext w:val="0"/>
              <w:keepLines w:val="0"/>
              <w:suppressLineNumbers w:val="0"/>
              <w:spacing w:beforeAutospacing="0" w:afterAutospacing="0"/>
              <w:ind w:left="0" w:firstLine="480"/>
              <w:rPr>
                <w:rFonts w:hint="eastAsia"/>
                <w:color w:val="auto"/>
                <w:sz w:val="24"/>
                <w:szCs w:val="24"/>
                <w:lang w:val="en-US" w:eastAsia="zh-CN"/>
              </w:rPr>
            </w:pPr>
            <w:r>
              <w:rPr>
                <w:rFonts w:hint="eastAsia"/>
                <w:color w:val="auto"/>
                <w:sz w:val="24"/>
                <w:szCs w:val="24"/>
                <w:lang w:val="en-US" w:eastAsia="zh-CN"/>
              </w:rPr>
              <w:t>涟水县人民医院已取得排污许可证（排污许可证证书编号：hb320800500000021K001V）。</w:t>
            </w:r>
          </w:p>
          <w:p w14:paraId="7F7FDF63">
            <w:pPr>
              <w:keepNext w:val="0"/>
              <w:keepLines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Cs w:val="21"/>
                <w:highlight w:val="none"/>
              </w:rPr>
              <w:t>表2</w:t>
            </w:r>
            <w:r>
              <w:rPr>
                <w:rFonts w:hint="eastAsia" w:cs="Times New Roman"/>
                <w:b/>
                <w:color w:val="auto"/>
                <w:szCs w:val="21"/>
                <w:highlight w:val="none"/>
                <w:lang w:val="en-US" w:eastAsia="zh-CN"/>
              </w:rPr>
              <w:t xml:space="preserve">.2-1 </w:t>
            </w:r>
            <w:r>
              <w:rPr>
                <w:rFonts w:hint="default" w:ascii="Times New Roman" w:hAnsi="Times New Roman" w:eastAsia="宋体" w:cs="Times New Roman"/>
                <w:b/>
                <w:color w:val="auto"/>
                <w:szCs w:val="21"/>
                <w:highlight w:val="none"/>
              </w:rPr>
              <w:t>现有项目环评及环保验收情况一览表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2"/>
              <w:gridCol w:w="2076"/>
              <w:gridCol w:w="1672"/>
              <w:gridCol w:w="808"/>
              <w:gridCol w:w="3399"/>
            </w:tblGrid>
            <w:tr w14:paraId="59229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246" w:type="pct"/>
                  <w:tcBorders>
                    <w:tl2br w:val="nil"/>
                    <w:tr2bl w:val="nil"/>
                  </w:tcBorders>
                  <w:vAlign w:val="center"/>
                </w:tcPr>
                <w:p w14:paraId="705A72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序号</w:t>
                  </w:r>
                </w:p>
              </w:tc>
              <w:tc>
                <w:tcPr>
                  <w:tcW w:w="1240" w:type="pct"/>
                  <w:tcBorders>
                    <w:tl2br w:val="nil"/>
                    <w:tr2bl w:val="nil"/>
                  </w:tcBorders>
                  <w:vAlign w:val="center"/>
                </w:tcPr>
                <w:p w14:paraId="6B31A3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项目名称</w:t>
                  </w:r>
                </w:p>
              </w:tc>
              <w:tc>
                <w:tcPr>
                  <w:tcW w:w="999" w:type="pct"/>
                  <w:tcBorders>
                    <w:tl2br w:val="nil"/>
                    <w:tr2bl w:val="nil"/>
                  </w:tcBorders>
                  <w:vAlign w:val="center"/>
                </w:tcPr>
                <w:p w14:paraId="284C73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环评批复情况</w:t>
                  </w:r>
                </w:p>
              </w:tc>
              <w:tc>
                <w:tcPr>
                  <w:tcW w:w="482" w:type="pct"/>
                  <w:tcBorders>
                    <w:tl2br w:val="nil"/>
                    <w:tr2bl w:val="nil"/>
                  </w:tcBorders>
                  <w:vAlign w:val="center"/>
                </w:tcPr>
                <w:p w14:paraId="7AF536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建设情况</w:t>
                  </w:r>
                </w:p>
              </w:tc>
              <w:tc>
                <w:tcPr>
                  <w:tcW w:w="2031" w:type="pct"/>
                  <w:tcBorders>
                    <w:tl2br w:val="nil"/>
                    <w:tr2bl w:val="nil"/>
                  </w:tcBorders>
                  <w:vAlign w:val="center"/>
                </w:tcPr>
                <w:p w14:paraId="2E330C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验收情况</w:t>
                  </w:r>
                </w:p>
              </w:tc>
            </w:tr>
            <w:tr w14:paraId="44CA9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6" w:type="pct"/>
                  <w:tcBorders>
                    <w:tl2br w:val="nil"/>
                    <w:tr2bl w:val="nil"/>
                  </w:tcBorders>
                  <w:vAlign w:val="center"/>
                </w:tcPr>
                <w:p w14:paraId="5E68E2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1240" w:type="pct"/>
                  <w:tcBorders>
                    <w:tl2br w:val="nil"/>
                    <w:tr2bl w:val="nil"/>
                  </w:tcBorders>
                  <w:vAlign w:val="center"/>
                </w:tcPr>
                <w:p w14:paraId="1EFE99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涟水县人民医院异地新建项目环境影响报告书</w:t>
                  </w:r>
                </w:p>
              </w:tc>
              <w:tc>
                <w:tcPr>
                  <w:tcW w:w="999" w:type="pct"/>
                  <w:tcBorders>
                    <w:tl2br w:val="nil"/>
                    <w:tr2bl w:val="nil"/>
                  </w:tcBorders>
                  <w:vAlign w:val="center"/>
                </w:tcPr>
                <w:p w14:paraId="2B1C94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w:t>
                  </w:r>
                  <w:r>
                    <w:rPr>
                      <w:rFonts w:hint="eastAsia" w:ascii="Times New Roman" w:hAnsi="Times New Roman" w:eastAsia="宋体" w:cs="Times New Roman"/>
                      <w:color w:val="auto"/>
                      <w:sz w:val="18"/>
                      <w:szCs w:val="18"/>
                      <w:highlight w:val="none"/>
                      <w:lang w:val="en-US" w:eastAsia="zh-CN"/>
                    </w:rPr>
                    <w:t>010.7.1</w:t>
                  </w:r>
                </w:p>
                <w:p w14:paraId="1E6920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涟环发</w:t>
                  </w:r>
                  <w:r>
                    <w:rPr>
                      <w:rFonts w:hint="eastAsia" w:cs="Times New Roman"/>
                      <w:color w:val="auto"/>
                      <w:sz w:val="18"/>
                      <w:szCs w:val="18"/>
                      <w:highlight w:val="none"/>
                      <w:lang w:val="en-US" w:eastAsia="zh-CN"/>
                    </w:rPr>
                    <w:t>〔2010〕50号</w:t>
                  </w:r>
                </w:p>
              </w:tc>
              <w:tc>
                <w:tcPr>
                  <w:tcW w:w="482" w:type="pct"/>
                  <w:tcBorders>
                    <w:tl2br w:val="nil"/>
                    <w:tr2bl w:val="nil"/>
                  </w:tcBorders>
                  <w:vAlign w:val="center"/>
                </w:tcPr>
                <w:p w14:paraId="052453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已建</w:t>
                  </w:r>
                </w:p>
              </w:tc>
              <w:tc>
                <w:tcPr>
                  <w:tcW w:w="2031" w:type="pct"/>
                  <w:tcBorders>
                    <w:tl2br w:val="nil"/>
                    <w:tr2bl w:val="nil"/>
                  </w:tcBorders>
                  <w:vAlign w:val="center"/>
                </w:tcPr>
                <w:p w14:paraId="1139A8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201</w:t>
                  </w:r>
                  <w:r>
                    <w:rPr>
                      <w:rFonts w:hint="eastAsia"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年</w:t>
                  </w:r>
                  <w:r>
                    <w:rPr>
                      <w:rFonts w:hint="eastAsia" w:ascii="Times New Roman" w:hAnsi="Times New Roman" w:eastAsia="宋体" w:cs="Times New Roman"/>
                      <w:color w:val="auto"/>
                      <w:sz w:val="18"/>
                      <w:szCs w:val="18"/>
                      <w:highlight w:val="none"/>
                      <w:lang w:val="en-US" w:eastAsia="zh-CN"/>
                    </w:rPr>
                    <w:t>11</w:t>
                  </w:r>
                  <w:r>
                    <w:rPr>
                      <w:rFonts w:hint="default" w:ascii="Times New Roman" w:hAnsi="Times New Roman" w:eastAsia="宋体" w:cs="Times New Roman"/>
                      <w:color w:val="auto"/>
                      <w:sz w:val="18"/>
                      <w:szCs w:val="18"/>
                      <w:highlight w:val="none"/>
                    </w:rPr>
                    <w:t>月根据委托南京科泓环保有限责任公司编制涟水县人民医院异地新建项目变动环境影响分析。原涟水县环境保护局于2015年12月2日组织召开环保“三同时”竣工验收会。</w:t>
                  </w:r>
                </w:p>
              </w:tc>
            </w:tr>
            <w:tr w14:paraId="78C22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6" w:type="pct"/>
                  <w:tcBorders>
                    <w:tl2br w:val="nil"/>
                    <w:tr2bl w:val="nil"/>
                  </w:tcBorders>
                  <w:vAlign w:val="center"/>
                </w:tcPr>
                <w:p w14:paraId="7BA3A1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1240" w:type="pct"/>
                  <w:tcBorders>
                    <w:tl2br w:val="nil"/>
                    <w:tr2bl w:val="nil"/>
                  </w:tcBorders>
                  <w:vAlign w:val="center"/>
                </w:tcPr>
                <w:p w14:paraId="189363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eastAsia="zh-CN"/>
                    </w:rPr>
                    <w:t>感染楼</w:t>
                  </w:r>
                  <w:r>
                    <w:rPr>
                      <w:rFonts w:hint="eastAsia" w:ascii="Times New Roman" w:hAnsi="Times New Roman" w:eastAsia="宋体" w:cs="Times New Roman"/>
                      <w:color w:val="auto"/>
                      <w:sz w:val="18"/>
                      <w:szCs w:val="18"/>
                      <w:highlight w:val="none"/>
                      <w:lang w:val="en-US" w:eastAsia="zh-CN"/>
                    </w:rPr>
                    <w:t>改</w:t>
                  </w:r>
                  <w:r>
                    <w:rPr>
                      <w:rFonts w:hint="eastAsia" w:ascii="Times New Roman" w:hAnsi="Times New Roman" w:eastAsia="宋体" w:cs="Times New Roman"/>
                      <w:color w:val="auto"/>
                      <w:sz w:val="18"/>
                      <w:szCs w:val="18"/>
                      <w:highlight w:val="none"/>
                      <w:lang w:eastAsia="zh-CN"/>
                    </w:rPr>
                    <w:t>建项目</w:t>
                  </w:r>
                </w:p>
              </w:tc>
              <w:tc>
                <w:tcPr>
                  <w:tcW w:w="999" w:type="pct"/>
                  <w:tcBorders>
                    <w:tl2br w:val="nil"/>
                    <w:tr2bl w:val="nil"/>
                  </w:tcBorders>
                  <w:vAlign w:val="center"/>
                </w:tcPr>
                <w:p w14:paraId="02DCAF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2020.11.19</w:t>
                  </w:r>
                </w:p>
                <w:p w14:paraId="759E5C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淮（涟）环表复</w:t>
                  </w:r>
                  <w:r>
                    <w:rPr>
                      <w:rFonts w:hint="eastAsia" w:cs="Times New Roman"/>
                      <w:color w:val="auto"/>
                      <w:sz w:val="18"/>
                      <w:szCs w:val="18"/>
                      <w:highlight w:val="none"/>
                      <w:lang w:eastAsia="zh-CN"/>
                    </w:rPr>
                    <w:t>〔2020〕94号</w:t>
                  </w:r>
                  <w:r>
                    <w:rPr>
                      <w:rFonts w:hint="default" w:ascii="Times New Roman" w:hAnsi="Times New Roman" w:eastAsia="宋体" w:cs="Times New Roman"/>
                      <w:color w:val="auto"/>
                      <w:sz w:val="18"/>
                      <w:szCs w:val="18"/>
                      <w:highlight w:val="none"/>
                    </w:rPr>
                    <w:t>）</w:t>
                  </w:r>
                </w:p>
              </w:tc>
              <w:tc>
                <w:tcPr>
                  <w:tcW w:w="482" w:type="pct"/>
                  <w:tcBorders>
                    <w:tl2br w:val="nil"/>
                    <w:tr2bl w:val="nil"/>
                  </w:tcBorders>
                  <w:vAlign w:val="center"/>
                </w:tcPr>
                <w:p w14:paraId="18AA4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已建</w:t>
                  </w:r>
                </w:p>
              </w:tc>
              <w:tc>
                <w:tcPr>
                  <w:tcW w:w="2031" w:type="pct"/>
                  <w:tcBorders>
                    <w:tl2br w:val="nil"/>
                    <w:tr2bl w:val="nil"/>
                  </w:tcBorders>
                  <w:vAlign w:val="center"/>
                </w:tcPr>
                <w:p w14:paraId="10518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2022年5月8日</w:t>
                  </w:r>
                  <w:r>
                    <w:rPr>
                      <w:rFonts w:hint="default" w:ascii="Times New Roman" w:hAnsi="Times New Roman" w:eastAsia="宋体" w:cs="Times New Roman"/>
                      <w:color w:val="auto"/>
                      <w:sz w:val="18"/>
                      <w:szCs w:val="18"/>
                      <w:highlight w:val="none"/>
                    </w:rPr>
                    <w:t>通过</w:t>
                  </w:r>
                  <w:r>
                    <w:rPr>
                      <w:rFonts w:hint="eastAsia" w:ascii="Times New Roman" w:hAnsi="Times New Roman" w:eastAsia="宋体" w:cs="Times New Roman"/>
                      <w:color w:val="auto"/>
                      <w:sz w:val="18"/>
                      <w:szCs w:val="18"/>
                      <w:highlight w:val="none"/>
                      <w:lang w:val="en-US" w:eastAsia="zh-CN"/>
                    </w:rPr>
                    <w:t>环保三同时</w:t>
                  </w:r>
                  <w:r>
                    <w:rPr>
                      <w:rFonts w:hint="default" w:ascii="Times New Roman" w:hAnsi="Times New Roman" w:eastAsia="宋体" w:cs="Times New Roman"/>
                      <w:color w:val="auto"/>
                      <w:sz w:val="18"/>
                      <w:szCs w:val="18"/>
                      <w:highlight w:val="none"/>
                    </w:rPr>
                    <w:t>竣工验收</w:t>
                  </w:r>
                </w:p>
              </w:tc>
            </w:tr>
            <w:tr w14:paraId="19606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6" w:type="pct"/>
                  <w:tcBorders>
                    <w:tl2br w:val="nil"/>
                    <w:tr2bl w:val="nil"/>
                  </w:tcBorders>
                  <w:vAlign w:val="center"/>
                </w:tcPr>
                <w:p w14:paraId="471391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1240" w:type="pct"/>
                  <w:tcBorders>
                    <w:tl2br w:val="nil"/>
                    <w:tr2bl w:val="nil"/>
                  </w:tcBorders>
                  <w:vAlign w:val="center"/>
                </w:tcPr>
                <w:p w14:paraId="3D1FEB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急诊楼改造项目</w:t>
                  </w:r>
                </w:p>
              </w:tc>
              <w:tc>
                <w:tcPr>
                  <w:tcW w:w="999" w:type="pct"/>
                  <w:tcBorders>
                    <w:tl2br w:val="nil"/>
                    <w:tr2bl w:val="nil"/>
                  </w:tcBorders>
                  <w:vAlign w:val="center"/>
                </w:tcPr>
                <w:p w14:paraId="3F0B6A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2020.11.19</w:t>
                  </w:r>
                </w:p>
                <w:p w14:paraId="431933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淮（涟）环表复</w:t>
                  </w:r>
                  <w:r>
                    <w:rPr>
                      <w:rFonts w:hint="eastAsia" w:cs="Times New Roman"/>
                      <w:color w:val="auto"/>
                      <w:sz w:val="18"/>
                      <w:szCs w:val="18"/>
                      <w:highlight w:val="none"/>
                      <w:lang w:eastAsia="zh-CN"/>
                    </w:rPr>
                    <w:t>〔2020〕95号</w:t>
                  </w:r>
                  <w:r>
                    <w:rPr>
                      <w:rFonts w:hint="default" w:ascii="Times New Roman" w:hAnsi="Times New Roman" w:eastAsia="宋体" w:cs="Times New Roman"/>
                      <w:color w:val="auto"/>
                      <w:sz w:val="18"/>
                      <w:szCs w:val="18"/>
                      <w:highlight w:val="none"/>
                    </w:rPr>
                    <w:t>）</w:t>
                  </w:r>
                </w:p>
              </w:tc>
              <w:tc>
                <w:tcPr>
                  <w:tcW w:w="482" w:type="pct"/>
                  <w:tcBorders>
                    <w:tl2br w:val="nil"/>
                    <w:tr2bl w:val="nil"/>
                  </w:tcBorders>
                  <w:vAlign w:val="center"/>
                </w:tcPr>
                <w:p w14:paraId="751A3E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已建</w:t>
                  </w:r>
                </w:p>
              </w:tc>
              <w:tc>
                <w:tcPr>
                  <w:tcW w:w="2031" w:type="pct"/>
                  <w:tcBorders>
                    <w:tl2br w:val="nil"/>
                    <w:tr2bl w:val="nil"/>
                  </w:tcBorders>
                  <w:vAlign w:val="center"/>
                </w:tcPr>
                <w:p w14:paraId="13629D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2022年5月8日</w:t>
                  </w:r>
                  <w:r>
                    <w:rPr>
                      <w:rFonts w:hint="default" w:ascii="Times New Roman" w:hAnsi="Times New Roman" w:eastAsia="宋体" w:cs="Times New Roman"/>
                      <w:color w:val="auto"/>
                      <w:sz w:val="18"/>
                      <w:szCs w:val="18"/>
                      <w:highlight w:val="none"/>
                    </w:rPr>
                    <w:t>通过</w:t>
                  </w:r>
                  <w:r>
                    <w:rPr>
                      <w:rFonts w:hint="eastAsia" w:ascii="Times New Roman" w:hAnsi="Times New Roman" w:eastAsia="宋体" w:cs="Times New Roman"/>
                      <w:color w:val="auto"/>
                      <w:sz w:val="18"/>
                      <w:szCs w:val="18"/>
                      <w:highlight w:val="none"/>
                      <w:lang w:val="en-US" w:eastAsia="zh-CN"/>
                    </w:rPr>
                    <w:t>环保三同时</w:t>
                  </w:r>
                  <w:r>
                    <w:rPr>
                      <w:rFonts w:hint="default" w:ascii="Times New Roman" w:hAnsi="Times New Roman" w:eastAsia="宋体" w:cs="Times New Roman"/>
                      <w:color w:val="auto"/>
                      <w:sz w:val="18"/>
                      <w:szCs w:val="18"/>
                      <w:highlight w:val="none"/>
                    </w:rPr>
                    <w:t>竣工验收</w:t>
                  </w:r>
                </w:p>
              </w:tc>
            </w:tr>
            <w:tr w14:paraId="71266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6" w:type="pct"/>
                  <w:tcBorders>
                    <w:tl2br w:val="nil"/>
                    <w:tr2bl w:val="nil"/>
                  </w:tcBorders>
                  <w:vAlign w:val="center"/>
                </w:tcPr>
                <w:p w14:paraId="23479A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w:t>
                  </w:r>
                </w:p>
              </w:tc>
              <w:tc>
                <w:tcPr>
                  <w:tcW w:w="1240" w:type="pct"/>
                  <w:tcBorders>
                    <w:tl2br w:val="nil"/>
                    <w:tr2bl w:val="nil"/>
                  </w:tcBorders>
                  <w:vAlign w:val="center"/>
                </w:tcPr>
                <w:p w14:paraId="15AA8E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涟水县人民医院门诊住院一体化感染楼建设项目</w:t>
                  </w:r>
                </w:p>
              </w:tc>
              <w:tc>
                <w:tcPr>
                  <w:tcW w:w="999" w:type="pct"/>
                  <w:tcBorders>
                    <w:tl2br w:val="nil"/>
                    <w:tr2bl w:val="nil"/>
                  </w:tcBorders>
                  <w:vAlign w:val="center"/>
                </w:tcPr>
                <w:p w14:paraId="5A8CC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淮（涟）环表复</w:t>
                  </w:r>
                  <w:r>
                    <w:rPr>
                      <w:rFonts w:hint="eastAsia" w:cs="Times New Roman"/>
                      <w:color w:val="auto"/>
                      <w:sz w:val="18"/>
                      <w:szCs w:val="18"/>
                      <w:highlight w:val="none"/>
                      <w:lang w:val="en-US" w:eastAsia="zh-CN"/>
                    </w:rPr>
                    <w:t>〔2024〕1号</w:t>
                  </w:r>
                </w:p>
              </w:tc>
              <w:tc>
                <w:tcPr>
                  <w:tcW w:w="482" w:type="pct"/>
                  <w:tcBorders>
                    <w:tl2br w:val="nil"/>
                    <w:tr2bl w:val="nil"/>
                  </w:tcBorders>
                  <w:vAlign w:val="center"/>
                </w:tcPr>
                <w:p w14:paraId="19966B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已建</w:t>
                  </w:r>
                </w:p>
              </w:tc>
              <w:tc>
                <w:tcPr>
                  <w:tcW w:w="2031" w:type="pct"/>
                  <w:tcBorders>
                    <w:tl2br w:val="nil"/>
                    <w:tr2bl w:val="nil"/>
                  </w:tcBorders>
                  <w:vAlign w:val="center"/>
                </w:tcPr>
                <w:p w14:paraId="1D5785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暂未验收</w:t>
                  </w:r>
                </w:p>
              </w:tc>
            </w:tr>
          </w:tbl>
          <w:p w14:paraId="1189B401">
            <w:pPr>
              <w:keepNext w:val="0"/>
              <w:keepLines w:val="0"/>
              <w:numPr>
                <w:ilvl w:val="0"/>
                <w:numId w:val="6"/>
              </w:numPr>
              <w:suppressLineNumbers w:val="0"/>
              <w:tabs>
                <w:tab w:val="left" w:pos="3105"/>
              </w:tabs>
              <w:spacing w:before="0" w:beforeAutospacing="0" w:after="0" w:afterAutospacing="0" w:line="360" w:lineRule="auto"/>
              <w:ind w:left="0" w:right="0" w:firstLine="482"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现有项目基本情况</w:t>
            </w:r>
          </w:p>
          <w:p w14:paraId="054763A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（1）现有项目公用及辅助工程</w:t>
            </w:r>
          </w:p>
          <w:p w14:paraId="66A55CCE">
            <w:pPr>
              <w:keepNext w:val="0"/>
              <w:keepLines w:val="0"/>
              <w:suppressLineNumbers w:val="0"/>
              <w:adjustRightInd w:val="0"/>
              <w:snapToGrid w:val="0"/>
              <w:spacing w:before="0" w:beforeAutospacing="0" w:after="0" w:afterAutospacing="0" w:line="240" w:lineRule="auto"/>
              <w:ind w:left="0" w:right="0" w:firstLine="482" w:firstLineChars="20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szCs w:val="21"/>
                <w:highlight w:val="none"/>
              </w:rPr>
              <w:t>表</w:t>
            </w:r>
            <w:r>
              <w:rPr>
                <w:rFonts w:hint="eastAsia" w:cs="Times New Roman"/>
                <w:b/>
                <w:color w:val="auto"/>
                <w:szCs w:val="21"/>
                <w:highlight w:val="none"/>
                <w:lang w:val="en-US" w:eastAsia="zh-CN"/>
              </w:rPr>
              <w:t>2.2-2 医院</w:t>
            </w:r>
            <w:r>
              <w:rPr>
                <w:rFonts w:hint="default" w:ascii="Times New Roman" w:hAnsi="Times New Roman" w:eastAsia="宋体" w:cs="Times New Roman"/>
                <w:b/>
                <w:color w:val="auto"/>
                <w:szCs w:val="21"/>
                <w:highlight w:val="none"/>
              </w:rPr>
              <w:t>现有公辅工程</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900"/>
              <w:gridCol w:w="1042"/>
              <w:gridCol w:w="1312"/>
              <w:gridCol w:w="5110"/>
            </w:tblGrid>
            <w:tr w14:paraId="6F03109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3742441E">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0" w:firstLineChars="0"/>
                    <w:contextualSpacing/>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序号</w:t>
                  </w:r>
                </w:p>
              </w:tc>
              <w:tc>
                <w:tcPr>
                  <w:tcW w:w="622" w:type="pct"/>
                  <w:noWrap w:val="0"/>
                  <w:vAlign w:val="center"/>
                </w:tcPr>
                <w:p w14:paraId="51CD6793">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contextualSpacing/>
                    <w:jc w:val="center"/>
                    <w:textAlignment w:val="auto"/>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工程名称</w:t>
                  </w:r>
                </w:p>
              </w:tc>
              <w:tc>
                <w:tcPr>
                  <w:tcW w:w="784" w:type="pct"/>
                  <w:noWrap w:val="0"/>
                  <w:vAlign w:val="center"/>
                </w:tcPr>
                <w:p w14:paraId="3708B9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建设内容</w:t>
                  </w:r>
                </w:p>
              </w:tc>
              <w:tc>
                <w:tcPr>
                  <w:tcW w:w="3054" w:type="pct"/>
                  <w:noWrap w:val="0"/>
                  <w:vAlign w:val="center"/>
                </w:tcPr>
                <w:p w14:paraId="3C202D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改</w:t>
                  </w:r>
                  <w:r>
                    <w:rPr>
                      <w:rFonts w:hint="default" w:ascii="Times New Roman" w:hAnsi="Times New Roman" w:eastAsia="宋体" w:cs="Times New Roman"/>
                      <w:b/>
                      <w:bCs/>
                      <w:color w:val="auto"/>
                      <w:sz w:val="18"/>
                      <w:szCs w:val="18"/>
                      <w:lang w:val="en-US" w:eastAsia="zh-CN"/>
                    </w:rPr>
                    <w:t>造</w:t>
                  </w:r>
                  <w:r>
                    <w:rPr>
                      <w:rFonts w:hint="default" w:ascii="Times New Roman" w:hAnsi="Times New Roman" w:eastAsia="宋体" w:cs="Times New Roman"/>
                      <w:b/>
                      <w:bCs/>
                      <w:color w:val="auto"/>
                      <w:sz w:val="18"/>
                      <w:szCs w:val="18"/>
                    </w:rPr>
                    <w:t>后工程规模</w:t>
                  </w:r>
                </w:p>
              </w:tc>
            </w:tr>
            <w:tr w14:paraId="0CCD27FB">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34CFC0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w:t>
                  </w:r>
                </w:p>
              </w:tc>
              <w:tc>
                <w:tcPr>
                  <w:tcW w:w="622" w:type="pct"/>
                  <w:vMerge w:val="restart"/>
                  <w:noWrap w:val="0"/>
                  <w:vAlign w:val="center"/>
                </w:tcPr>
                <w:p w14:paraId="5C999C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主体工程</w:t>
                  </w:r>
                </w:p>
              </w:tc>
              <w:tc>
                <w:tcPr>
                  <w:tcW w:w="784" w:type="pct"/>
                  <w:noWrap w:val="0"/>
                  <w:vAlign w:val="center"/>
                </w:tcPr>
                <w:p w14:paraId="64E9BB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西门诊楼</w:t>
                  </w:r>
                </w:p>
              </w:tc>
              <w:tc>
                <w:tcPr>
                  <w:tcW w:w="3054" w:type="pct"/>
                  <w:noWrap w:val="0"/>
                  <w:vAlign w:val="center"/>
                </w:tcPr>
                <w:p w14:paraId="511D1D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层：南侧为急诊入口，进入急诊楼后东侧为挂号、收费及取药大厅，西侧为保卫处、厕所、机房等；中间为急诊大厅、急诊输液区、急诊内科、急诊儿科、急诊外科、急诊产科、清创室、石膏室、DR室、CT室；北侧为抢救室、治疗室、洗胃室、隔离室、处置室、ICU、护士站、仪器室、隔离室、DSA+手术室、库房、办公室、谈话间、耗材库、消毒室、资料室、仪器室、卫生间、更衣室等。</w:t>
                  </w:r>
                </w:p>
                <w:p w14:paraId="2F8430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lang w:val="en-US"/>
                    </w:rPr>
                  </w:pPr>
                  <w:r>
                    <w:rPr>
                      <w:rFonts w:hint="default" w:ascii="Times New Roman" w:hAnsi="Times New Roman" w:eastAsia="宋体" w:cs="Times New Roman"/>
                      <w:color w:val="auto"/>
                      <w:sz w:val="18"/>
                      <w:szCs w:val="18"/>
                    </w:rPr>
                    <w:t>二层：二层主要为留观病房、治疗室、盥洗室、处置室、护士站、医生办公室、会议室、库房、值班室、卫生间等。</w:t>
                  </w:r>
                </w:p>
              </w:tc>
            </w:tr>
            <w:tr w14:paraId="60E2DCB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631" w:hRule="atLeast"/>
                <w:jc w:val="center"/>
              </w:trPr>
              <w:tc>
                <w:tcPr>
                  <w:tcW w:w="538" w:type="pct"/>
                  <w:noWrap w:val="0"/>
                  <w:vAlign w:val="center"/>
                </w:tcPr>
                <w:p w14:paraId="2710F2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2</w:t>
                  </w:r>
                </w:p>
              </w:tc>
              <w:tc>
                <w:tcPr>
                  <w:tcW w:w="622" w:type="pct"/>
                  <w:vMerge w:val="continue"/>
                  <w:noWrap w:val="0"/>
                  <w:vAlign w:val="center"/>
                </w:tcPr>
                <w:p w14:paraId="035237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1DCB1E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东门诊楼</w:t>
                  </w:r>
                </w:p>
              </w:tc>
              <w:tc>
                <w:tcPr>
                  <w:tcW w:w="3054" w:type="pct"/>
                  <w:noWrap w:val="0"/>
                  <w:vAlign w:val="center"/>
                </w:tcPr>
                <w:p w14:paraId="78E7FB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共5层，一层为门诊大厅、儿科、影像中心。设两个门诊入口和一个影像中心入口，病人共设3个独立电梯入口，分别设</w:t>
                  </w:r>
                  <w:r>
                    <w:rPr>
                      <w:rFonts w:hint="eastAsia" w:cs="Times New Roman"/>
                      <w:b w:val="0"/>
                      <w:bCs w:val="0"/>
                      <w:color w:val="auto"/>
                      <w:sz w:val="18"/>
                      <w:szCs w:val="18"/>
                      <w:lang w:eastAsia="zh-CN"/>
                    </w:rPr>
                    <w:t>于</w:t>
                  </w:r>
                  <w:r>
                    <w:rPr>
                      <w:rFonts w:hint="default" w:ascii="Times New Roman" w:hAnsi="Times New Roman" w:eastAsia="宋体" w:cs="Times New Roman"/>
                      <w:b w:val="0"/>
                      <w:bCs w:val="0"/>
                      <w:color w:val="auto"/>
                      <w:sz w:val="18"/>
                      <w:szCs w:val="18"/>
                    </w:rPr>
                    <w:t>建筑的南侧和东侧，医护人员的出入口设于建筑西侧，有一个独立的门厅和楼电梯</w:t>
                  </w:r>
                </w:p>
              </w:tc>
            </w:tr>
            <w:tr w14:paraId="0CAC9199">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44CA3F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3</w:t>
                  </w:r>
                </w:p>
              </w:tc>
              <w:tc>
                <w:tcPr>
                  <w:tcW w:w="622" w:type="pct"/>
                  <w:vMerge w:val="continue"/>
                  <w:noWrap w:val="0"/>
                  <w:vAlign w:val="center"/>
                </w:tcPr>
                <w:p w14:paraId="3323C7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0C5852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住院大楼</w:t>
                  </w:r>
                </w:p>
              </w:tc>
              <w:tc>
                <w:tcPr>
                  <w:tcW w:w="3054" w:type="pct"/>
                  <w:noWrap w:val="0"/>
                  <w:vAlign w:val="center"/>
                </w:tcPr>
                <w:p w14:paraId="6EE691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住院大楼共21层，一层为住院处、中心药房、中心供应室、放疗中心、餐厅、超市等，设有一个独立的住院入口，病人共计12个独立电梯出入口，分别设</w:t>
                  </w:r>
                  <w:r>
                    <w:rPr>
                      <w:rFonts w:hint="eastAsia" w:cs="Times New Roman"/>
                      <w:b w:val="0"/>
                      <w:bCs w:val="0"/>
                      <w:color w:val="auto"/>
                      <w:sz w:val="18"/>
                      <w:szCs w:val="18"/>
                      <w:lang w:eastAsia="zh-CN"/>
                    </w:rPr>
                    <w:t>于</w:t>
                  </w:r>
                  <w:r>
                    <w:rPr>
                      <w:rFonts w:hint="default" w:ascii="Times New Roman" w:hAnsi="Times New Roman" w:eastAsia="宋体" w:cs="Times New Roman"/>
                      <w:b w:val="0"/>
                      <w:bCs w:val="0"/>
                      <w:color w:val="auto"/>
                      <w:sz w:val="18"/>
                      <w:szCs w:val="18"/>
                    </w:rPr>
                    <w:t>建筑的东侧，医护人员的出入口设于建筑北侧和西侧，有一个独立的门厅和楼电梯</w:t>
                  </w:r>
                </w:p>
              </w:tc>
            </w:tr>
            <w:tr w14:paraId="4430DED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4F49AB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4</w:t>
                  </w:r>
                </w:p>
              </w:tc>
              <w:tc>
                <w:tcPr>
                  <w:tcW w:w="622" w:type="pct"/>
                  <w:vMerge w:val="continue"/>
                  <w:noWrap w:val="0"/>
                  <w:vAlign w:val="center"/>
                </w:tcPr>
                <w:p w14:paraId="4CA972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1A0EC5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eastAsia" w:ascii="Times New Roman" w:hAnsi="Times New Roman" w:eastAsia="宋体" w:cs="Times New Roman"/>
                      <w:b w:val="0"/>
                      <w:bCs w:val="0"/>
                      <w:color w:val="auto"/>
                      <w:sz w:val="18"/>
                      <w:szCs w:val="18"/>
                      <w:lang w:eastAsia="zh-CN"/>
                    </w:rPr>
                    <w:t>（</w:t>
                  </w:r>
                  <w:r>
                    <w:rPr>
                      <w:rFonts w:hint="eastAsia" w:ascii="Times New Roman" w:hAnsi="Times New Roman" w:eastAsia="宋体" w:cs="Times New Roman"/>
                      <w:b w:val="0"/>
                      <w:bCs w:val="0"/>
                      <w:color w:val="auto"/>
                      <w:sz w:val="18"/>
                      <w:szCs w:val="18"/>
                      <w:lang w:val="en-US" w:eastAsia="zh-CN"/>
                    </w:rPr>
                    <w:t>原</w:t>
                  </w:r>
                  <w:r>
                    <w:rPr>
                      <w:rFonts w:hint="eastAsia" w:ascii="Times New Roman" w:hAnsi="Times New Roman" w:eastAsia="宋体" w:cs="Times New Roman"/>
                      <w:b w:val="0"/>
                      <w:bCs w:val="0"/>
                      <w:color w:val="auto"/>
                      <w:sz w:val="18"/>
                      <w:szCs w:val="18"/>
                      <w:lang w:eastAsia="zh-CN"/>
                    </w:rPr>
                    <w:t>）</w:t>
                  </w:r>
                  <w:r>
                    <w:rPr>
                      <w:rFonts w:hint="default" w:ascii="Times New Roman" w:hAnsi="Times New Roman" w:eastAsia="宋体" w:cs="Times New Roman"/>
                      <w:b w:val="0"/>
                      <w:bCs w:val="0"/>
                      <w:color w:val="auto"/>
                      <w:sz w:val="18"/>
                      <w:szCs w:val="18"/>
                    </w:rPr>
                    <w:t>感染楼</w:t>
                  </w:r>
                </w:p>
              </w:tc>
              <w:tc>
                <w:tcPr>
                  <w:tcW w:w="3054" w:type="pct"/>
                  <w:noWrap w:val="0"/>
                  <w:vAlign w:val="center"/>
                </w:tcPr>
                <w:p w14:paraId="5C70DA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一层南侧分为呼吸道就诊大厅和非呼吸道就诊大厅，两者中间为收费区、药房及医剂区就诊通道，中部为检验室、CT、控制室、B超等，北侧为观察室，医护人员用房，二层主要为双床间病房、三床间病房等，三层主要为负压病房及三床病房等</w:t>
                  </w:r>
                </w:p>
              </w:tc>
            </w:tr>
            <w:tr w14:paraId="2D8C386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433C0E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5</w:t>
                  </w:r>
                </w:p>
              </w:tc>
              <w:tc>
                <w:tcPr>
                  <w:tcW w:w="622" w:type="pct"/>
                  <w:vMerge w:val="restart"/>
                  <w:noWrap w:val="0"/>
                  <w:vAlign w:val="center"/>
                </w:tcPr>
                <w:p w14:paraId="5E1803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辅助工程</w:t>
                  </w:r>
                </w:p>
              </w:tc>
              <w:tc>
                <w:tcPr>
                  <w:tcW w:w="784" w:type="pct"/>
                  <w:noWrap w:val="0"/>
                  <w:vAlign w:val="center"/>
                </w:tcPr>
                <w:p w14:paraId="3F92DD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设备房、库房、水泵房等</w:t>
                  </w:r>
                </w:p>
              </w:tc>
              <w:tc>
                <w:tcPr>
                  <w:tcW w:w="3054" w:type="pct"/>
                  <w:noWrap w:val="0"/>
                  <w:vAlign w:val="center"/>
                </w:tcPr>
                <w:p w14:paraId="4535AA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位于住院楼负一层，总建筑面积为4617平方米</w:t>
                  </w:r>
                </w:p>
              </w:tc>
            </w:tr>
            <w:tr w14:paraId="21CDBF2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4FA493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6</w:t>
                  </w:r>
                </w:p>
              </w:tc>
              <w:tc>
                <w:tcPr>
                  <w:tcW w:w="622" w:type="pct"/>
                  <w:vMerge w:val="continue"/>
                  <w:noWrap w:val="0"/>
                  <w:vAlign w:val="center"/>
                </w:tcPr>
                <w:p w14:paraId="7C1478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2551C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停车区</w:t>
                  </w:r>
                </w:p>
              </w:tc>
              <w:tc>
                <w:tcPr>
                  <w:tcW w:w="3054" w:type="pct"/>
                  <w:noWrap w:val="0"/>
                  <w:vAlign w:val="center"/>
                </w:tcPr>
                <w:p w14:paraId="4BD1A6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位于医院进口处，约为503个</w:t>
                  </w:r>
                </w:p>
              </w:tc>
            </w:tr>
            <w:tr w14:paraId="664EF6D7">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0D590B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7</w:t>
                  </w:r>
                </w:p>
              </w:tc>
              <w:tc>
                <w:tcPr>
                  <w:tcW w:w="622" w:type="pct"/>
                  <w:vMerge w:val="restart"/>
                  <w:noWrap w:val="0"/>
                  <w:vAlign w:val="center"/>
                </w:tcPr>
                <w:p w14:paraId="3200A4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公用工程</w:t>
                  </w:r>
                </w:p>
              </w:tc>
              <w:tc>
                <w:tcPr>
                  <w:tcW w:w="784" w:type="pct"/>
                  <w:noWrap w:val="0"/>
                  <w:vAlign w:val="center"/>
                </w:tcPr>
                <w:p w14:paraId="4E416B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供水</w:t>
                  </w:r>
                </w:p>
              </w:tc>
              <w:tc>
                <w:tcPr>
                  <w:tcW w:w="3054" w:type="pct"/>
                  <w:noWrap w:val="0"/>
                  <w:vAlign w:val="center"/>
                </w:tcPr>
                <w:p w14:paraId="07BA48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由涟水县供水管网提供</w:t>
                  </w:r>
                </w:p>
              </w:tc>
            </w:tr>
            <w:tr w14:paraId="75B80D07">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2FCEA9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8</w:t>
                  </w:r>
                </w:p>
              </w:tc>
              <w:tc>
                <w:tcPr>
                  <w:tcW w:w="622" w:type="pct"/>
                  <w:vMerge w:val="continue"/>
                  <w:noWrap w:val="0"/>
                  <w:vAlign w:val="center"/>
                </w:tcPr>
                <w:p w14:paraId="0D4DD8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11E70E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供电</w:t>
                  </w:r>
                </w:p>
              </w:tc>
              <w:tc>
                <w:tcPr>
                  <w:tcW w:w="3054" w:type="pct"/>
                  <w:noWrap w:val="0"/>
                  <w:vAlign w:val="center"/>
                </w:tcPr>
                <w:p w14:paraId="283268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涟水县供电管网</w:t>
                  </w:r>
                </w:p>
              </w:tc>
            </w:tr>
            <w:tr w14:paraId="15FCBC5C">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1B3F7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9</w:t>
                  </w:r>
                </w:p>
              </w:tc>
              <w:tc>
                <w:tcPr>
                  <w:tcW w:w="622" w:type="pct"/>
                  <w:vMerge w:val="continue"/>
                  <w:noWrap w:val="0"/>
                  <w:vAlign w:val="center"/>
                </w:tcPr>
                <w:p w14:paraId="11B693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271A5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供热</w:t>
                  </w:r>
                </w:p>
              </w:tc>
              <w:tc>
                <w:tcPr>
                  <w:tcW w:w="3054" w:type="pct"/>
                  <w:noWrap w:val="0"/>
                  <w:vAlign w:val="center"/>
                </w:tcPr>
                <w:p w14:paraId="3980D8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eastAsia"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1台2t/h天然气蒸汽锅炉</w:t>
                  </w:r>
                  <w:r>
                    <w:rPr>
                      <w:rFonts w:hint="eastAsia" w:cs="Times New Roman"/>
                      <w:b w:val="0"/>
                      <w:bCs w:val="0"/>
                      <w:color w:val="auto"/>
                      <w:sz w:val="18"/>
                      <w:szCs w:val="18"/>
                      <w:lang w:eastAsia="zh-CN"/>
                    </w:rPr>
                    <w:t>（</w:t>
                  </w:r>
                  <w:r>
                    <w:rPr>
                      <w:rFonts w:hint="eastAsia" w:cs="Times New Roman"/>
                      <w:b w:val="0"/>
                      <w:bCs w:val="0"/>
                      <w:color w:val="auto"/>
                      <w:sz w:val="18"/>
                      <w:szCs w:val="18"/>
                      <w:lang w:val="en-US" w:eastAsia="zh-CN"/>
                    </w:rPr>
                    <w:t>用于门诊楼及住院楼供热</w:t>
                  </w:r>
                  <w:r>
                    <w:rPr>
                      <w:rFonts w:hint="eastAsia" w:cs="Times New Roman"/>
                      <w:b w:val="0"/>
                      <w:bCs w:val="0"/>
                      <w:color w:val="auto"/>
                      <w:sz w:val="18"/>
                      <w:szCs w:val="18"/>
                      <w:lang w:eastAsia="zh-CN"/>
                    </w:rPr>
                    <w:t>）</w:t>
                  </w:r>
                </w:p>
              </w:tc>
            </w:tr>
            <w:tr w14:paraId="6269265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470128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10</w:t>
                  </w:r>
                </w:p>
              </w:tc>
              <w:tc>
                <w:tcPr>
                  <w:tcW w:w="622" w:type="pct"/>
                  <w:vMerge w:val="continue"/>
                  <w:noWrap w:val="0"/>
                  <w:vAlign w:val="center"/>
                </w:tcPr>
                <w:p w14:paraId="66C475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525CB8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排水</w:t>
                  </w:r>
                </w:p>
              </w:tc>
              <w:tc>
                <w:tcPr>
                  <w:tcW w:w="3054" w:type="pct"/>
                  <w:noWrap w:val="0"/>
                  <w:vAlign w:val="center"/>
                </w:tcPr>
                <w:p w14:paraId="23D6B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采取雨污分流。雨水排入雨水管网；</w:t>
                  </w:r>
                  <w:r>
                    <w:rPr>
                      <w:rFonts w:hint="default" w:ascii="Times New Roman" w:hAnsi="Times New Roman" w:eastAsia="宋体" w:cs="Times New Roman"/>
                      <w:color w:val="auto"/>
                      <w:sz w:val="18"/>
                      <w:szCs w:val="18"/>
                    </w:rPr>
                    <w:t>生活污水经化粪池处理，食堂废水经隔油池处理，医疗废水经院区污水站处理后与生活污水及食堂废水一并通过污水管网接入</w:t>
                  </w:r>
                  <w:r>
                    <w:rPr>
                      <w:rFonts w:hint="eastAsia" w:cs="Times New Roman"/>
                      <w:color w:val="auto"/>
                      <w:sz w:val="18"/>
                      <w:szCs w:val="18"/>
                      <w:lang w:eastAsia="zh-CN"/>
                    </w:rPr>
                    <w:t>涟水县污水处理厂</w:t>
                  </w:r>
                  <w:r>
                    <w:rPr>
                      <w:rFonts w:hint="default" w:ascii="Times New Roman" w:hAnsi="Times New Roman" w:eastAsia="宋体" w:cs="Times New Roman"/>
                      <w:color w:val="auto"/>
                      <w:sz w:val="18"/>
                      <w:szCs w:val="18"/>
                    </w:rPr>
                    <w:t>处理</w:t>
                  </w:r>
                </w:p>
              </w:tc>
            </w:tr>
            <w:tr w14:paraId="5736210E">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2D9396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11</w:t>
                  </w:r>
                </w:p>
              </w:tc>
              <w:tc>
                <w:tcPr>
                  <w:tcW w:w="622" w:type="pct"/>
                  <w:vMerge w:val="restart"/>
                  <w:noWrap w:val="0"/>
                  <w:vAlign w:val="center"/>
                </w:tcPr>
                <w:p w14:paraId="514D4A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环保工程</w:t>
                  </w:r>
                </w:p>
              </w:tc>
              <w:tc>
                <w:tcPr>
                  <w:tcW w:w="784" w:type="pct"/>
                  <w:noWrap w:val="0"/>
                  <w:vAlign w:val="center"/>
                </w:tcPr>
                <w:p w14:paraId="139D4F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废气处理</w:t>
                  </w:r>
                </w:p>
              </w:tc>
              <w:tc>
                <w:tcPr>
                  <w:tcW w:w="3054" w:type="pct"/>
                  <w:noWrap w:val="0"/>
                  <w:vAlign w:val="center"/>
                </w:tcPr>
                <w:p w14:paraId="78E43A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食堂油烟：经油烟净化器处理后通过屋顶排放口排放</w:t>
                  </w:r>
                  <w:r>
                    <w:rPr>
                      <w:rFonts w:hint="default" w:ascii="Times New Roman" w:hAnsi="Times New Roman" w:eastAsia="宋体" w:cs="Times New Roman"/>
                      <w:b w:val="0"/>
                      <w:bCs w:val="0"/>
                      <w:color w:val="auto"/>
                      <w:sz w:val="18"/>
                      <w:szCs w:val="18"/>
                      <w:lang w:eastAsia="zh-CN"/>
                    </w:rPr>
                    <w:t>；</w:t>
                  </w:r>
                  <w:r>
                    <w:rPr>
                      <w:rFonts w:hint="eastAsia" w:cs="Times New Roman"/>
                      <w:b w:val="0"/>
                      <w:bCs w:val="0"/>
                      <w:color w:val="auto"/>
                      <w:sz w:val="18"/>
                      <w:szCs w:val="18"/>
                      <w:lang w:eastAsia="zh-CN"/>
                    </w:rPr>
                    <w:t>天然气</w:t>
                  </w:r>
                  <w:r>
                    <w:rPr>
                      <w:rFonts w:hint="default" w:ascii="Times New Roman" w:hAnsi="Times New Roman" w:eastAsia="宋体" w:cs="Times New Roman"/>
                      <w:b w:val="0"/>
                      <w:bCs w:val="0"/>
                      <w:color w:val="auto"/>
                      <w:sz w:val="18"/>
                      <w:szCs w:val="18"/>
                      <w:lang w:val="en-US" w:eastAsia="zh-CN"/>
                    </w:rPr>
                    <w:t>锅炉房</w:t>
                  </w:r>
                  <w:r>
                    <w:rPr>
                      <w:rFonts w:hint="eastAsia" w:cs="Times New Roman"/>
                      <w:b w:val="0"/>
                      <w:bCs w:val="0"/>
                      <w:color w:val="auto"/>
                      <w:sz w:val="18"/>
                      <w:szCs w:val="18"/>
                      <w:lang w:val="en-US" w:eastAsia="zh-CN"/>
                    </w:rPr>
                    <w:t>天然气燃烧废气经</w:t>
                  </w:r>
                  <w:r>
                    <w:rPr>
                      <w:rFonts w:hint="default" w:ascii="Times New Roman" w:hAnsi="Times New Roman" w:eastAsia="宋体" w:cs="Times New Roman"/>
                      <w:b w:val="0"/>
                      <w:bCs w:val="0"/>
                      <w:color w:val="auto"/>
                      <w:sz w:val="18"/>
                      <w:szCs w:val="18"/>
                      <w:lang w:val="en-US" w:eastAsia="zh-CN"/>
                    </w:rPr>
                    <w:t>1</w:t>
                  </w:r>
                  <w:r>
                    <w:rPr>
                      <w:rFonts w:hint="eastAsia" w:cs="Times New Roman"/>
                      <w:b w:val="0"/>
                      <w:bCs w:val="0"/>
                      <w:color w:val="auto"/>
                      <w:sz w:val="18"/>
                      <w:szCs w:val="18"/>
                      <w:lang w:val="en-US" w:eastAsia="zh-CN"/>
                    </w:rPr>
                    <w:t>根</w:t>
                  </w:r>
                  <w:r>
                    <w:rPr>
                      <w:rFonts w:hint="default" w:ascii="Times New Roman" w:hAnsi="Times New Roman" w:eastAsia="宋体" w:cs="Times New Roman"/>
                      <w:b w:val="0"/>
                      <w:bCs w:val="0"/>
                      <w:color w:val="auto"/>
                      <w:sz w:val="18"/>
                      <w:szCs w:val="18"/>
                      <w:lang w:val="en-US" w:eastAsia="zh-CN"/>
                    </w:rPr>
                    <w:t>8米高排气筒排放</w:t>
                  </w:r>
                </w:p>
                <w:p w14:paraId="3AF3D1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lang w:val="en-US" w:eastAsia="zh-CN"/>
                    </w:rPr>
                    <w:t>污水处理站废气：活性炭吸附除臭系统处理后经6米高的排气筒排放</w:t>
                  </w:r>
                  <w:r>
                    <w:rPr>
                      <w:rFonts w:hint="default" w:ascii="Times New Roman" w:hAnsi="Times New Roman" w:eastAsia="宋体" w:cs="Times New Roman"/>
                      <w:b w:val="0"/>
                      <w:bCs w:val="0"/>
                      <w:color w:val="auto"/>
                      <w:sz w:val="18"/>
                      <w:szCs w:val="18"/>
                    </w:rPr>
                    <w:t>。</w:t>
                  </w:r>
                </w:p>
              </w:tc>
            </w:tr>
            <w:tr w14:paraId="5EEC71EF">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3AF9F4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12</w:t>
                  </w:r>
                </w:p>
              </w:tc>
              <w:tc>
                <w:tcPr>
                  <w:tcW w:w="622" w:type="pct"/>
                  <w:vMerge w:val="continue"/>
                  <w:noWrap w:val="0"/>
                  <w:vAlign w:val="center"/>
                </w:tcPr>
                <w:p w14:paraId="512AF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2CF063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废水处理</w:t>
                  </w:r>
                </w:p>
              </w:tc>
              <w:tc>
                <w:tcPr>
                  <w:tcW w:w="3054" w:type="pct"/>
                  <w:noWrap w:val="0"/>
                  <w:vAlign w:val="center"/>
                </w:tcPr>
                <w:p w14:paraId="641737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color w:val="auto"/>
                      <w:sz w:val="18"/>
                      <w:szCs w:val="18"/>
                    </w:rPr>
                    <w:t>现有</w:t>
                  </w:r>
                  <w:r>
                    <w:rPr>
                      <w:rFonts w:hint="eastAsia" w:cs="Times New Roman"/>
                      <w:color w:val="auto"/>
                      <w:sz w:val="18"/>
                      <w:szCs w:val="18"/>
                      <w:lang w:val="en-US" w:eastAsia="zh-CN"/>
                    </w:rPr>
                    <w:t>感染废水预处理系统（二氧化氯发生器，80m</w:t>
                  </w:r>
                  <w:r>
                    <w:rPr>
                      <w:rFonts w:hint="eastAsia" w:cs="Times New Roman"/>
                      <w:color w:val="auto"/>
                      <w:sz w:val="18"/>
                      <w:szCs w:val="18"/>
                      <w:vertAlign w:val="superscript"/>
                      <w:lang w:val="en-US" w:eastAsia="zh-CN"/>
                    </w:rPr>
                    <w:t>3</w:t>
                  </w:r>
                  <w:r>
                    <w:rPr>
                      <w:rFonts w:hint="eastAsia" w:cs="Times New Roman"/>
                      <w:color w:val="auto"/>
                      <w:sz w:val="18"/>
                      <w:szCs w:val="18"/>
                      <w:lang w:val="en-US" w:eastAsia="zh-CN"/>
                    </w:rPr>
                    <w:t>/d）、</w:t>
                  </w:r>
                  <w:r>
                    <w:rPr>
                      <w:rFonts w:hint="default" w:ascii="Times New Roman" w:hAnsi="Times New Roman" w:eastAsia="宋体" w:cs="Times New Roman"/>
                      <w:color w:val="auto"/>
                      <w:sz w:val="18"/>
                      <w:szCs w:val="18"/>
                    </w:rPr>
                    <w:t>污水处理系统</w:t>
                  </w:r>
                  <w:r>
                    <w:rPr>
                      <w:rFonts w:hint="eastAsia" w:cs="Times New Roman"/>
                      <w:color w:val="auto"/>
                      <w:sz w:val="18"/>
                      <w:szCs w:val="18"/>
                      <w:lang w:val="en-US" w:eastAsia="zh-CN"/>
                    </w:rPr>
                    <w:t>，</w:t>
                  </w:r>
                  <w:r>
                    <w:rPr>
                      <w:rFonts w:hint="default" w:ascii="Times New Roman" w:hAnsi="Times New Roman" w:eastAsia="宋体" w:cs="Times New Roman"/>
                      <w:color w:val="auto"/>
                      <w:sz w:val="18"/>
                      <w:szCs w:val="18"/>
                    </w:rPr>
                    <w:t>污水站处理规模800t/a，采用“格栅/污水提升池+调节池+接触氧化池+二级沉淀池+二氧化氯消毒”处理工艺</w:t>
                  </w:r>
                </w:p>
              </w:tc>
            </w:tr>
            <w:tr w14:paraId="039E7E3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035F6D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13</w:t>
                  </w:r>
                </w:p>
              </w:tc>
              <w:tc>
                <w:tcPr>
                  <w:tcW w:w="622" w:type="pct"/>
                  <w:vMerge w:val="continue"/>
                  <w:noWrap w:val="0"/>
                  <w:vAlign w:val="center"/>
                </w:tcPr>
                <w:p w14:paraId="2C02CB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5C9705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噪声处理</w:t>
                  </w:r>
                </w:p>
              </w:tc>
              <w:tc>
                <w:tcPr>
                  <w:tcW w:w="3054" w:type="pct"/>
                  <w:noWrap w:val="0"/>
                  <w:vAlign w:val="center"/>
                </w:tcPr>
                <w:p w14:paraId="3860AA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减震垫、隔声罩等</w:t>
                  </w:r>
                </w:p>
              </w:tc>
            </w:tr>
            <w:tr w14:paraId="056B2384">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7212A7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14</w:t>
                  </w:r>
                </w:p>
              </w:tc>
              <w:tc>
                <w:tcPr>
                  <w:tcW w:w="622" w:type="pct"/>
                  <w:vMerge w:val="continue"/>
                  <w:noWrap w:val="0"/>
                  <w:vAlign w:val="center"/>
                </w:tcPr>
                <w:p w14:paraId="1C214E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15892E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固废处理</w:t>
                  </w:r>
                </w:p>
              </w:tc>
              <w:tc>
                <w:tcPr>
                  <w:tcW w:w="3054" w:type="pct"/>
                  <w:noWrap w:val="0"/>
                  <w:vAlign w:val="center"/>
                </w:tcPr>
                <w:p w14:paraId="626013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color w:val="auto"/>
                      <w:sz w:val="18"/>
                      <w:szCs w:val="18"/>
                    </w:rPr>
                    <w:t>医疗废物间（</w:t>
                  </w:r>
                  <w:r>
                    <w:rPr>
                      <w:rFonts w:hint="default" w:ascii="Times New Roman" w:hAnsi="Times New Roman" w:eastAsia="宋体" w:cs="Times New Roman"/>
                      <w:color w:val="auto"/>
                      <w:sz w:val="18"/>
                      <w:szCs w:val="18"/>
                      <w:lang w:val="en-US" w:eastAsia="zh-CN"/>
                    </w:rPr>
                    <w:t>35</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）、一般固废暂存间</w:t>
                  </w:r>
                </w:p>
              </w:tc>
            </w:tr>
            <w:tr w14:paraId="12359E50">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538" w:type="pct"/>
                  <w:noWrap w:val="0"/>
                  <w:vAlign w:val="center"/>
                </w:tcPr>
                <w:p w14:paraId="5A96FF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15</w:t>
                  </w:r>
                </w:p>
              </w:tc>
              <w:tc>
                <w:tcPr>
                  <w:tcW w:w="622" w:type="pct"/>
                  <w:vMerge w:val="continue"/>
                  <w:noWrap w:val="0"/>
                  <w:vAlign w:val="center"/>
                </w:tcPr>
                <w:p w14:paraId="040EA1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p>
              </w:tc>
              <w:tc>
                <w:tcPr>
                  <w:tcW w:w="784" w:type="pct"/>
                  <w:noWrap w:val="0"/>
                  <w:vAlign w:val="center"/>
                </w:tcPr>
                <w:p w14:paraId="3E61DB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绿化</w:t>
                  </w:r>
                </w:p>
              </w:tc>
              <w:tc>
                <w:tcPr>
                  <w:tcW w:w="3054" w:type="pct"/>
                  <w:noWrap w:val="0"/>
                  <w:vAlign w:val="center"/>
                </w:tcPr>
                <w:p w14:paraId="19797E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绿化面积43000平方米</w:t>
                  </w:r>
                </w:p>
              </w:tc>
            </w:tr>
          </w:tbl>
          <w:p w14:paraId="7D0B76B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医院</w:t>
            </w:r>
            <w:r>
              <w:rPr>
                <w:rFonts w:hint="default" w:ascii="Times New Roman" w:hAnsi="Times New Roman" w:eastAsia="宋体" w:cs="Times New Roman"/>
                <w:color w:val="auto"/>
                <w:highlight w:val="none"/>
              </w:rPr>
              <w:t>现有工艺流程及流程说明如下：</w:t>
            </w:r>
          </w:p>
          <w:p w14:paraId="3C478C32">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color w:val="auto"/>
              </w:rPr>
            </w:pPr>
            <w:r>
              <w:rPr>
                <w:rFonts w:hint="eastAsia"/>
                <w:color w:val="auto"/>
              </w:rPr>
              <w:drawing>
                <wp:inline distT="0" distB="0" distL="114300" distR="114300">
                  <wp:extent cx="4817745" cy="4625340"/>
                  <wp:effectExtent l="0" t="0" r="1905" b="3810"/>
                  <wp:docPr id="1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
                          <pic:cNvPicPr>
                            <a:picLocks noChangeAspect="1"/>
                          </pic:cNvPicPr>
                        </pic:nvPicPr>
                        <pic:blipFill>
                          <a:blip r:embed="rId13"/>
                          <a:stretch>
                            <a:fillRect/>
                          </a:stretch>
                        </pic:blipFill>
                        <pic:spPr>
                          <a:xfrm>
                            <a:off x="0" y="0"/>
                            <a:ext cx="4817745" cy="4625340"/>
                          </a:xfrm>
                          <a:prstGeom prst="rect">
                            <a:avLst/>
                          </a:prstGeom>
                          <a:noFill/>
                          <a:ln>
                            <a:noFill/>
                          </a:ln>
                        </pic:spPr>
                      </pic:pic>
                    </a:graphicData>
                  </a:graphic>
                </wp:inline>
              </w:drawing>
            </w:r>
          </w:p>
          <w:p w14:paraId="053E8F8F">
            <w:pPr>
              <w:pStyle w:val="2"/>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cs="Times New Roman" w:eastAsiaTheme="minorEastAsia"/>
                <w:b/>
                <w:color w:val="auto"/>
                <w:sz w:val="24"/>
                <w:szCs w:val="24"/>
              </w:rPr>
              <w:t>图2.</w:t>
            </w:r>
            <w:r>
              <w:rPr>
                <w:rFonts w:hint="eastAsia" w:ascii="Times New Roman" w:hAnsi="Times New Roman" w:cs="Times New Roman" w:eastAsiaTheme="minorEastAsia"/>
                <w:b/>
                <w:color w:val="auto"/>
                <w:sz w:val="24"/>
                <w:szCs w:val="24"/>
                <w:lang w:val="en-US" w:eastAsia="zh-CN"/>
              </w:rPr>
              <w:t>3</w:t>
            </w:r>
            <w:r>
              <w:rPr>
                <w:rFonts w:hint="default" w:ascii="Times New Roman" w:hAnsi="Times New Roman" w:cs="Times New Roman" w:eastAsiaTheme="minorEastAsia"/>
                <w:b/>
                <w:color w:val="auto"/>
                <w:sz w:val="24"/>
                <w:szCs w:val="24"/>
              </w:rPr>
              <w:t xml:space="preserve">-1  </w:t>
            </w:r>
            <w:r>
              <w:rPr>
                <w:rFonts w:hint="default" w:ascii="Times New Roman" w:hAnsi="Times New Roman" w:cs="Times New Roman" w:eastAsiaTheme="minorEastAsia"/>
                <w:b/>
                <w:color w:val="auto"/>
                <w:sz w:val="24"/>
                <w:szCs w:val="24"/>
                <w:lang w:val="en-US" w:eastAsia="zh-CN"/>
              </w:rPr>
              <w:t>医院现有</w:t>
            </w:r>
            <w:r>
              <w:rPr>
                <w:rFonts w:hint="default" w:ascii="Times New Roman" w:hAnsi="Times New Roman" w:cs="Times New Roman" w:eastAsiaTheme="minorEastAsia"/>
                <w:b/>
                <w:color w:val="auto"/>
                <w:sz w:val="24"/>
                <w:szCs w:val="24"/>
              </w:rPr>
              <w:t>工艺流程及产污环节图</w:t>
            </w:r>
          </w:p>
          <w:p w14:paraId="432859F3">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病人进入医院后先在导诊台进行挂号、取病历，然后进行门诊检验，根据病人病情检验报告轻症患者根据病情开具药方治愈，需住院病人安排入院，进行相关的治疗。在此期间会产生医疗废物和废水。诊断、治疗完毕后患者取药出院</w:t>
            </w:r>
            <w:r>
              <w:rPr>
                <w:rFonts w:hint="default" w:ascii="Times New Roman" w:hAnsi="Times New Roman" w:eastAsia="宋体" w:cs="Times New Roman"/>
                <w:color w:val="auto"/>
                <w:sz w:val="24"/>
                <w:szCs w:val="24"/>
                <w:highlight w:val="none"/>
                <w:lang w:val="en-US" w:eastAsia="zh-CN"/>
              </w:rPr>
              <w:t>。</w:t>
            </w:r>
          </w:p>
          <w:p w14:paraId="0A15F737">
            <w:pPr>
              <w:keepNext w:val="0"/>
              <w:keepLines w:val="0"/>
              <w:numPr>
                <w:ilvl w:val="0"/>
                <w:numId w:val="6"/>
              </w:numPr>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医院</w:t>
            </w:r>
            <w:r>
              <w:rPr>
                <w:rFonts w:hint="eastAsia" w:cs="Times New Roman"/>
                <w:b/>
                <w:bCs/>
                <w:color w:val="auto"/>
                <w:sz w:val="24"/>
                <w:szCs w:val="24"/>
                <w:highlight w:val="none"/>
                <w:lang w:val="en-US" w:eastAsia="zh-CN"/>
              </w:rPr>
              <w:t>现有</w:t>
            </w:r>
            <w:r>
              <w:rPr>
                <w:rFonts w:hint="default" w:ascii="Times New Roman" w:hAnsi="Times New Roman" w:eastAsia="宋体" w:cs="Times New Roman"/>
                <w:b/>
                <w:bCs/>
                <w:color w:val="auto"/>
                <w:sz w:val="24"/>
                <w:szCs w:val="24"/>
                <w:highlight w:val="none"/>
              </w:rPr>
              <w:t>环保措施及</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三废</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排放情况</w:t>
            </w:r>
          </w:p>
          <w:p w14:paraId="163126FD">
            <w:pPr>
              <w:pStyle w:val="10"/>
              <w:keepNext w:val="0"/>
              <w:keepLines w:val="0"/>
              <w:numPr>
                <w:ilvl w:val="0"/>
                <w:numId w:val="7"/>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废气</w:t>
            </w:r>
          </w:p>
          <w:p w14:paraId="0B35F884">
            <w:pPr>
              <w:pStyle w:val="13"/>
              <w:keepNext w:val="0"/>
              <w:keepLines w:val="0"/>
              <w:numPr>
                <w:ilvl w:val="0"/>
                <w:numId w:val="0"/>
              </w:numPr>
              <w:suppressLineNumbers w:val="0"/>
              <w:spacing w:before="0" w:beforeAutospacing="0" w:after="0" w:afterAutospacing="0" w:line="360" w:lineRule="auto"/>
              <w:ind w:left="0" w:right="0" w:firstLine="480" w:firstLineChars="200"/>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涟水县人民医院现有项目废气主要为食堂废气、锅炉废气、污水处理厂恶臭气体。</w:t>
            </w:r>
          </w:p>
          <w:p w14:paraId="3326C6A1">
            <w:pPr>
              <w:pStyle w:val="13"/>
              <w:keepNext w:val="0"/>
              <w:keepLines w:val="0"/>
              <w:numPr>
                <w:ilvl w:val="0"/>
                <w:numId w:val="0"/>
              </w:numPr>
              <w:suppressLineNumbers w:val="0"/>
              <w:spacing w:before="0" w:beforeAutospacing="0" w:after="0" w:afterAutospacing="0" w:line="360" w:lineRule="auto"/>
              <w:ind w:left="0" w:right="0" w:firstLine="480" w:firstLineChars="200"/>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食堂废气：燃料燃烧废气，食堂采用液化气作为燃料，属于清洁能源，燃烧排放的污染物主要为二氧化硫、氮氧化物、烟尘，以无组织形式排放，排放量较少，对周围环境影响不大。油烟废气，食堂油烟废气经过油烟净化器处理后通过建筑物顶部排气口排放，净化率为85%，符合标准排放限值。</w:t>
            </w:r>
          </w:p>
          <w:p w14:paraId="708E54E0">
            <w:pPr>
              <w:pStyle w:val="13"/>
              <w:keepNext w:val="0"/>
              <w:keepLines w:val="0"/>
              <w:numPr>
                <w:ilvl w:val="0"/>
                <w:numId w:val="0"/>
              </w:numPr>
              <w:suppressLineNumbers w:val="0"/>
              <w:spacing w:before="0" w:beforeAutospacing="0" w:after="0" w:afterAutospacing="0" w:line="360" w:lineRule="auto"/>
              <w:ind w:left="0" w:right="0" w:firstLine="480" w:firstLineChars="200"/>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锅炉废气：</w:t>
            </w:r>
            <w:r>
              <w:rPr>
                <w:rFonts w:hint="eastAsia" w:cs="Times New Roman"/>
                <w:color w:val="auto"/>
                <w:kern w:val="2"/>
                <w:sz w:val="24"/>
                <w:szCs w:val="24"/>
                <w:highlight w:val="none"/>
                <w:lang w:val="en-US" w:eastAsia="zh-CN" w:bidi="ar-SA"/>
              </w:rPr>
              <w:t>院内设有一座1台2t/h的天然气蒸汽锅炉，用于门诊楼、住院楼供热，</w:t>
            </w:r>
            <w:r>
              <w:rPr>
                <w:rFonts w:hint="default" w:cs="Times New Roman"/>
                <w:color w:val="auto"/>
                <w:kern w:val="2"/>
                <w:sz w:val="24"/>
                <w:szCs w:val="24"/>
                <w:highlight w:val="none"/>
                <w:lang w:val="en-US" w:eastAsia="zh-CN" w:bidi="ar-SA"/>
              </w:rPr>
              <w:t>锅炉采用天然气为燃料，属于清洁能源，燃料排放的污染物主要为二氧化硫、氮氧化物及烟尘，锅炉房设置了1</w:t>
            </w:r>
            <w:r>
              <w:rPr>
                <w:rFonts w:hint="eastAsia" w:cs="Times New Roman"/>
                <w:color w:val="auto"/>
                <w:kern w:val="2"/>
                <w:sz w:val="24"/>
                <w:szCs w:val="24"/>
                <w:highlight w:val="none"/>
                <w:lang w:val="en-US" w:eastAsia="zh-CN" w:bidi="ar-SA"/>
              </w:rPr>
              <w:t>根</w:t>
            </w:r>
            <w:r>
              <w:rPr>
                <w:rFonts w:hint="default" w:cs="Times New Roman"/>
                <w:color w:val="auto"/>
                <w:kern w:val="2"/>
                <w:sz w:val="24"/>
                <w:szCs w:val="24"/>
                <w:highlight w:val="none"/>
                <w:lang w:val="en-US" w:eastAsia="zh-CN" w:bidi="ar-SA"/>
              </w:rPr>
              <w:t>8米高排气筒，锅炉烟气经排气筒排放。</w:t>
            </w:r>
          </w:p>
          <w:p w14:paraId="0B40E230">
            <w:pPr>
              <w:pStyle w:val="13"/>
              <w:keepNext w:val="0"/>
              <w:keepLines w:val="0"/>
              <w:numPr>
                <w:ilvl w:val="0"/>
                <w:numId w:val="0"/>
              </w:numPr>
              <w:suppressLineNumbers w:val="0"/>
              <w:spacing w:before="0" w:beforeAutospacing="0" w:after="0" w:afterAutospacing="0" w:line="360" w:lineRule="auto"/>
              <w:ind w:left="0" w:right="0" w:firstLine="480" w:firstLineChars="200"/>
              <w:rPr>
                <w:rFonts w:hint="default" w:cs="Times New Roman"/>
                <w:color w:val="auto"/>
                <w:kern w:val="2"/>
                <w:sz w:val="24"/>
                <w:szCs w:val="24"/>
                <w:highlight w:val="none"/>
                <w:lang w:val="en-US" w:eastAsia="zh-CN" w:bidi="ar-SA"/>
              </w:rPr>
            </w:pPr>
            <w:r>
              <w:rPr>
                <w:rFonts w:hint="default" w:cs="Times New Roman"/>
                <w:color w:val="auto"/>
                <w:kern w:val="2"/>
                <w:sz w:val="24"/>
                <w:szCs w:val="24"/>
                <w:highlight w:val="none"/>
                <w:lang w:val="en-US" w:eastAsia="zh-CN" w:bidi="ar-SA"/>
              </w:rPr>
              <w:t>污水处理站恶臭气体：污水处理过程中的臭气主要</w:t>
            </w:r>
            <w:r>
              <w:rPr>
                <w:rFonts w:hint="eastAsia" w:cs="Times New Roman"/>
                <w:color w:val="auto"/>
                <w:kern w:val="2"/>
                <w:sz w:val="24"/>
                <w:szCs w:val="24"/>
                <w:highlight w:val="none"/>
                <w:lang w:val="en-US" w:eastAsia="zh-CN" w:bidi="ar-SA"/>
              </w:rPr>
              <w:t>来自</w:t>
            </w:r>
            <w:r>
              <w:rPr>
                <w:rFonts w:hint="default" w:cs="Times New Roman"/>
                <w:color w:val="auto"/>
                <w:kern w:val="2"/>
                <w:sz w:val="24"/>
                <w:szCs w:val="24"/>
                <w:highlight w:val="none"/>
                <w:lang w:val="en-US" w:eastAsia="zh-CN" w:bidi="ar-SA"/>
              </w:rPr>
              <w:t>格栅池、调节池、生化池等，臭气的主要成分为氨、硫化氢等。在格栅池、调节池、水解池、生物接触氧化池等位置设置废水收集系统，通过风机将产生的恶臭气体引至活性炭吸附除臭系统后通过6米高的排气筒排放</w:t>
            </w:r>
          </w:p>
          <w:p w14:paraId="31D795F1">
            <w:pPr>
              <w:pStyle w:val="13"/>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根据最新项目急诊楼改造项目验收情况</w:t>
            </w:r>
            <w:r>
              <w:rPr>
                <w:rFonts w:hint="default" w:ascii="Times New Roman" w:hAnsi="Times New Roman" w:eastAsia="宋体" w:cs="Times New Roman"/>
                <w:color w:val="auto"/>
                <w:kern w:val="2"/>
                <w:sz w:val="24"/>
                <w:szCs w:val="24"/>
                <w:highlight w:val="none"/>
                <w:lang w:val="en-US" w:eastAsia="zh-CN" w:bidi="ar-SA"/>
              </w:rPr>
              <w:t>：</w:t>
            </w:r>
          </w:p>
          <w:p w14:paraId="4FCF8DDB">
            <w:pPr>
              <w:keepNext w:val="0"/>
              <w:keepLines w:val="0"/>
              <w:suppressLineNumbers w:val="0"/>
              <w:adjustRightInd w:val="0"/>
              <w:snapToGrid w:val="0"/>
              <w:spacing w:before="0" w:beforeAutospacing="0" w:after="0" w:afterAutospacing="0" w:line="240" w:lineRule="auto"/>
              <w:ind w:left="-490" w:leftChars="-204" w:right="0" w:firstLine="482"/>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-3现有</w:t>
            </w:r>
            <w:r>
              <w:rPr>
                <w:rFonts w:hint="default" w:ascii="Times New Roman" w:hAnsi="Times New Roman" w:eastAsia="宋体" w:cs="Times New Roman"/>
                <w:b/>
                <w:bCs/>
                <w:color w:val="auto"/>
                <w:kern w:val="2"/>
                <w:sz w:val="24"/>
                <w:szCs w:val="24"/>
                <w:highlight w:val="none"/>
                <w:lang w:val="en-US" w:eastAsia="zh-CN" w:bidi="ar-SA"/>
              </w:rPr>
              <w:t>项目废气产生及治理一览表</w:t>
            </w:r>
          </w:p>
          <w:tbl>
            <w:tblPr>
              <w:tblStyle w:val="24"/>
              <w:tblpPr w:leftFromText="180" w:rightFromText="180" w:vertAnchor="text" w:horzAnchor="page" w:tblpX="72" w:tblpY="76"/>
              <w:tblOverlap w:val="never"/>
              <w:tblW w:w="49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340"/>
              <w:gridCol w:w="1905"/>
              <w:gridCol w:w="1664"/>
              <w:gridCol w:w="2252"/>
            </w:tblGrid>
            <w:tr w14:paraId="3643E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restart"/>
                  <w:tcBorders>
                    <w:tl2br w:val="nil"/>
                    <w:tr2bl w:val="nil"/>
                  </w:tcBorders>
                  <w:noWrap w:val="0"/>
                  <w:vAlign w:val="center"/>
                </w:tcPr>
                <w:p w14:paraId="49A818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检测点位</w:t>
                  </w:r>
                </w:p>
                <w:p w14:paraId="0A4D08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检测时间</w:t>
                  </w:r>
                </w:p>
              </w:tc>
              <w:tc>
                <w:tcPr>
                  <w:tcW w:w="802" w:type="pct"/>
                  <w:vMerge w:val="restart"/>
                  <w:tcBorders>
                    <w:tl2br w:val="nil"/>
                    <w:tr2bl w:val="nil"/>
                  </w:tcBorders>
                  <w:noWrap w:val="0"/>
                  <w:vAlign w:val="center"/>
                </w:tcPr>
                <w:p w14:paraId="0D3798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频次</w:t>
                  </w:r>
                </w:p>
              </w:tc>
              <w:tc>
                <w:tcPr>
                  <w:tcW w:w="3482" w:type="pct"/>
                  <w:gridSpan w:val="3"/>
                  <w:tcBorders>
                    <w:tl2br w:val="nil"/>
                    <w:tr2bl w:val="nil"/>
                  </w:tcBorders>
                  <w:noWrap w:val="0"/>
                  <w:vAlign w:val="center"/>
                </w:tcPr>
                <w:p w14:paraId="4B7968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油烟</w:t>
                  </w:r>
                </w:p>
              </w:tc>
            </w:tr>
            <w:tr w14:paraId="57DD6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37BABB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p>
              </w:tc>
              <w:tc>
                <w:tcPr>
                  <w:tcW w:w="802" w:type="pct"/>
                  <w:vMerge w:val="continue"/>
                  <w:tcBorders>
                    <w:tl2br w:val="nil"/>
                    <w:tr2bl w:val="nil"/>
                  </w:tcBorders>
                  <w:noWrap w:val="0"/>
                  <w:vAlign w:val="center"/>
                </w:tcPr>
                <w:p w14:paraId="3C7394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p>
              </w:tc>
              <w:tc>
                <w:tcPr>
                  <w:tcW w:w="1140" w:type="pct"/>
                  <w:tcBorders>
                    <w:tl2br w:val="nil"/>
                    <w:tr2bl w:val="nil"/>
                  </w:tcBorders>
                  <w:noWrap w:val="0"/>
                  <w:vAlign w:val="center"/>
                </w:tcPr>
                <w:p w14:paraId="0E7A9D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lang w:val="en-US" w:eastAsia="zh-CN"/>
                    </w:rPr>
                    <w:t>进口浓度</w:t>
                  </w:r>
                  <w:r>
                    <w:rPr>
                      <w:rFonts w:hint="default" w:ascii="Times New Roman" w:hAnsi="Times New Roman" w:eastAsia="宋体" w:cs="Times New Roman"/>
                      <w:b/>
                      <w:bCs/>
                      <w:color w:val="auto"/>
                      <w:sz w:val="18"/>
                      <w:szCs w:val="18"/>
                    </w:rPr>
                    <w:t>（mg/m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w:t>
                  </w:r>
                </w:p>
              </w:tc>
              <w:tc>
                <w:tcPr>
                  <w:tcW w:w="995" w:type="pct"/>
                  <w:tcBorders>
                    <w:tl2br w:val="nil"/>
                    <w:tr2bl w:val="nil"/>
                  </w:tcBorders>
                  <w:noWrap w:val="0"/>
                  <w:vAlign w:val="center"/>
                </w:tcPr>
                <w:p w14:paraId="637D92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排放浓度（mg/m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w:t>
                  </w:r>
                </w:p>
              </w:tc>
              <w:tc>
                <w:tcPr>
                  <w:tcW w:w="1347" w:type="pct"/>
                  <w:tcBorders>
                    <w:tl2br w:val="nil"/>
                    <w:tr2bl w:val="nil"/>
                  </w:tcBorders>
                  <w:noWrap w:val="0"/>
                  <w:vAlign w:val="center"/>
                </w:tcPr>
                <w:p w14:paraId="1E5F2E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处理效率（%）</w:t>
                  </w:r>
                </w:p>
              </w:tc>
            </w:tr>
            <w:tr w14:paraId="16224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restart"/>
                  <w:tcBorders>
                    <w:tl2br w:val="nil"/>
                    <w:tr2bl w:val="nil"/>
                  </w:tcBorders>
                  <w:noWrap w:val="0"/>
                  <w:vAlign w:val="center"/>
                </w:tcPr>
                <w:p w14:paraId="2074B3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油烟净化器</w:t>
                  </w:r>
                </w:p>
                <w:p w14:paraId="1640CE0C">
                  <w:pPr>
                    <w:pStyle w:val="23"/>
                    <w:keepNext w:val="0"/>
                    <w:keepLines w:val="0"/>
                    <w:pageBreakBefore w:val="0"/>
                    <w:suppressLineNumbers w:val="0"/>
                    <w:kinsoku/>
                    <w:wordWrap/>
                    <w:overflowPunct/>
                    <w:topLinePunct w:val="0"/>
                    <w:autoSpaceDE/>
                    <w:autoSpaceDN/>
                    <w:bidi w:val="0"/>
                    <w:spacing w:before="0" w:beforeAutospacing="0" w:afterAutospacing="0" w:line="240" w:lineRule="auto"/>
                    <w:ind w:left="0" w:leftChars="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2021.8.15</w:t>
                  </w:r>
                </w:p>
              </w:tc>
              <w:tc>
                <w:tcPr>
                  <w:tcW w:w="802" w:type="pct"/>
                  <w:tcBorders>
                    <w:tl2br w:val="nil"/>
                    <w:tr2bl w:val="nil"/>
                  </w:tcBorders>
                  <w:noWrap w:val="0"/>
                  <w:vAlign w:val="center"/>
                </w:tcPr>
                <w:p w14:paraId="1A0D6C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第一次</w:t>
                  </w:r>
                </w:p>
              </w:tc>
              <w:tc>
                <w:tcPr>
                  <w:tcW w:w="1140" w:type="pct"/>
                  <w:tcBorders>
                    <w:tl2br w:val="nil"/>
                    <w:tr2bl w:val="nil"/>
                  </w:tcBorders>
                  <w:noWrap w:val="0"/>
                  <w:vAlign w:val="center"/>
                </w:tcPr>
                <w:p w14:paraId="60DB6AA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4.24</w:t>
                  </w:r>
                </w:p>
              </w:tc>
              <w:tc>
                <w:tcPr>
                  <w:tcW w:w="995" w:type="pct"/>
                  <w:tcBorders>
                    <w:tl2br w:val="nil"/>
                    <w:tr2bl w:val="nil"/>
                  </w:tcBorders>
                  <w:noWrap w:val="0"/>
                  <w:vAlign w:val="center"/>
                </w:tcPr>
                <w:p w14:paraId="2B505A0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0.60</w:t>
                  </w:r>
                </w:p>
              </w:tc>
              <w:tc>
                <w:tcPr>
                  <w:tcW w:w="1347" w:type="pct"/>
                  <w:tcBorders>
                    <w:tl2br w:val="nil"/>
                    <w:tr2bl w:val="nil"/>
                  </w:tcBorders>
                  <w:noWrap w:val="0"/>
                  <w:vAlign w:val="center"/>
                </w:tcPr>
                <w:p w14:paraId="4922F35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86</w:t>
                  </w:r>
                </w:p>
              </w:tc>
            </w:tr>
            <w:tr w14:paraId="44EEBB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1650DE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02" w:type="pct"/>
                  <w:tcBorders>
                    <w:tl2br w:val="nil"/>
                    <w:tr2bl w:val="nil"/>
                  </w:tcBorders>
                  <w:noWrap w:val="0"/>
                  <w:vAlign w:val="center"/>
                </w:tcPr>
                <w:p w14:paraId="3D613B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第二次</w:t>
                  </w:r>
                </w:p>
              </w:tc>
              <w:tc>
                <w:tcPr>
                  <w:tcW w:w="1140" w:type="pct"/>
                  <w:tcBorders>
                    <w:tl2br w:val="nil"/>
                    <w:tr2bl w:val="nil"/>
                  </w:tcBorders>
                  <w:noWrap w:val="0"/>
                  <w:vAlign w:val="center"/>
                </w:tcPr>
                <w:p w14:paraId="0505618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4.26</w:t>
                  </w:r>
                </w:p>
              </w:tc>
              <w:tc>
                <w:tcPr>
                  <w:tcW w:w="995" w:type="pct"/>
                  <w:tcBorders>
                    <w:tl2br w:val="nil"/>
                    <w:tr2bl w:val="nil"/>
                  </w:tcBorders>
                  <w:noWrap w:val="0"/>
                  <w:vAlign w:val="center"/>
                </w:tcPr>
                <w:p w14:paraId="77804EC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0.62</w:t>
                  </w:r>
                </w:p>
              </w:tc>
              <w:tc>
                <w:tcPr>
                  <w:tcW w:w="1347" w:type="pct"/>
                  <w:tcBorders>
                    <w:tl2br w:val="nil"/>
                    <w:tr2bl w:val="nil"/>
                  </w:tcBorders>
                  <w:noWrap w:val="0"/>
                  <w:vAlign w:val="center"/>
                </w:tcPr>
                <w:p w14:paraId="6871720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85</w:t>
                  </w:r>
                </w:p>
              </w:tc>
            </w:tr>
            <w:tr w14:paraId="05A0C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65E7E9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02" w:type="pct"/>
                  <w:tcBorders>
                    <w:tl2br w:val="nil"/>
                    <w:tr2bl w:val="nil"/>
                  </w:tcBorders>
                  <w:noWrap w:val="0"/>
                  <w:vAlign w:val="center"/>
                </w:tcPr>
                <w:p w14:paraId="71D1DF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第三次</w:t>
                  </w:r>
                </w:p>
              </w:tc>
              <w:tc>
                <w:tcPr>
                  <w:tcW w:w="1140" w:type="pct"/>
                  <w:tcBorders>
                    <w:tl2br w:val="nil"/>
                    <w:tr2bl w:val="nil"/>
                  </w:tcBorders>
                  <w:noWrap w:val="0"/>
                  <w:vAlign w:val="center"/>
                </w:tcPr>
                <w:p w14:paraId="71DB4D3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4.06</w:t>
                  </w:r>
                </w:p>
              </w:tc>
              <w:tc>
                <w:tcPr>
                  <w:tcW w:w="995" w:type="pct"/>
                  <w:tcBorders>
                    <w:tl2br w:val="nil"/>
                    <w:tr2bl w:val="nil"/>
                  </w:tcBorders>
                  <w:noWrap w:val="0"/>
                  <w:vAlign w:val="center"/>
                </w:tcPr>
                <w:p w14:paraId="23525F2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0.64</w:t>
                  </w:r>
                </w:p>
              </w:tc>
              <w:tc>
                <w:tcPr>
                  <w:tcW w:w="1347" w:type="pct"/>
                  <w:tcBorders>
                    <w:tl2br w:val="nil"/>
                    <w:tr2bl w:val="nil"/>
                  </w:tcBorders>
                  <w:noWrap w:val="0"/>
                  <w:vAlign w:val="center"/>
                </w:tcPr>
                <w:p w14:paraId="31132A7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w:t>
                  </w:r>
                </w:p>
              </w:tc>
            </w:tr>
            <w:tr w14:paraId="48129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6E37AE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02" w:type="pct"/>
                  <w:tcBorders>
                    <w:tl2br w:val="nil"/>
                    <w:tr2bl w:val="nil"/>
                  </w:tcBorders>
                  <w:noWrap w:val="0"/>
                  <w:vAlign w:val="center"/>
                </w:tcPr>
                <w:p w14:paraId="5471FB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第四次</w:t>
                  </w:r>
                </w:p>
              </w:tc>
              <w:tc>
                <w:tcPr>
                  <w:tcW w:w="1140" w:type="pct"/>
                  <w:tcBorders>
                    <w:tl2br w:val="nil"/>
                    <w:tr2bl w:val="nil"/>
                  </w:tcBorders>
                  <w:noWrap w:val="0"/>
                  <w:vAlign w:val="center"/>
                </w:tcPr>
                <w:p w14:paraId="1438CCD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4.05</w:t>
                  </w:r>
                </w:p>
              </w:tc>
              <w:tc>
                <w:tcPr>
                  <w:tcW w:w="995" w:type="pct"/>
                  <w:tcBorders>
                    <w:tl2br w:val="nil"/>
                    <w:tr2bl w:val="nil"/>
                  </w:tcBorders>
                  <w:noWrap w:val="0"/>
                  <w:vAlign w:val="center"/>
                </w:tcPr>
                <w:p w14:paraId="7271318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0.62</w:t>
                  </w:r>
                </w:p>
              </w:tc>
              <w:tc>
                <w:tcPr>
                  <w:tcW w:w="1347" w:type="pct"/>
                  <w:tcBorders>
                    <w:tl2br w:val="nil"/>
                    <w:tr2bl w:val="nil"/>
                  </w:tcBorders>
                  <w:noWrap w:val="0"/>
                  <w:vAlign w:val="center"/>
                </w:tcPr>
                <w:p w14:paraId="4F07803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85</w:t>
                  </w:r>
                </w:p>
              </w:tc>
            </w:tr>
            <w:tr w14:paraId="53D8E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202EC6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02" w:type="pct"/>
                  <w:tcBorders>
                    <w:tl2br w:val="nil"/>
                    <w:tr2bl w:val="nil"/>
                  </w:tcBorders>
                  <w:noWrap w:val="0"/>
                  <w:vAlign w:val="center"/>
                </w:tcPr>
                <w:p w14:paraId="28C31F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第五次</w:t>
                  </w:r>
                </w:p>
              </w:tc>
              <w:tc>
                <w:tcPr>
                  <w:tcW w:w="1140" w:type="pct"/>
                  <w:tcBorders>
                    <w:tl2br w:val="nil"/>
                    <w:tr2bl w:val="nil"/>
                  </w:tcBorders>
                  <w:noWrap w:val="0"/>
                  <w:vAlign w:val="center"/>
                </w:tcPr>
                <w:p w14:paraId="6DB29DF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4.07</w:t>
                  </w:r>
                </w:p>
              </w:tc>
              <w:tc>
                <w:tcPr>
                  <w:tcW w:w="995" w:type="pct"/>
                  <w:tcBorders>
                    <w:tl2br w:val="nil"/>
                    <w:tr2bl w:val="nil"/>
                  </w:tcBorders>
                  <w:noWrap w:val="0"/>
                  <w:vAlign w:val="center"/>
                </w:tcPr>
                <w:p w14:paraId="690EA6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0.63</w:t>
                  </w:r>
                </w:p>
              </w:tc>
              <w:tc>
                <w:tcPr>
                  <w:tcW w:w="1347" w:type="pct"/>
                  <w:tcBorders>
                    <w:tl2br w:val="nil"/>
                    <w:tr2bl w:val="nil"/>
                  </w:tcBorders>
                  <w:noWrap w:val="0"/>
                  <w:vAlign w:val="center"/>
                </w:tcPr>
                <w:p w14:paraId="4C4360F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85</w:t>
                  </w:r>
                </w:p>
              </w:tc>
            </w:tr>
            <w:tr w14:paraId="03EE7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restart"/>
                  <w:tcBorders>
                    <w:tl2br w:val="nil"/>
                    <w:tr2bl w:val="nil"/>
                  </w:tcBorders>
                  <w:noWrap w:val="0"/>
                  <w:vAlign w:val="center"/>
                </w:tcPr>
                <w:p w14:paraId="5B8F59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油烟净化器</w:t>
                  </w:r>
                  <w:r>
                    <w:rPr>
                      <w:rFonts w:hint="default" w:ascii="Times New Roman" w:hAnsi="Times New Roman" w:eastAsia="宋体" w:cs="Times New Roman"/>
                      <w:color w:val="auto"/>
                      <w:sz w:val="18"/>
                      <w:szCs w:val="18"/>
                      <w:lang w:eastAsia="zh-CN"/>
                    </w:rPr>
                    <w:t>出口</w:t>
                  </w:r>
                </w:p>
                <w:p w14:paraId="5863DC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2021.8.16</w:t>
                  </w:r>
                </w:p>
              </w:tc>
              <w:tc>
                <w:tcPr>
                  <w:tcW w:w="802" w:type="pct"/>
                  <w:tcBorders>
                    <w:tl2br w:val="nil"/>
                    <w:tr2bl w:val="nil"/>
                  </w:tcBorders>
                  <w:noWrap w:val="0"/>
                  <w:vAlign w:val="center"/>
                </w:tcPr>
                <w:p w14:paraId="3913C2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第一次</w:t>
                  </w:r>
                </w:p>
              </w:tc>
              <w:tc>
                <w:tcPr>
                  <w:tcW w:w="1140" w:type="pct"/>
                  <w:tcBorders>
                    <w:tl2br w:val="nil"/>
                    <w:tr2bl w:val="nil"/>
                  </w:tcBorders>
                  <w:noWrap w:val="0"/>
                  <w:vAlign w:val="center"/>
                </w:tcPr>
                <w:p w14:paraId="7A1C517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3.89</w:t>
                  </w:r>
                </w:p>
              </w:tc>
              <w:tc>
                <w:tcPr>
                  <w:tcW w:w="995" w:type="pct"/>
                  <w:tcBorders>
                    <w:tl2br w:val="nil"/>
                    <w:tr2bl w:val="nil"/>
                  </w:tcBorders>
                  <w:noWrap w:val="0"/>
                  <w:vAlign w:val="center"/>
                </w:tcPr>
                <w:p w14:paraId="10B8584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0.57</w:t>
                  </w:r>
                </w:p>
              </w:tc>
              <w:tc>
                <w:tcPr>
                  <w:tcW w:w="1347" w:type="pct"/>
                  <w:tcBorders>
                    <w:tl2br w:val="nil"/>
                    <w:tr2bl w:val="nil"/>
                  </w:tcBorders>
                  <w:noWrap w:val="0"/>
                  <w:vAlign w:val="center"/>
                </w:tcPr>
                <w:p w14:paraId="616B47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85</w:t>
                  </w:r>
                </w:p>
              </w:tc>
            </w:tr>
            <w:tr w14:paraId="0AD70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26CD8F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02" w:type="pct"/>
                  <w:tcBorders>
                    <w:tl2br w:val="nil"/>
                    <w:tr2bl w:val="nil"/>
                  </w:tcBorders>
                  <w:noWrap w:val="0"/>
                  <w:vAlign w:val="center"/>
                </w:tcPr>
                <w:p w14:paraId="49976E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第二次</w:t>
                  </w:r>
                </w:p>
              </w:tc>
              <w:tc>
                <w:tcPr>
                  <w:tcW w:w="1140" w:type="pct"/>
                  <w:tcBorders>
                    <w:tl2br w:val="nil"/>
                    <w:tr2bl w:val="nil"/>
                  </w:tcBorders>
                  <w:noWrap w:val="0"/>
                  <w:vAlign w:val="center"/>
                </w:tcPr>
                <w:p w14:paraId="6CF3B88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3.94</w:t>
                  </w:r>
                </w:p>
              </w:tc>
              <w:tc>
                <w:tcPr>
                  <w:tcW w:w="995" w:type="pct"/>
                  <w:tcBorders>
                    <w:tl2br w:val="nil"/>
                    <w:tr2bl w:val="nil"/>
                  </w:tcBorders>
                  <w:noWrap w:val="0"/>
                  <w:vAlign w:val="center"/>
                </w:tcPr>
                <w:p w14:paraId="4D2607D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0.57</w:t>
                  </w:r>
                </w:p>
              </w:tc>
              <w:tc>
                <w:tcPr>
                  <w:tcW w:w="1347" w:type="pct"/>
                  <w:tcBorders>
                    <w:tl2br w:val="nil"/>
                    <w:tr2bl w:val="nil"/>
                  </w:tcBorders>
                  <w:noWrap w:val="0"/>
                  <w:vAlign w:val="center"/>
                </w:tcPr>
                <w:p w14:paraId="722905E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86</w:t>
                  </w:r>
                </w:p>
              </w:tc>
            </w:tr>
            <w:tr w14:paraId="66E51E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2CF1E5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02" w:type="pct"/>
                  <w:tcBorders>
                    <w:tl2br w:val="nil"/>
                    <w:tr2bl w:val="nil"/>
                  </w:tcBorders>
                  <w:noWrap w:val="0"/>
                  <w:vAlign w:val="center"/>
                </w:tcPr>
                <w:p w14:paraId="4B178C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第三次</w:t>
                  </w:r>
                </w:p>
              </w:tc>
              <w:tc>
                <w:tcPr>
                  <w:tcW w:w="1140" w:type="pct"/>
                  <w:tcBorders>
                    <w:tl2br w:val="nil"/>
                    <w:tr2bl w:val="nil"/>
                  </w:tcBorders>
                  <w:noWrap w:val="0"/>
                  <w:vAlign w:val="center"/>
                </w:tcPr>
                <w:p w14:paraId="1191666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4.06</w:t>
                  </w:r>
                </w:p>
              </w:tc>
              <w:tc>
                <w:tcPr>
                  <w:tcW w:w="995" w:type="pct"/>
                  <w:tcBorders>
                    <w:tl2br w:val="nil"/>
                    <w:tr2bl w:val="nil"/>
                  </w:tcBorders>
                  <w:noWrap w:val="0"/>
                  <w:vAlign w:val="center"/>
                </w:tcPr>
                <w:p w14:paraId="19878CD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0.61</w:t>
                  </w:r>
                </w:p>
              </w:tc>
              <w:tc>
                <w:tcPr>
                  <w:tcW w:w="1347" w:type="pct"/>
                  <w:tcBorders>
                    <w:tl2br w:val="nil"/>
                    <w:tr2bl w:val="nil"/>
                  </w:tcBorders>
                  <w:noWrap w:val="0"/>
                  <w:vAlign w:val="center"/>
                </w:tcPr>
                <w:p w14:paraId="7125E87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85</w:t>
                  </w:r>
                </w:p>
              </w:tc>
            </w:tr>
            <w:tr w14:paraId="79C12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1A50A5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02" w:type="pct"/>
                  <w:tcBorders>
                    <w:tl2br w:val="nil"/>
                    <w:tr2bl w:val="nil"/>
                  </w:tcBorders>
                  <w:noWrap w:val="0"/>
                  <w:vAlign w:val="center"/>
                </w:tcPr>
                <w:p w14:paraId="775FBC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第四次</w:t>
                  </w:r>
                </w:p>
              </w:tc>
              <w:tc>
                <w:tcPr>
                  <w:tcW w:w="1140" w:type="pct"/>
                  <w:tcBorders>
                    <w:tl2br w:val="nil"/>
                    <w:tr2bl w:val="nil"/>
                  </w:tcBorders>
                  <w:noWrap w:val="0"/>
                  <w:vAlign w:val="center"/>
                </w:tcPr>
                <w:p w14:paraId="0AD1AA1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4.01</w:t>
                  </w:r>
                </w:p>
              </w:tc>
              <w:tc>
                <w:tcPr>
                  <w:tcW w:w="995" w:type="pct"/>
                  <w:tcBorders>
                    <w:tl2br w:val="nil"/>
                    <w:tr2bl w:val="nil"/>
                  </w:tcBorders>
                  <w:noWrap w:val="0"/>
                  <w:vAlign w:val="center"/>
                </w:tcPr>
                <w:p w14:paraId="0AD4909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0.62</w:t>
                  </w:r>
                </w:p>
              </w:tc>
              <w:tc>
                <w:tcPr>
                  <w:tcW w:w="1347" w:type="pct"/>
                  <w:tcBorders>
                    <w:tl2br w:val="nil"/>
                    <w:tr2bl w:val="nil"/>
                  </w:tcBorders>
                  <w:noWrap w:val="0"/>
                  <w:vAlign w:val="center"/>
                </w:tcPr>
                <w:p w14:paraId="190B339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85</w:t>
                  </w:r>
                </w:p>
              </w:tc>
            </w:tr>
            <w:tr w14:paraId="6A751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50EB6B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02" w:type="pct"/>
                  <w:tcBorders>
                    <w:tl2br w:val="nil"/>
                    <w:tr2bl w:val="nil"/>
                  </w:tcBorders>
                  <w:noWrap w:val="0"/>
                  <w:vAlign w:val="center"/>
                </w:tcPr>
                <w:p w14:paraId="3CF668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第五次</w:t>
                  </w:r>
                </w:p>
              </w:tc>
              <w:tc>
                <w:tcPr>
                  <w:tcW w:w="1140" w:type="pct"/>
                  <w:tcBorders>
                    <w:tl2br w:val="nil"/>
                    <w:tr2bl w:val="nil"/>
                  </w:tcBorders>
                  <w:noWrap w:val="0"/>
                  <w:vAlign w:val="center"/>
                </w:tcPr>
                <w:p w14:paraId="6742626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3.88</w:t>
                  </w:r>
                </w:p>
              </w:tc>
              <w:tc>
                <w:tcPr>
                  <w:tcW w:w="995" w:type="pct"/>
                  <w:tcBorders>
                    <w:tl2br w:val="nil"/>
                    <w:tr2bl w:val="nil"/>
                  </w:tcBorders>
                  <w:noWrap w:val="0"/>
                  <w:vAlign w:val="center"/>
                </w:tcPr>
                <w:p w14:paraId="59268E1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0.63</w:t>
                  </w:r>
                </w:p>
              </w:tc>
              <w:tc>
                <w:tcPr>
                  <w:tcW w:w="1347" w:type="pct"/>
                  <w:tcBorders>
                    <w:tl2br w:val="nil"/>
                    <w:tr2bl w:val="nil"/>
                  </w:tcBorders>
                  <w:noWrap w:val="0"/>
                  <w:vAlign w:val="center"/>
                </w:tcPr>
                <w:p w14:paraId="1E9E8A2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w:t>
                  </w:r>
                </w:p>
              </w:tc>
            </w:tr>
            <w:tr w14:paraId="44FB0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12DDEE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02" w:type="pct"/>
                  <w:tcBorders>
                    <w:tl2br w:val="nil"/>
                    <w:tr2bl w:val="nil"/>
                  </w:tcBorders>
                  <w:noWrap w:val="0"/>
                  <w:vAlign w:val="center"/>
                </w:tcPr>
                <w:p w14:paraId="024737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评价标准</w:t>
                  </w:r>
                </w:p>
              </w:tc>
              <w:tc>
                <w:tcPr>
                  <w:tcW w:w="1140" w:type="pct"/>
                  <w:tcBorders>
                    <w:tl2br w:val="nil"/>
                    <w:tr2bl w:val="nil"/>
                  </w:tcBorders>
                  <w:noWrap w:val="0"/>
                  <w:vAlign w:val="center"/>
                </w:tcPr>
                <w:p w14:paraId="42884D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95" w:type="pct"/>
                  <w:tcBorders>
                    <w:tl2br w:val="nil"/>
                    <w:tr2bl w:val="nil"/>
                  </w:tcBorders>
                  <w:noWrap w:val="0"/>
                  <w:vAlign w:val="center"/>
                </w:tcPr>
                <w:p w14:paraId="6C4AE9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2.0</w:t>
                  </w:r>
                </w:p>
              </w:tc>
              <w:tc>
                <w:tcPr>
                  <w:tcW w:w="1347" w:type="pct"/>
                  <w:tcBorders>
                    <w:tl2br w:val="nil"/>
                    <w:tr2bl w:val="nil"/>
                  </w:tcBorders>
                  <w:noWrap w:val="0"/>
                  <w:vAlign w:val="center"/>
                </w:tcPr>
                <w:p w14:paraId="012ADC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85</w:t>
                  </w:r>
                </w:p>
              </w:tc>
            </w:tr>
            <w:tr w14:paraId="76913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4" w:type="pct"/>
                  <w:vMerge w:val="continue"/>
                  <w:tcBorders>
                    <w:tl2br w:val="nil"/>
                    <w:tr2bl w:val="nil"/>
                  </w:tcBorders>
                  <w:noWrap w:val="0"/>
                  <w:vAlign w:val="center"/>
                </w:tcPr>
                <w:p w14:paraId="51D1FF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02" w:type="pct"/>
                  <w:tcBorders>
                    <w:tl2br w:val="nil"/>
                    <w:tr2bl w:val="nil"/>
                  </w:tcBorders>
                  <w:noWrap w:val="0"/>
                  <w:vAlign w:val="center"/>
                </w:tcPr>
                <w:p w14:paraId="075161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达标情况</w:t>
                  </w:r>
                </w:p>
              </w:tc>
              <w:tc>
                <w:tcPr>
                  <w:tcW w:w="1140" w:type="pct"/>
                  <w:tcBorders>
                    <w:tl2br w:val="nil"/>
                    <w:tr2bl w:val="nil"/>
                  </w:tcBorders>
                  <w:noWrap w:val="0"/>
                  <w:vAlign w:val="center"/>
                </w:tcPr>
                <w:p w14:paraId="106B2D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w:t>
                  </w:r>
                </w:p>
              </w:tc>
              <w:tc>
                <w:tcPr>
                  <w:tcW w:w="995" w:type="pct"/>
                  <w:tcBorders>
                    <w:tl2br w:val="nil"/>
                    <w:tr2bl w:val="nil"/>
                  </w:tcBorders>
                  <w:noWrap w:val="0"/>
                  <w:vAlign w:val="center"/>
                </w:tcPr>
                <w:p w14:paraId="1B07B4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达标</w:t>
                  </w:r>
                </w:p>
              </w:tc>
              <w:tc>
                <w:tcPr>
                  <w:tcW w:w="1347" w:type="pct"/>
                  <w:tcBorders>
                    <w:tl2br w:val="nil"/>
                    <w:tr2bl w:val="nil"/>
                  </w:tcBorders>
                  <w:noWrap w:val="0"/>
                  <w:vAlign w:val="center"/>
                </w:tcPr>
                <w:p w14:paraId="78B398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达标</w:t>
                  </w:r>
                </w:p>
              </w:tc>
            </w:tr>
          </w:tbl>
          <w:p w14:paraId="09E9AE14">
            <w:pPr>
              <w:keepNext w:val="0"/>
              <w:keepLines w:val="0"/>
              <w:suppressLineNumbers w:val="0"/>
              <w:adjustRightInd w:val="0"/>
              <w:snapToGrid w:val="0"/>
              <w:spacing w:before="0" w:beforeAutospacing="0" w:after="0" w:afterAutospacing="0" w:line="240" w:lineRule="auto"/>
              <w:ind w:left="-490" w:leftChars="-204" w:right="0" w:firstLine="482"/>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.2-4</w:t>
            </w:r>
            <w:r>
              <w:rPr>
                <w:rFonts w:hint="default" w:ascii="Times New Roman" w:hAnsi="Times New Roman" w:eastAsia="宋体" w:cs="Times New Roman"/>
                <w:b/>
                <w:bCs/>
                <w:color w:val="auto"/>
                <w:kern w:val="2"/>
                <w:sz w:val="24"/>
                <w:szCs w:val="24"/>
                <w:highlight w:val="none"/>
                <w:lang w:val="en-US" w:eastAsia="zh-CN" w:bidi="ar-SA"/>
              </w:rPr>
              <w:t>无组织废气检测结果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165"/>
              <w:gridCol w:w="1046"/>
              <w:gridCol w:w="1046"/>
              <w:gridCol w:w="1051"/>
              <w:gridCol w:w="1004"/>
              <w:gridCol w:w="1004"/>
              <w:gridCol w:w="1008"/>
            </w:tblGrid>
            <w:tr w14:paraId="6D3EA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restart"/>
                  <w:tcBorders>
                    <w:tl2br w:val="nil"/>
                    <w:tr2bl w:val="nil"/>
                  </w:tcBorders>
                  <w:noWrap w:val="0"/>
                  <w:vAlign w:val="center"/>
                </w:tcPr>
                <w:p w14:paraId="1736A483">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检测项目</w:t>
                  </w:r>
                </w:p>
              </w:tc>
              <w:tc>
                <w:tcPr>
                  <w:tcW w:w="695" w:type="pct"/>
                  <w:vMerge w:val="restart"/>
                  <w:tcBorders>
                    <w:tl2br w:val="nil"/>
                    <w:tr2bl w:val="nil"/>
                  </w:tcBorders>
                  <w:noWrap w:val="0"/>
                  <w:vAlign w:val="center"/>
                </w:tcPr>
                <w:p w14:paraId="47F3BE46">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采样频次</w:t>
                  </w:r>
                </w:p>
              </w:tc>
              <w:tc>
                <w:tcPr>
                  <w:tcW w:w="1878" w:type="pct"/>
                  <w:gridSpan w:val="3"/>
                  <w:tcBorders>
                    <w:tl2br w:val="nil"/>
                    <w:tr2bl w:val="nil"/>
                  </w:tcBorders>
                  <w:noWrap w:val="0"/>
                  <w:vAlign w:val="center"/>
                </w:tcPr>
                <w:p w14:paraId="552F0484">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2021.5.28</w:t>
                  </w:r>
                </w:p>
              </w:tc>
              <w:tc>
                <w:tcPr>
                  <w:tcW w:w="1802" w:type="pct"/>
                  <w:gridSpan w:val="3"/>
                  <w:tcBorders>
                    <w:tl2br w:val="nil"/>
                    <w:tr2bl w:val="nil"/>
                  </w:tcBorders>
                  <w:noWrap w:val="0"/>
                  <w:vAlign w:val="center"/>
                </w:tcPr>
                <w:p w14:paraId="4CB90EDA">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2021.5.29</w:t>
                  </w:r>
                </w:p>
              </w:tc>
            </w:tr>
            <w:tr w14:paraId="5A07E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continue"/>
                  <w:tcBorders>
                    <w:tl2br w:val="nil"/>
                    <w:tr2bl w:val="nil"/>
                  </w:tcBorders>
                  <w:noWrap w:val="0"/>
                  <w:vAlign w:val="center"/>
                </w:tcPr>
                <w:p w14:paraId="4BC9FE7D">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p>
              </w:tc>
              <w:tc>
                <w:tcPr>
                  <w:tcW w:w="695" w:type="pct"/>
                  <w:vMerge w:val="continue"/>
                  <w:tcBorders>
                    <w:tl2br w:val="nil"/>
                    <w:tr2bl w:val="nil"/>
                  </w:tcBorders>
                  <w:noWrap w:val="0"/>
                  <w:vAlign w:val="center"/>
                </w:tcPr>
                <w:p w14:paraId="746183A4">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p>
              </w:tc>
              <w:tc>
                <w:tcPr>
                  <w:tcW w:w="625" w:type="pct"/>
                  <w:tcBorders>
                    <w:tl2br w:val="nil"/>
                    <w:tr2bl w:val="nil"/>
                  </w:tcBorders>
                  <w:noWrap w:val="0"/>
                  <w:vAlign w:val="center"/>
                </w:tcPr>
                <w:p w14:paraId="01B78819">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1</w:t>
                  </w:r>
                </w:p>
              </w:tc>
              <w:tc>
                <w:tcPr>
                  <w:tcW w:w="625" w:type="pct"/>
                  <w:tcBorders>
                    <w:tl2br w:val="nil"/>
                    <w:tr2bl w:val="nil"/>
                  </w:tcBorders>
                  <w:noWrap w:val="0"/>
                  <w:vAlign w:val="center"/>
                </w:tcPr>
                <w:p w14:paraId="30BFD110">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2</w:t>
                  </w:r>
                </w:p>
              </w:tc>
              <w:tc>
                <w:tcPr>
                  <w:tcW w:w="626" w:type="pct"/>
                  <w:tcBorders>
                    <w:tl2br w:val="nil"/>
                    <w:tr2bl w:val="nil"/>
                  </w:tcBorders>
                  <w:noWrap w:val="0"/>
                  <w:vAlign w:val="center"/>
                </w:tcPr>
                <w:p w14:paraId="5733D093">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3</w:t>
                  </w:r>
                </w:p>
              </w:tc>
              <w:tc>
                <w:tcPr>
                  <w:tcW w:w="600" w:type="pct"/>
                  <w:tcBorders>
                    <w:tl2br w:val="nil"/>
                    <w:tr2bl w:val="nil"/>
                  </w:tcBorders>
                  <w:noWrap w:val="0"/>
                  <w:vAlign w:val="center"/>
                </w:tcPr>
                <w:p w14:paraId="3ED73FF1">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1</w:t>
                  </w:r>
                </w:p>
              </w:tc>
              <w:tc>
                <w:tcPr>
                  <w:tcW w:w="600" w:type="pct"/>
                  <w:tcBorders>
                    <w:tl2br w:val="nil"/>
                    <w:tr2bl w:val="nil"/>
                  </w:tcBorders>
                  <w:noWrap w:val="0"/>
                  <w:vAlign w:val="center"/>
                </w:tcPr>
                <w:p w14:paraId="4A9E2B0C">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2</w:t>
                  </w:r>
                </w:p>
              </w:tc>
              <w:tc>
                <w:tcPr>
                  <w:tcW w:w="600" w:type="pct"/>
                  <w:tcBorders>
                    <w:tl2br w:val="nil"/>
                    <w:tr2bl w:val="nil"/>
                  </w:tcBorders>
                  <w:noWrap w:val="0"/>
                  <w:vAlign w:val="center"/>
                </w:tcPr>
                <w:p w14:paraId="4BB10C03">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3</w:t>
                  </w:r>
                </w:p>
              </w:tc>
            </w:tr>
            <w:tr w14:paraId="15310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restart"/>
                  <w:tcBorders>
                    <w:tl2br w:val="nil"/>
                    <w:tr2bl w:val="nil"/>
                  </w:tcBorders>
                  <w:noWrap w:val="0"/>
                  <w:vAlign w:val="center"/>
                </w:tcPr>
                <w:p w14:paraId="367DCEC2">
                  <w:pPr>
                    <w:pStyle w:val="2"/>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硫化氢</w:t>
                  </w:r>
                  <w:r>
                    <w:rPr>
                      <w:rFonts w:hint="default" w:ascii="Times New Roman" w:hAnsi="Times New Roman" w:eastAsia="宋体" w:cs="Times New Roman"/>
                      <w:bCs/>
                      <w:color w:val="auto"/>
                      <w:sz w:val="18"/>
                      <w:szCs w:val="18"/>
                      <w:lang w:eastAsia="zh-CN"/>
                    </w:rPr>
                    <w:t>（</w:t>
                  </w:r>
                  <w:r>
                    <w:rPr>
                      <w:rFonts w:hint="default" w:ascii="Times New Roman" w:hAnsi="Times New Roman" w:eastAsia="宋体" w:cs="Times New Roman"/>
                      <w:bCs/>
                      <w:color w:val="auto"/>
                      <w:sz w:val="18"/>
                      <w:szCs w:val="18"/>
                      <w:lang w:val="en-US" w:eastAsia="zh-CN"/>
                    </w:rPr>
                    <w:t>mg/m</w:t>
                  </w:r>
                  <w:r>
                    <w:rPr>
                      <w:rFonts w:hint="default" w:ascii="Times New Roman" w:hAnsi="Times New Roman" w:eastAsia="宋体" w:cs="Times New Roman"/>
                      <w:bCs/>
                      <w:color w:val="auto"/>
                      <w:sz w:val="18"/>
                      <w:szCs w:val="18"/>
                      <w:vertAlign w:val="superscript"/>
                      <w:lang w:val="en-US" w:eastAsia="zh-CN"/>
                    </w:rPr>
                    <w:t>3</w:t>
                  </w:r>
                  <w:r>
                    <w:rPr>
                      <w:rFonts w:hint="default" w:ascii="Times New Roman" w:hAnsi="Times New Roman" w:eastAsia="宋体" w:cs="Times New Roman"/>
                      <w:bCs/>
                      <w:color w:val="auto"/>
                      <w:sz w:val="18"/>
                      <w:szCs w:val="18"/>
                      <w:lang w:eastAsia="zh-CN"/>
                    </w:rPr>
                    <w:t>）</w:t>
                  </w:r>
                </w:p>
              </w:tc>
              <w:tc>
                <w:tcPr>
                  <w:tcW w:w="695" w:type="pct"/>
                  <w:tcBorders>
                    <w:tl2br w:val="nil"/>
                    <w:tr2bl w:val="nil"/>
                  </w:tcBorders>
                  <w:noWrap w:val="0"/>
                  <w:vAlign w:val="center"/>
                </w:tcPr>
                <w:p w14:paraId="45ACE2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G1上风向</w:t>
                  </w:r>
                </w:p>
              </w:tc>
              <w:tc>
                <w:tcPr>
                  <w:tcW w:w="625" w:type="pct"/>
                  <w:tcBorders>
                    <w:tl2br w:val="nil"/>
                    <w:tr2bl w:val="nil"/>
                  </w:tcBorders>
                  <w:noWrap w:val="0"/>
                  <w:vAlign w:val="center"/>
                </w:tcPr>
                <w:p w14:paraId="12DC82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0.002</w:t>
                  </w:r>
                </w:p>
              </w:tc>
              <w:tc>
                <w:tcPr>
                  <w:tcW w:w="625" w:type="pct"/>
                  <w:tcBorders>
                    <w:tl2br w:val="nil"/>
                    <w:tr2bl w:val="nil"/>
                  </w:tcBorders>
                  <w:noWrap w:val="0"/>
                  <w:vAlign w:val="center"/>
                </w:tcPr>
                <w:p w14:paraId="5E7D90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0.005</w:t>
                  </w:r>
                </w:p>
              </w:tc>
              <w:tc>
                <w:tcPr>
                  <w:tcW w:w="626" w:type="pct"/>
                  <w:tcBorders>
                    <w:tl2br w:val="nil"/>
                    <w:tr2bl w:val="nil"/>
                  </w:tcBorders>
                  <w:noWrap w:val="0"/>
                  <w:vAlign w:val="center"/>
                </w:tcPr>
                <w:p w14:paraId="76B7A3B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0.001</w:t>
                  </w:r>
                </w:p>
              </w:tc>
              <w:tc>
                <w:tcPr>
                  <w:tcW w:w="600" w:type="pct"/>
                  <w:tcBorders>
                    <w:tl2br w:val="nil"/>
                    <w:tr2bl w:val="nil"/>
                  </w:tcBorders>
                  <w:noWrap w:val="0"/>
                  <w:vAlign w:val="center"/>
                </w:tcPr>
                <w:p w14:paraId="254D46D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0.004</w:t>
                  </w:r>
                </w:p>
              </w:tc>
              <w:tc>
                <w:tcPr>
                  <w:tcW w:w="600" w:type="pct"/>
                  <w:tcBorders>
                    <w:tl2br w:val="nil"/>
                    <w:tr2bl w:val="nil"/>
                  </w:tcBorders>
                  <w:noWrap w:val="0"/>
                  <w:vAlign w:val="center"/>
                </w:tcPr>
                <w:p w14:paraId="36B800B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0.001</w:t>
                  </w:r>
                </w:p>
              </w:tc>
              <w:tc>
                <w:tcPr>
                  <w:tcW w:w="600" w:type="pct"/>
                  <w:tcBorders>
                    <w:tl2br w:val="nil"/>
                    <w:tr2bl w:val="nil"/>
                  </w:tcBorders>
                  <w:noWrap w:val="0"/>
                  <w:vAlign w:val="center"/>
                </w:tcPr>
                <w:p w14:paraId="60302A2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0.002</w:t>
                  </w:r>
                </w:p>
              </w:tc>
            </w:tr>
            <w:tr w14:paraId="2592F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continue"/>
                  <w:tcBorders>
                    <w:tl2br w:val="nil"/>
                    <w:tr2bl w:val="nil"/>
                  </w:tcBorders>
                  <w:noWrap w:val="0"/>
                  <w:vAlign w:val="center"/>
                </w:tcPr>
                <w:p w14:paraId="54360024">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rPr>
                  </w:pPr>
                </w:p>
              </w:tc>
              <w:tc>
                <w:tcPr>
                  <w:tcW w:w="695" w:type="pct"/>
                  <w:tcBorders>
                    <w:tl2br w:val="nil"/>
                    <w:tr2bl w:val="nil"/>
                  </w:tcBorders>
                  <w:noWrap w:val="0"/>
                  <w:vAlign w:val="center"/>
                </w:tcPr>
                <w:p w14:paraId="5FD42AE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G2下风向</w:t>
                  </w:r>
                </w:p>
              </w:tc>
              <w:tc>
                <w:tcPr>
                  <w:tcW w:w="625" w:type="pct"/>
                  <w:tcBorders>
                    <w:tl2br w:val="nil"/>
                    <w:tr2bl w:val="nil"/>
                  </w:tcBorders>
                  <w:noWrap w:val="0"/>
                  <w:vAlign w:val="center"/>
                </w:tcPr>
                <w:p w14:paraId="5F2C665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0.008</w:t>
                  </w:r>
                </w:p>
              </w:tc>
              <w:tc>
                <w:tcPr>
                  <w:tcW w:w="625" w:type="pct"/>
                  <w:tcBorders>
                    <w:tl2br w:val="nil"/>
                    <w:tr2bl w:val="nil"/>
                  </w:tcBorders>
                  <w:noWrap w:val="0"/>
                  <w:vAlign w:val="center"/>
                </w:tcPr>
                <w:p w14:paraId="6139A39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0.010</w:t>
                  </w:r>
                </w:p>
              </w:tc>
              <w:tc>
                <w:tcPr>
                  <w:tcW w:w="626" w:type="pct"/>
                  <w:tcBorders>
                    <w:tl2br w:val="nil"/>
                    <w:tr2bl w:val="nil"/>
                  </w:tcBorders>
                  <w:noWrap w:val="0"/>
                  <w:vAlign w:val="center"/>
                </w:tcPr>
                <w:p w14:paraId="653002A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0.009</w:t>
                  </w:r>
                </w:p>
              </w:tc>
              <w:tc>
                <w:tcPr>
                  <w:tcW w:w="600" w:type="pct"/>
                  <w:tcBorders>
                    <w:tl2br w:val="nil"/>
                    <w:tr2bl w:val="nil"/>
                  </w:tcBorders>
                  <w:noWrap w:val="0"/>
                  <w:vAlign w:val="center"/>
                </w:tcPr>
                <w:p w14:paraId="30A416B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0.010</w:t>
                  </w:r>
                </w:p>
              </w:tc>
              <w:tc>
                <w:tcPr>
                  <w:tcW w:w="600" w:type="pct"/>
                  <w:tcBorders>
                    <w:tl2br w:val="nil"/>
                    <w:tr2bl w:val="nil"/>
                  </w:tcBorders>
                  <w:noWrap w:val="0"/>
                  <w:vAlign w:val="center"/>
                </w:tcPr>
                <w:p w14:paraId="28FA986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0.009</w:t>
                  </w:r>
                </w:p>
              </w:tc>
              <w:tc>
                <w:tcPr>
                  <w:tcW w:w="600" w:type="pct"/>
                  <w:tcBorders>
                    <w:tl2br w:val="nil"/>
                    <w:tr2bl w:val="nil"/>
                  </w:tcBorders>
                  <w:noWrap w:val="0"/>
                  <w:vAlign w:val="center"/>
                </w:tcPr>
                <w:p w14:paraId="6EF0BE7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0.007</w:t>
                  </w:r>
                </w:p>
              </w:tc>
            </w:tr>
            <w:tr w14:paraId="7887E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continue"/>
                  <w:tcBorders>
                    <w:tl2br w:val="nil"/>
                    <w:tr2bl w:val="nil"/>
                  </w:tcBorders>
                  <w:noWrap w:val="0"/>
                  <w:vAlign w:val="center"/>
                </w:tcPr>
                <w:p w14:paraId="0E15B8CF">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rPr>
                  </w:pPr>
                </w:p>
              </w:tc>
              <w:tc>
                <w:tcPr>
                  <w:tcW w:w="695" w:type="pct"/>
                  <w:tcBorders>
                    <w:tl2br w:val="nil"/>
                    <w:tr2bl w:val="nil"/>
                  </w:tcBorders>
                  <w:noWrap w:val="0"/>
                  <w:vAlign w:val="center"/>
                </w:tcPr>
                <w:p w14:paraId="025EE05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G3下风向</w:t>
                  </w:r>
                </w:p>
              </w:tc>
              <w:tc>
                <w:tcPr>
                  <w:tcW w:w="625" w:type="pct"/>
                  <w:tcBorders>
                    <w:tl2br w:val="nil"/>
                    <w:tr2bl w:val="nil"/>
                  </w:tcBorders>
                  <w:noWrap w:val="0"/>
                  <w:vAlign w:val="center"/>
                </w:tcPr>
                <w:p w14:paraId="40F3AF6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0.010</w:t>
                  </w:r>
                </w:p>
              </w:tc>
              <w:tc>
                <w:tcPr>
                  <w:tcW w:w="625" w:type="pct"/>
                  <w:tcBorders>
                    <w:tl2br w:val="nil"/>
                    <w:tr2bl w:val="nil"/>
                  </w:tcBorders>
                  <w:noWrap w:val="0"/>
                  <w:vAlign w:val="center"/>
                </w:tcPr>
                <w:p w14:paraId="6FA94A2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0.011</w:t>
                  </w:r>
                </w:p>
              </w:tc>
              <w:tc>
                <w:tcPr>
                  <w:tcW w:w="626" w:type="pct"/>
                  <w:tcBorders>
                    <w:tl2br w:val="nil"/>
                    <w:tr2bl w:val="nil"/>
                  </w:tcBorders>
                  <w:noWrap w:val="0"/>
                  <w:vAlign w:val="center"/>
                </w:tcPr>
                <w:p w14:paraId="6253EC9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0.010</w:t>
                  </w:r>
                </w:p>
              </w:tc>
              <w:tc>
                <w:tcPr>
                  <w:tcW w:w="600" w:type="pct"/>
                  <w:tcBorders>
                    <w:tl2br w:val="nil"/>
                    <w:tr2bl w:val="nil"/>
                  </w:tcBorders>
                  <w:noWrap w:val="0"/>
                  <w:vAlign w:val="center"/>
                </w:tcPr>
                <w:p w14:paraId="5E46754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0.009</w:t>
                  </w:r>
                </w:p>
              </w:tc>
              <w:tc>
                <w:tcPr>
                  <w:tcW w:w="600" w:type="pct"/>
                  <w:tcBorders>
                    <w:tl2br w:val="nil"/>
                    <w:tr2bl w:val="nil"/>
                  </w:tcBorders>
                  <w:noWrap w:val="0"/>
                  <w:vAlign w:val="center"/>
                </w:tcPr>
                <w:p w14:paraId="24F351B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0.007</w:t>
                  </w:r>
                </w:p>
              </w:tc>
              <w:tc>
                <w:tcPr>
                  <w:tcW w:w="600" w:type="pct"/>
                  <w:tcBorders>
                    <w:tl2br w:val="nil"/>
                    <w:tr2bl w:val="nil"/>
                  </w:tcBorders>
                  <w:noWrap w:val="0"/>
                  <w:vAlign w:val="center"/>
                </w:tcPr>
                <w:p w14:paraId="1EE9BF1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0.011</w:t>
                  </w:r>
                </w:p>
              </w:tc>
            </w:tr>
            <w:tr w14:paraId="4ED91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continue"/>
                  <w:tcBorders>
                    <w:tl2br w:val="nil"/>
                    <w:tr2bl w:val="nil"/>
                  </w:tcBorders>
                  <w:noWrap w:val="0"/>
                  <w:vAlign w:val="center"/>
                </w:tcPr>
                <w:p w14:paraId="0D66C2AD">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rPr>
                  </w:pPr>
                </w:p>
              </w:tc>
              <w:tc>
                <w:tcPr>
                  <w:tcW w:w="695" w:type="pct"/>
                  <w:tcBorders>
                    <w:tl2br w:val="nil"/>
                    <w:tr2bl w:val="nil"/>
                  </w:tcBorders>
                  <w:noWrap w:val="0"/>
                  <w:vAlign w:val="center"/>
                </w:tcPr>
                <w:p w14:paraId="2C4CF84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G4下风向</w:t>
                  </w:r>
                </w:p>
              </w:tc>
              <w:tc>
                <w:tcPr>
                  <w:tcW w:w="625" w:type="pct"/>
                  <w:tcBorders>
                    <w:tl2br w:val="nil"/>
                    <w:tr2bl w:val="nil"/>
                  </w:tcBorders>
                  <w:noWrap w:val="0"/>
                  <w:vAlign w:val="center"/>
                </w:tcPr>
                <w:p w14:paraId="071F610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0.006</w:t>
                  </w:r>
                </w:p>
              </w:tc>
              <w:tc>
                <w:tcPr>
                  <w:tcW w:w="625" w:type="pct"/>
                  <w:tcBorders>
                    <w:tl2br w:val="nil"/>
                    <w:tr2bl w:val="nil"/>
                  </w:tcBorders>
                  <w:noWrap w:val="0"/>
                  <w:vAlign w:val="center"/>
                </w:tcPr>
                <w:p w14:paraId="40D2DEF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0.008</w:t>
                  </w:r>
                </w:p>
              </w:tc>
              <w:tc>
                <w:tcPr>
                  <w:tcW w:w="626" w:type="pct"/>
                  <w:tcBorders>
                    <w:tl2br w:val="nil"/>
                    <w:tr2bl w:val="nil"/>
                  </w:tcBorders>
                  <w:noWrap w:val="0"/>
                  <w:vAlign w:val="center"/>
                </w:tcPr>
                <w:p w14:paraId="20784F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0.011</w:t>
                  </w:r>
                </w:p>
              </w:tc>
              <w:tc>
                <w:tcPr>
                  <w:tcW w:w="600" w:type="pct"/>
                  <w:tcBorders>
                    <w:tl2br w:val="nil"/>
                    <w:tr2bl w:val="nil"/>
                  </w:tcBorders>
                  <w:noWrap w:val="0"/>
                  <w:vAlign w:val="center"/>
                </w:tcPr>
                <w:p w14:paraId="60225CD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0.007</w:t>
                  </w:r>
                </w:p>
              </w:tc>
              <w:tc>
                <w:tcPr>
                  <w:tcW w:w="600" w:type="pct"/>
                  <w:tcBorders>
                    <w:tl2br w:val="nil"/>
                    <w:tr2bl w:val="nil"/>
                  </w:tcBorders>
                  <w:noWrap w:val="0"/>
                  <w:vAlign w:val="center"/>
                </w:tcPr>
                <w:p w14:paraId="33D1030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0.010</w:t>
                  </w:r>
                </w:p>
              </w:tc>
              <w:tc>
                <w:tcPr>
                  <w:tcW w:w="600" w:type="pct"/>
                  <w:tcBorders>
                    <w:tl2br w:val="nil"/>
                    <w:tr2bl w:val="nil"/>
                  </w:tcBorders>
                  <w:noWrap w:val="0"/>
                  <w:vAlign w:val="center"/>
                </w:tcPr>
                <w:p w14:paraId="516AEBE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0.009</w:t>
                  </w:r>
                </w:p>
              </w:tc>
            </w:tr>
            <w:tr w14:paraId="7AFC6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pct"/>
                  <w:gridSpan w:val="2"/>
                  <w:tcBorders>
                    <w:tl2br w:val="nil"/>
                    <w:tr2bl w:val="nil"/>
                  </w:tcBorders>
                  <w:noWrap w:val="0"/>
                  <w:vAlign w:val="center"/>
                </w:tcPr>
                <w:p w14:paraId="7424C6DB">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最大值</w:t>
                  </w:r>
                </w:p>
              </w:tc>
              <w:tc>
                <w:tcPr>
                  <w:tcW w:w="3680" w:type="pct"/>
                  <w:gridSpan w:val="6"/>
                  <w:tcBorders>
                    <w:tl2br w:val="nil"/>
                    <w:tr2bl w:val="nil"/>
                  </w:tcBorders>
                  <w:noWrap w:val="0"/>
                  <w:vAlign w:val="center"/>
                </w:tcPr>
                <w:p w14:paraId="44A36277">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0.011</w:t>
                  </w:r>
                </w:p>
              </w:tc>
            </w:tr>
            <w:tr w14:paraId="38884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pct"/>
                  <w:gridSpan w:val="2"/>
                  <w:tcBorders>
                    <w:tl2br w:val="nil"/>
                    <w:tr2bl w:val="nil"/>
                  </w:tcBorders>
                  <w:noWrap w:val="0"/>
                  <w:vAlign w:val="center"/>
                </w:tcPr>
                <w:p w14:paraId="0BF1E863">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排放限值</w:t>
                  </w:r>
                </w:p>
              </w:tc>
              <w:tc>
                <w:tcPr>
                  <w:tcW w:w="3680" w:type="pct"/>
                  <w:gridSpan w:val="6"/>
                  <w:tcBorders>
                    <w:tl2br w:val="nil"/>
                    <w:tr2bl w:val="nil"/>
                  </w:tcBorders>
                  <w:noWrap w:val="0"/>
                  <w:vAlign w:val="center"/>
                </w:tcPr>
                <w:p w14:paraId="3FFE7651">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0.03</w:t>
                  </w:r>
                </w:p>
              </w:tc>
            </w:tr>
            <w:tr w14:paraId="5A414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pct"/>
                  <w:gridSpan w:val="2"/>
                  <w:tcBorders>
                    <w:tl2br w:val="nil"/>
                    <w:tr2bl w:val="nil"/>
                  </w:tcBorders>
                  <w:noWrap w:val="0"/>
                  <w:vAlign w:val="center"/>
                </w:tcPr>
                <w:p w14:paraId="6B7B8991">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是否达标</w:t>
                  </w:r>
                </w:p>
              </w:tc>
              <w:tc>
                <w:tcPr>
                  <w:tcW w:w="3680" w:type="pct"/>
                  <w:gridSpan w:val="6"/>
                  <w:tcBorders>
                    <w:tl2br w:val="nil"/>
                    <w:tr2bl w:val="nil"/>
                  </w:tcBorders>
                  <w:noWrap w:val="0"/>
                  <w:vAlign w:val="center"/>
                </w:tcPr>
                <w:p w14:paraId="69F859E0">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达标</w:t>
                  </w:r>
                </w:p>
              </w:tc>
            </w:tr>
          </w:tbl>
          <w:p w14:paraId="2FA1C68E">
            <w:pPr>
              <w:keepNext w:val="0"/>
              <w:keepLines w:val="0"/>
              <w:suppressLineNumbers w:val="0"/>
              <w:adjustRightInd w:val="0"/>
              <w:snapToGrid w:val="0"/>
              <w:spacing w:before="0" w:beforeAutospacing="0" w:after="0" w:afterAutospacing="0" w:line="240" w:lineRule="auto"/>
              <w:ind w:left="-490" w:leftChars="-204" w:right="0" w:firstLine="482"/>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2</w:t>
            </w:r>
            <w:r>
              <w:rPr>
                <w:rFonts w:hint="eastAsia" w:cs="Times New Roman"/>
                <w:b/>
                <w:bCs/>
                <w:color w:val="auto"/>
                <w:kern w:val="2"/>
                <w:sz w:val="24"/>
                <w:szCs w:val="24"/>
                <w:highlight w:val="none"/>
                <w:lang w:val="en-US" w:eastAsia="zh-CN" w:bidi="ar-SA"/>
              </w:rPr>
              <w:t>.2-5</w:t>
            </w:r>
            <w:r>
              <w:rPr>
                <w:rFonts w:hint="default" w:ascii="Times New Roman" w:hAnsi="Times New Roman" w:eastAsia="宋体" w:cs="Times New Roman"/>
                <w:b/>
                <w:bCs/>
                <w:color w:val="auto"/>
                <w:kern w:val="2"/>
                <w:sz w:val="24"/>
                <w:szCs w:val="24"/>
                <w:highlight w:val="none"/>
                <w:lang w:val="en-US" w:eastAsia="zh-CN" w:bidi="ar-SA"/>
              </w:rPr>
              <w:t>无组织废气检测结果</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165"/>
              <w:gridCol w:w="1046"/>
              <w:gridCol w:w="1046"/>
              <w:gridCol w:w="1051"/>
              <w:gridCol w:w="1004"/>
              <w:gridCol w:w="1004"/>
              <w:gridCol w:w="1008"/>
            </w:tblGrid>
            <w:tr w14:paraId="4D416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restart"/>
                  <w:tcBorders>
                    <w:tl2br w:val="nil"/>
                    <w:tr2bl w:val="nil"/>
                  </w:tcBorders>
                  <w:noWrap w:val="0"/>
                  <w:vAlign w:val="center"/>
                </w:tcPr>
                <w:p w14:paraId="1DED3349">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检测项目</w:t>
                  </w:r>
                </w:p>
              </w:tc>
              <w:tc>
                <w:tcPr>
                  <w:tcW w:w="695" w:type="pct"/>
                  <w:vMerge w:val="restart"/>
                  <w:tcBorders>
                    <w:tl2br w:val="nil"/>
                    <w:tr2bl w:val="nil"/>
                  </w:tcBorders>
                  <w:noWrap w:val="0"/>
                  <w:vAlign w:val="center"/>
                </w:tcPr>
                <w:p w14:paraId="4A5ABAA1">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采样</w:t>
                  </w:r>
                </w:p>
                <w:p w14:paraId="6FCD16A7">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频次</w:t>
                  </w:r>
                </w:p>
              </w:tc>
              <w:tc>
                <w:tcPr>
                  <w:tcW w:w="1878" w:type="pct"/>
                  <w:gridSpan w:val="3"/>
                  <w:tcBorders>
                    <w:tl2br w:val="nil"/>
                    <w:tr2bl w:val="nil"/>
                  </w:tcBorders>
                  <w:noWrap w:val="0"/>
                  <w:vAlign w:val="center"/>
                </w:tcPr>
                <w:p w14:paraId="74D4F676">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2021.5.28</w:t>
                  </w:r>
                </w:p>
              </w:tc>
              <w:tc>
                <w:tcPr>
                  <w:tcW w:w="1802" w:type="pct"/>
                  <w:gridSpan w:val="3"/>
                  <w:tcBorders>
                    <w:tl2br w:val="nil"/>
                    <w:tr2bl w:val="nil"/>
                  </w:tcBorders>
                  <w:noWrap w:val="0"/>
                  <w:vAlign w:val="center"/>
                </w:tcPr>
                <w:p w14:paraId="70538EEB">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2021.5.29</w:t>
                  </w:r>
                </w:p>
              </w:tc>
            </w:tr>
            <w:tr w14:paraId="7FD26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continue"/>
                  <w:tcBorders>
                    <w:tl2br w:val="nil"/>
                    <w:tr2bl w:val="nil"/>
                  </w:tcBorders>
                  <w:noWrap w:val="0"/>
                  <w:vAlign w:val="center"/>
                </w:tcPr>
                <w:p w14:paraId="674BC627">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p>
              </w:tc>
              <w:tc>
                <w:tcPr>
                  <w:tcW w:w="695" w:type="pct"/>
                  <w:vMerge w:val="continue"/>
                  <w:tcBorders>
                    <w:tl2br w:val="nil"/>
                    <w:tr2bl w:val="nil"/>
                  </w:tcBorders>
                  <w:noWrap w:val="0"/>
                  <w:vAlign w:val="center"/>
                </w:tcPr>
                <w:p w14:paraId="17D492B1">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p>
              </w:tc>
              <w:tc>
                <w:tcPr>
                  <w:tcW w:w="625" w:type="pct"/>
                  <w:tcBorders>
                    <w:tl2br w:val="nil"/>
                    <w:tr2bl w:val="nil"/>
                  </w:tcBorders>
                  <w:noWrap w:val="0"/>
                  <w:vAlign w:val="center"/>
                </w:tcPr>
                <w:p w14:paraId="3BB9AD4C">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1</w:t>
                  </w:r>
                </w:p>
              </w:tc>
              <w:tc>
                <w:tcPr>
                  <w:tcW w:w="625" w:type="pct"/>
                  <w:tcBorders>
                    <w:tl2br w:val="nil"/>
                    <w:tr2bl w:val="nil"/>
                  </w:tcBorders>
                  <w:noWrap w:val="0"/>
                  <w:vAlign w:val="center"/>
                </w:tcPr>
                <w:p w14:paraId="1FE2DD6D">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2</w:t>
                  </w:r>
                </w:p>
              </w:tc>
              <w:tc>
                <w:tcPr>
                  <w:tcW w:w="626" w:type="pct"/>
                  <w:tcBorders>
                    <w:tl2br w:val="nil"/>
                    <w:tr2bl w:val="nil"/>
                  </w:tcBorders>
                  <w:noWrap w:val="0"/>
                  <w:vAlign w:val="center"/>
                </w:tcPr>
                <w:p w14:paraId="0FC30E68">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3</w:t>
                  </w:r>
                </w:p>
              </w:tc>
              <w:tc>
                <w:tcPr>
                  <w:tcW w:w="600" w:type="pct"/>
                  <w:tcBorders>
                    <w:tl2br w:val="nil"/>
                    <w:tr2bl w:val="nil"/>
                  </w:tcBorders>
                  <w:noWrap w:val="0"/>
                  <w:vAlign w:val="center"/>
                </w:tcPr>
                <w:p w14:paraId="3E7F7EA3">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1</w:t>
                  </w:r>
                </w:p>
              </w:tc>
              <w:tc>
                <w:tcPr>
                  <w:tcW w:w="600" w:type="pct"/>
                  <w:tcBorders>
                    <w:tl2br w:val="nil"/>
                    <w:tr2bl w:val="nil"/>
                  </w:tcBorders>
                  <w:noWrap w:val="0"/>
                  <w:vAlign w:val="center"/>
                </w:tcPr>
                <w:p w14:paraId="721BF3D8">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2</w:t>
                  </w:r>
                </w:p>
              </w:tc>
              <w:tc>
                <w:tcPr>
                  <w:tcW w:w="600" w:type="pct"/>
                  <w:tcBorders>
                    <w:tl2br w:val="nil"/>
                    <w:tr2bl w:val="nil"/>
                  </w:tcBorders>
                  <w:noWrap w:val="0"/>
                  <w:vAlign w:val="center"/>
                </w:tcPr>
                <w:p w14:paraId="7EC9C23A">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3</w:t>
                  </w:r>
                </w:p>
              </w:tc>
            </w:tr>
            <w:tr w14:paraId="63ADD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restart"/>
                  <w:tcBorders>
                    <w:tl2br w:val="nil"/>
                    <w:tr2bl w:val="nil"/>
                  </w:tcBorders>
                  <w:noWrap w:val="0"/>
                  <w:vAlign w:val="center"/>
                </w:tcPr>
                <w:p w14:paraId="773F2062">
                  <w:pPr>
                    <w:pStyle w:val="2"/>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氨</w:t>
                  </w:r>
                  <w:r>
                    <w:rPr>
                      <w:rFonts w:hint="default" w:ascii="Times New Roman" w:hAnsi="Times New Roman" w:eastAsia="宋体" w:cs="Times New Roman"/>
                      <w:bCs/>
                      <w:color w:val="auto"/>
                      <w:sz w:val="18"/>
                      <w:szCs w:val="18"/>
                      <w:lang w:eastAsia="zh-CN"/>
                    </w:rPr>
                    <w:t>（</w:t>
                  </w:r>
                  <w:r>
                    <w:rPr>
                      <w:rFonts w:hint="default" w:ascii="Times New Roman" w:hAnsi="Times New Roman" w:eastAsia="宋体" w:cs="Times New Roman"/>
                      <w:bCs/>
                      <w:color w:val="auto"/>
                      <w:sz w:val="18"/>
                      <w:szCs w:val="18"/>
                      <w:lang w:val="en-US" w:eastAsia="zh-CN"/>
                    </w:rPr>
                    <w:t>mg/m</w:t>
                  </w:r>
                  <w:r>
                    <w:rPr>
                      <w:rFonts w:hint="default" w:ascii="Times New Roman" w:hAnsi="Times New Roman" w:eastAsia="宋体" w:cs="Times New Roman"/>
                      <w:bCs/>
                      <w:color w:val="auto"/>
                      <w:sz w:val="18"/>
                      <w:szCs w:val="18"/>
                      <w:vertAlign w:val="superscript"/>
                      <w:lang w:val="en-US" w:eastAsia="zh-CN"/>
                    </w:rPr>
                    <w:t>3</w:t>
                  </w:r>
                  <w:r>
                    <w:rPr>
                      <w:rFonts w:hint="default" w:ascii="Times New Roman" w:hAnsi="Times New Roman" w:eastAsia="宋体" w:cs="Times New Roman"/>
                      <w:bCs/>
                      <w:color w:val="auto"/>
                      <w:sz w:val="18"/>
                      <w:szCs w:val="18"/>
                      <w:lang w:eastAsia="zh-CN"/>
                    </w:rPr>
                    <w:t>）</w:t>
                  </w:r>
                </w:p>
              </w:tc>
              <w:tc>
                <w:tcPr>
                  <w:tcW w:w="695" w:type="pct"/>
                  <w:tcBorders>
                    <w:tl2br w:val="nil"/>
                    <w:tr2bl w:val="nil"/>
                  </w:tcBorders>
                  <w:noWrap w:val="0"/>
                  <w:vAlign w:val="center"/>
                </w:tcPr>
                <w:p w14:paraId="6E9D16F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G1上风向</w:t>
                  </w:r>
                </w:p>
              </w:tc>
              <w:tc>
                <w:tcPr>
                  <w:tcW w:w="625" w:type="pct"/>
                  <w:tcBorders>
                    <w:tl2br w:val="nil"/>
                    <w:tr2bl w:val="nil"/>
                  </w:tcBorders>
                  <w:noWrap w:val="0"/>
                  <w:vAlign w:val="center"/>
                </w:tcPr>
                <w:p w14:paraId="544BAD2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0.04</w:t>
                  </w:r>
                </w:p>
              </w:tc>
              <w:tc>
                <w:tcPr>
                  <w:tcW w:w="625" w:type="pct"/>
                  <w:tcBorders>
                    <w:tl2br w:val="nil"/>
                    <w:tr2bl w:val="nil"/>
                  </w:tcBorders>
                  <w:noWrap w:val="0"/>
                  <w:vAlign w:val="center"/>
                </w:tcPr>
                <w:p w14:paraId="69B4FD0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w:t>
                  </w:r>
                </w:p>
              </w:tc>
              <w:tc>
                <w:tcPr>
                  <w:tcW w:w="626" w:type="pct"/>
                  <w:tcBorders>
                    <w:tl2br w:val="nil"/>
                    <w:tr2bl w:val="nil"/>
                  </w:tcBorders>
                  <w:noWrap w:val="0"/>
                  <w:vAlign w:val="center"/>
                </w:tcPr>
                <w:p w14:paraId="5474FC0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w:t>
                  </w:r>
                </w:p>
              </w:tc>
              <w:tc>
                <w:tcPr>
                  <w:tcW w:w="600" w:type="pct"/>
                  <w:tcBorders>
                    <w:tl2br w:val="nil"/>
                    <w:tr2bl w:val="nil"/>
                  </w:tcBorders>
                  <w:noWrap w:val="0"/>
                  <w:vAlign w:val="center"/>
                </w:tcPr>
                <w:p w14:paraId="6BE534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0.04</w:t>
                  </w:r>
                </w:p>
              </w:tc>
              <w:tc>
                <w:tcPr>
                  <w:tcW w:w="600" w:type="pct"/>
                  <w:tcBorders>
                    <w:tl2br w:val="nil"/>
                    <w:tr2bl w:val="nil"/>
                  </w:tcBorders>
                  <w:noWrap w:val="0"/>
                  <w:vAlign w:val="center"/>
                </w:tcPr>
                <w:p w14:paraId="7AC7FAC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w:t>
                  </w:r>
                </w:p>
              </w:tc>
              <w:tc>
                <w:tcPr>
                  <w:tcW w:w="600" w:type="pct"/>
                  <w:tcBorders>
                    <w:tl2br w:val="nil"/>
                    <w:tr2bl w:val="nil"/>
                  </w:tcBorders>
                  <w:noWrap w:val="0"/>
                  <w:vAlign w:val="center"/>
                </w:tcPr>
                <w:p w14:paraId="50BF659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w:t>
                  </w:r>
                </w:p>
              </w:tc>
            </w:tr>
            <w:tr w14:paraId="4BEBC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continue"/>
                  <w:tcBorders>
                    <w:tl2br w:val="nil"/>
                    <w:tr2bl w:val="nil"/>
                  </w:tcBorders>
                  <w:noWrap w:val="0"/>
                  <w:vAlign w:val="center"/>
                </w:tcPr>
                <w:p w14:paraId="2B19684B">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rPr>
                  </w:pPr>
                </w:p>
              </w:tc>
              <w:tc>
                <w:tcPr>
                  <w:tcW w:w="695" w:type="pct"/>
                  <w:tcBorders>
                    <w:tl2br w:val="nil"/>
                    <w:tr2bl w:val="nil"/>
                  </w:tcBorders>
                  <w:noWrap w:val="0"/>
                  <w:vAlign w:val="center"/>
                </w:tcPr>
                <w:p w14:paraId="71DCB72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G2下风向</w:t>
                  </w:r>
                </w:p>
              </w:tc>
              <w:tc>
                <w:tcPr>
                  <w:tcW w:w="625" w:type="pct"/>
                  <w:tcBorders>
                    <w:tl2br w:val="nil"/>
                    <w:tr2bl w:val="nil"/>
                  </w:tcBorders>
                  <w:noWrap w:val="0"/>
                  <w:vAlign w:val="center"/>
                </w:tcPr>
                <w:p w14:paraId="51F1A3A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0.10</w:t>
                  </w:r>
                </w:p>
              </w:tc>
              <w:tc>
                <w:tcPr>
                  <w:tcW w:w="625" w:type="pct"/>
                  <w:tcBorders>
                    <w:tl2br w:val="nil"/>
                    <w:tr2bl w:val="nil"/>
                  </w:tcBorders>
                  <w:noWrap w:val="0"/>
                  <w:vAlign w:val="center"/>
                </w:tcPr>
                <w:p w14:paraId="0E12E0E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0.16</w:t>
                  </w:r>
                </w:p>
              </w:tc>
              <w:tc>
                <w:tcPr>
                  <w:tcW w:w="626" w:type="pct"/>
                  <w:tcBorders>
                    <w:tl2br w:val="nil"/>
                    <w:tr2bl w:val="nil"/>
                  </w:tcBorders>
                  <w:noWrap w:val="0"/>
                  <w:vAlign w:val="center"/>
                </w:tcPr>
                <w:p w14:paraId="330B5CD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0.12</w:t>
                  </w:r>
                </w:p>
              </w:tc>
              <w:tc>
                <w:tcPr>
                  <w:tcW w:w="600" w:type="pct"/>
                  <w:tcBorders>
                    <w:tl2br w:val="nil"/>
                    <w:tr2bl w:val="nil"/>
                  </w:tcBorders>
                  <w:noWrap w:val="0"/>
                  <w:vAlign w:val="center"/>
                </w:tcPr>
                <w:p w14:paraId="12ED00D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0.13</w:t>
                  </w:r>
                </w:p>
              </w:tc>
              <w:tc>
                <w:tcPr>
                  <w:tcW w:w="600" w:type="pct"/>
                  <w:tcBorders>
                    <w:tl2br w:val="nil"/>
                    <w:tr2bl w:val="nil"/>
                  </w:tcBorders>
                  <w:noWrap w:val="0"/>
                  <w:vAlign w:val="center"/>
                </w:tcPr>
                <w:p w14:paraId="1C89728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0.15</w:t>
                  </w:r>
                </w:p>
              </w:tc>
              <w:tc>
                <w:tcPr>
                  <w:tcW w:w="600" w:type="pct"/>
                  <w:tcBorders>
                    <w:tl2br w:val="nil"/>
                    <w:tr2bl w:val="nil"/>
                  </w:tcBorders>
                  <w:noWrap w:val="0"/>
                  <w:vAlign w:val="center"/>
                </w:tcPr>
                <w:p w14:paraId="4053B3C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0.11</w:t>
                  </w:r>
                </w:p>
              </w:tc>
            </w:tr>
            <w:tr w14:paraId="35444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continue"/>
                  <w:tcBorders>
                    <w:tl2br w:val="nil"/>
                    <w:tr2bl w:val="nil"/>
                  </w:tcBorders>
                  <w:noWrap w:val="0"/>
                  <w:vAlign w:val="center"/>
                </w:tcPr>
                <w:p w14:paraId="2FA0E83D">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rPr>
                  </w:pPr>
                </w:p>
              </w:tc>
              <w:tc>
                <w:tcPr>
                  <w:tcW w:w="695" w:type="pct"/>
                  <w:tcBorders>
                    <w:tl2br w:val="nil"/>
                    <w:tr2bl w:val="nil"/>
                  </w:tcBorders>
                  <w:noWrap w:val="0"/>
                  <w:vAlign w:val="center"/>
                </w:tcPr>
                <w:p w14:paraId="2A79A1D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G3下风向</w:t>
                  </w:r>
                </w:p>
              </w:tc>
              <w:tc>
                <w:tcPr>
                  <w:tcW w:w="625" w:type="pct"/>
                  <w:tcBorders>
                    <w:tl2br w:val="nil"/>
                    <w:tr2bl w:val="nil"/>
                  </w:tcBorders>
                  <w:noWrap w:val="0"/>
                  <w:vAlign w:val="center"/>
                </w:tcPr>
                <w:p w14:paraId="7BAE976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0.13</w:t>
                  </w:r>
                </w:p>
              </w:tc>
              <w:tc>
                <w:tcPr>
                  <w:tcW w:w="625" w:type="pct"/>
                  <w:tcBorders>
                    <w:tl2br w:val="nil"/>
                    <w:tr2bl w:val="nil"/>
                  </w:tcBorders>
                  <w:noWrap w:val="0"/>
                  <w:vAlign w:val="center"/>
                </w:tcPr>
                <w:p w14:paraId="77A8824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0.15</w:t>
                  </w:r>
                </w:p>
              </w:tc>
              <w:tc>
                <w:tcPr>
                  <w:tcW w:w="626" w:type="pct"/>
                  <w:tcBorders>
                    <w:tl2br w:val="nil"/>
                    <w:tr2bl w:val="nil"/>
                  </w:tcBorders>
                  <w:noWrap w:val="0"/>
                  <w:vAlign w:val="center"/>
                </w:tcPr>
                <w:p w14:paraId="71A9DF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0.16</w:t>
                  </w:r>
                </w:p>
              </w:tc>
              <w:tc>
                <w:tcPr>
                  <w:tcW w:w="600" w:type="pct"/>
                  <w:tcBorders>
                    <w:tl2br w:val="nil"/>
                    <w:tr2bl w:val="nil"/>
                  </w:tcBorders>
                  <w:noWrap w:val="0"/>
                  <w:vAlign w:val="center"/>
                </w:tcPr>
                <w:p w14:paraId="35C6863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0.13</w:t>
                  </w:r>
                </w:p>
              </w:tc>
              <w:tc>
                <w:tcPr>
                  <w:tcW w:w="600" w:type="pct"/>
                  <w:tcBorders>
                    <w:tl2br w:val="nil"/>
                    <w:tr2bl w:val="nil"/>
                  </w:tcBorders>
                  <w:noWrap w:val="0"/>
                  <w:vAlign w:val="center"/>
                </w:tcPr>
                <w:p w14:paraId="7306380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0.14</w:t>
                  </w:r>
                </w:p>
              </w:tc>
              <w:tc>
                <w:tcPr>
                  <w:tcW w:w="600" w:type="pct"/>
                  <w:tcBorders>
                    <w:tl2br w:val="nil"/>
                    <w:tr2bl w:val="nil"/>
                  </w:tcBorders>
                  <w:noWrap w:val="0"/>
                  <w:vAlign w:val="center"/>
                </w:tcPr>
                <w:p w14:paraId="2B60109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0.16</w:t>
                  </w:r>
                </w:p>
              </w:tc>
            </w:tr>
            <w:tr w14:paraId="002E1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pct"/>
                  <w:vMerge w:val="continue"/>
                  <w:tcBorders>
                    <w:tl2br w:val="nil"/>
                    <w:tr2bl w:val="nil"/>
                  </w:tcBorders>
                  <w:noWrap w:val="0"/>
                  <w:vAlign w:val="center"/>
                </w:tcPr>
                <w:p w14:paraId="45AABA7E">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rPr>
                  </w:pPr>
                </w:p>
              </w:tc>
              <w:tc>
                <w:tcPr>
                  <w:tcW w:w="695" w:type="pct"/>
                  <w:tcBorders>
                    <w:tl2br w:val="nil"/>
                    <w:tr2bl w:val="nil"/>
                  </w:tcBorders>
                  <w:noWrap w:val="0"/>
                  <w:vAlign w:val="center"/>
                </w:tcPr>
                <w:p w14:paraId="7A2C69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G4下风向</w:t>
                  </w:r>
                </w:p>
              </w:tc>
              <w:tc>
                <w:tcPr>
                  <w:tcW w:w="625" w:type="pct"/>
                  <w:tcBorders>
                    <w:tl2br w:val="nil"/>
                    <w:tr2bl w:val="nil"/>
                  </w:tcBorders>
                  <w:noWrap w:val="0"/>
                  <w:vAlign w:val="center"/>
                </w:tcPr>
                <w:p w14:paraId="773FA5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0.10</w:t>
                  </w:r>
                </w:p>
              </w:tc>
              <w:tc>
                <w:tcPr>
                  <w:tcW w:w="625" w:type="pct"/>
                  <w:tcBorders>
                    <w:tl2br w:val="nil"/>
                    <w:tr2bl w:val="nil"/>
                  </w:tcBorders>
                  <w:noWrap w:val="0"/>
                  <w:vAlign w:val="center"/>
                </w:tcPr>
                <w:p w14:paraId="5E12D7D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0.14</w:t>
                  </w:r>
                </w:p>
              </w:tc>
              <w:tc>
                <w:tcPr>
                  <w:tcW w:w="626" w:type="pct"/>
                  <w:tcBorders>
                    <w:tl2br w:val="nil"/>
                    <w:tr2bl w:val="nil"/>
                  </w:tcBorders>
                  <w:noWrap w:val="0"/>
                  <w:vAlign w:val="center"/>
                </w:tcPr>
                <w:p w14:paraId="62C6C04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0.11</w:t>
                  </w:r>
                </w:p>
              </w:tc>
              <w:tc>
                <w:tcPr>
                  <w:tcW w:w="600" w:type="pct"/>
                  <w:tcBorders>
                    <w:tl2br w:val="nil"/>
                    <w:tr2bl w:val="nil"/>
                  </w:tcBorders>
                  <w:noWrap w:val="0"/>
                  <w:vAlign w:val="center"/>
                </w:tcPr>
                <w:p w14:paraId="4955EC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0.11</w:t>
                  </w:r>
                </w:p>
              </w:tc>
              <w:tc>
                <w:tcPr>
                  <w:tcW w:w="600" w:type="pct"/>
                  <w:tcBorders>
                    <w:tl2br w:val="nil"/>
                    <w:tr2bl w:val="nil"/>
                  </w:tcBorders>
                  <w:noWrap w:val="0"/>
                  <w:vAlign w:val="center"/>
                </w:tcPr>
                <w:p w14:paraId="131599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0.13</w:t>
                  </w:r>
                </w:p>
              </w:tc>
              <w:tc>
                <w:tcPr>
                  <w:tcW w:w="600" w:type="pct"/>
                  <w:tcBorders>
                    <w:tl2br w:val="nil"/>
                    <w:tr2bl w:val="nil"/>
                  </w:tcBorders>
                  <w:noWrap w:val="0"/>
                  <w:vAlign w:val="center"/>
                </w:tcPr>
                <w:p w14:paraId="5CF7CA3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0.12</w:t>
                  </w:r>
                </w:p>
              </w:tc>
            </w:tr>
            <w:tr w14:paraId="4CACE0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pct"/>
                  <w:gridSpan w:val="2"/>
                  <w:tcBorders>
                    <w:tl2br w:val="nil"/>
                    <w:tr2bl w:val="nil"/>
                  </w:tcBorders>
                  <w:noWrap w:val="0"/>
                  <w:vAlign w:val="center"/>
                </w:tcPr>
                <w:p w14:paraId="52DFB29F">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最大值</w:t>
                  </w:r>
                </w:p>
              </w:tc>
              <w:tc>
                <w:tcPr>
                  <w:tcW w:w="3680" w:type="pct"/>
                  <w:gridSpan w:val="6"/>
                  <w:tcBorders>
                    <w:tl2br w:val="nil"/>
                    <w:tr2bl w:val="nil"/>
                  </w:tcBorders>
                  <w:noWrap w:val="0"/>
                  <w:vAlign w:val="center"/>
                </w:tcPr>
                <w:p w14:paraId="39210E3E">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0.16</w:t>
                  </w:r>
                </w:p>
              </w:tc>
            </w:tr>
            <w:tr w14:paraId="54959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pct"/>
                  <w:gridSpan w:val="2"/>
                  <w:tcBorders>
                    <w:tl2br w:val="nil"/>
                    <w:tr2bl w:val="nil"/>
                  </w:tcBorders>
                  <w:noWrap w:val="0"/>
                  <w:vAlign w:val="center"/>
                </w:tcPr>
                <w:p w14:paraId="7793F2C1">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排放限值</w:t>
                  </w:r>
                </w:p>
              </w:tc>
              <w:tc>
                <w:tcPr>
                  <w:tcW w:w="3680" w:type="pct"/>
                  <w:gridSpan w:val="6"/>
                  <w:tcBorders>
                    <w:tl2br w:val="nil"/>
                    <w:tr2bl w:val="nil"/>
                  </w:tcBorders>
                  <w:noWrap w:val="0"/>
                  <w:vAlign w:val="center"/>
                </w:tcPr>
                <w:p w14:paraId="3CE385BF">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1.0</w:t>
                  </w:r>
                </w:p>
              </w:tc>
            </w:tr>
            <w:tr w14:paraId="04398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19" w:type="pct"/>
                  <w:gridSpan w:val="2"/>
                  <w:tcBorders>
                    <w:tl2br w:val="nil"/>
                    <w:tr2bl w:val="nil"/>
                  </w:tcBorders>
                  <w:noWrap w:val="0"/>
                  <w:vAlign w:val="center"/>
                </w:tcPr>
                <w:p w14:paraId="5EAA5A8D">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是否达标</w:t>
                  </w:r>
                </w:p>
              </w:tc>
              <w:tc>
                <w:tcPr>
                  <w:tcW w:w="3680" w:type="pct"/>
                  <w:gridSpan w:val="6"/>
                  <w:tcBorders>
                    <w:tl2br w:val="nil"/>
                    <w:tr2bl w:val="nil"/>
                  </w:tcBorders>
                  <w:noWrap w:val="0"/>
                  <w:vAlign w:val="center"/>
                </w:tcPr>
                <w:p w14:paraId="1B5DD6AA">
                  <w:pPr>
                    <w:keepNext w:val="0"/>
                    <w:keepLines w:val="0"/>
                    <w:pageBreakBefore w:val="0"/>
                    <w:widowControl w:val="0"/>
                    <w:suppressLineNumbers w:val="0"/>
                    <w:kinsoku/>
                    <w:wordWrap/>
                    <w:overflowPunct/>
                    <w:topLinePunct w:val="0"/>
                    <w:bidi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达标</w:t>
                  </w:r>
                </w:p>
              </w:tc>
            </w:tr>
          </w:tbl>
          <w:p w14:paraId="1D02CB4E">
            <w:pPr>
              <w:pStyle w:val="13"/>
              <w:keepNext w:val="0"/>
              <w:keepLines w:val="0"/>
              <w:pageBreakBefore w:val="0"/>
              <w:widowControl w:val="0"/>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p w14:paraId="6D99CAEC">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涟水县人民医院现有项目</w:t>
            </w:r>
            <w:r>
              <w:rPr>
                <w:rFonts w:hint="eastAsia" w:cs="Times New Roman"/>
                <w:b w:val="0"/>
                <w:bCs w:val="0"/>
                <w:color w:val="auto"/>
                <w:kern w:val="2"/>
                <w:sz w:val="24"/>
                <w:szCs w:val="24"/>
                <w:highlight w:val="none"/>
                <w:lang w:val="en-US" w:eastAsia="zh-CN" w:bidi="ar-SA"/>
              </w:rPr>
              <w:t>废水</w:t>
            </w:r>
            <w:r>
              <w:rPr>
                <w:rFonts w:hint="eastAsia" w:ascii="Times New Roman" w:hAnsi="Times New Roman" w:eastAsia="宋体" w:cs="Times New Roman"/>
                <w:b w:val="0"/>
                <w:bCs w:val="0"/>
                <w:color w:val="auto"/>
                <w:kern w:val="2"/>
                <w:sz w:val="24"/>
                <w:szCs w:val="24"/>
                <w:highlight w:val="none"/>
                <w:lang w:val="en-US" w:eastAsia="zh-CN" w:bidi="ar-SA"/>
              </w:rPr>
              <w:t>主要为</w:t>
            </w:r>
            <w:r>
              <w:rPr>
                <w:rFonts w:hint="eastAsia" w:cs="Times New Roman"/>
                <w:b w:val="0"/>
                <w:bCs w:val="0"/>
                <w:color w:val="auto"/>
                <w:kern w:val="2"/>
                <w:sz w:val="24"/>
                <w:szCs w:val="24"/>
                <w:highlight w:val="none"/>
                <w:lang w:val="en-US" w:eastAsia="zh-CN" w:bidi="ar-SA"/>
              </w:rPr>
              <w:t>食堂废水、生活污水、医疗废水。</w:t>
            </w:r>
          </w:p>
          <w:p w14:paraId="48152027">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食堂废水经过隔油池处理后排放至二氧化氯消毒、生活污水经化粪池处理后排放至二氧化氯消毒；院感楼废水经预处理消毒后与医疗废水一起经现有污水处理站处理。</w:t>
            </w:r>
            <w:r>
              <w:rPr>
                <w:rFonts w:hint="eastAsia" w:ascii="Times New Roman" w:hAnsi="Times New Roman" w:eastAsia="宋体" w:cs="Times New Roman"/>
                <w:b w:val="0"/>
                <w:bCs w:val="0"/>
                <w:color w:val="auto"/>
                <w:kern w:val="2"/>
                <w:sz w:val="24"/>
                <w:szCs w:val="24"/>
                <w:highlight w:val="none"/>
                <w:lang w:val="en-US" w:eastAsia="zh-CN" w:bidi="ar-SA"/>
              </w:rPr>
              <w:t>医院现有污水处理站</w:t>
            </w:r>
            <w:r>
              <w:rPr>
                <w:rFonts w:hint="eastAsia" w:cs="Times New Roman"/>
                <w:b w:val="0"/>
                <w:bCs w:val="0"/>
                <w:color w:val="auto"/>
                <w:kern w:val="2"/>
                <w:sz w:val="24"/>
                <w:szCs w:val="24"/>
                <w:highlight w:val="none"/>
                <w:lang w:val="en-US" w:eastAsia="zh-CN" w:bidi="ar-SA"/>
              </w:rPr>
              <w:t>主要</w:t>
            </w:r>
            <w:r>
              <w:rPr>
                <w:rFonts w:hint="eastAsia" w:ascii="Times New Roman" w:hAnsi="Times New Roman" w:eastAsia="宋体" w:cs="Times New Roman"/>
                <w:b w:val="0"/>
                <w:bCs w:val="0"/>
                <w:color w:val="auto"/>
                <w:kern w:val="2"/>
                <w:sz w:val="24"/>
                <w:szCs w:val="24"/>
                <w:highlight w:val="none"/>
                <w:lang w:val="en-US" w:eastAsia="zh-CN" w:bidi="ar-SA"/>
              </w:rPr>
              <w:t>包括污水提升池、格栅井、调节池、水解酸化池、接触氧化池、沉淀池和消毒池，采用“格栅/污水提升池+调节池+接触氧化池+二级沉淀池+二氧化氯消毒”处理工艺。处理达标后</w:t>
            </w:r>
            <w:r>
              <w:rPr>
                <w:rFonts w:hint="eastAsia" w:cs="Times New Roman"/>
                <w:b w:val="0"/>
                <w:bCs w:val="0"/>
                <w:color w:val="auto"/>
                <w:kern w:val="2"/>
                <w:sz w:val="24"/>
                <w:szCs w:val="24"/>
                <w:highlight w:val="none"/>
                <w:lang w:val="en-US" w:eastAsia="zh-CN" w:bidi="ar-SA"/>
              </w:rPr>
              <w:t>会同</w:t>
            </w:r>
            <w:r>
              <w:rPr>
                <w:rFonts w:hint="eastAsia" w:ascii="Times New Roman" w:hAnsi="Times New Roman" w:eastAsia="宋体" w:cs="Times New Roman"/>
                <w:b w:val="0"/>
                <w:bCs w:val="0"/>
                <w:color w:val="auto"/>
                <w:kern w:val="2"/>
                <w:sz w:val="24"/>
                <w:szCs w:val="24"/>
                <w:highlight w:val="none"/>
                <w:lang w:val="en-US" w:eastAsia="zh-CN" w:bidi="ar-SA"/>
              </w:rPr>
              <w:t>食堂废水和</w:t>
            </w:r>
            <w:r>
              <w:rPr>
                <w:rFonts w:hint="eastAsia" w:cs="Times New Roman"/>
                <w:b w:val="0"/>
                <w:bCs w:val="0"/>
                <w:color w:val="auto"/>
                <w:kern w:val="2"/>
                <w:sz w:val="24"/>
                <w:szCs w:val="24"/>
                <w:highlight w:val="none"/>
                <w:lang w:val="en-US" w:eastAsia="zh-CN" w:bidi="ar-SA"/>
              </w:rPr>
              <w:t>生活污水</w:t>
            </w:r>
            <w:r>
              <w:rPr>
                <w:rFonts w:hint="eastAsia" w:ascii="Times New Roman" w:hAnsi="Times New Roman" w:eastAsia="宋体" w:cs="Times New Roman"/>
                <w:b w:val="0"/>
                <w:bCs w:val="0"/>
                <w:color w:val="auto"/>
                <w:kern w:val="2"/>
                <w:sz w:val="24"/>
                <w:szCs w:val="24"/>
                <w:highlight w:val="none"/>
                <w:lang w:val="en-US" w:eastAsia="zh-CN" w:bidi="ar-SA"/>
              </w:rPr>
              <w:t>经全院排污口排入市政污水管网，进入涟水县污水处理厂处理达标后，尾水排入涟中总干渠</w:t>
            </w:r>
          </w:p>
          <w:p w14:paraId="0B91E51C">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根据最新项目急诊楼改造项目验收情况</w:t>
            </w:r>
            <w:r>
              <w:rPr>
                <w:rFonts w:hint="default" w:ascii="Times New Roman" w:hAnsi="Times New Roman" w:eastAsia="宋体" w:cs="Times New Roman"/>
                <w:b w:val="0"/>
                <w:bCs w:val="0"/>
                <w:color w:val="auto"/>
                <w:kern w:val="2"/>
                <w:sz w:val="24"/>
                <w:szCs w:val="24"/>
                <w:highlight w:val="none"/>
                <w:lang w:val="en-US" w:eastAsia="zh-CN" w:bidi="ar-SA"/>
              </w:rPr>
              <w:t>：</w:t>
            </w:r>
          </w:p>
          <w:p w14:paraId="036B4512">
            <w:pPr>
              <w:keepNext w:val="0"/>
              <w:keepLines w:val="0"/>
              <w:suppressLineNumbers w:val="0"/>
              <w:adjustRightInd w:val="0"/>
              <w:snapToGrid w:val="0"/>
              <w:spacing w:before="0" w:beforeAutospacing="0" w:after="0" w:afterAutospacing="0" w:line="240" w:lineRule="auto"/>
              <w:ind w:left="-490" w:leftChars="-204" w:right="0" w:firstLine="482"/>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表2</w:t>
            </w:r>
            <w:r>
              <w:rPr>
                <w:rFonts w:hint="eastAsia"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 xml:space="preserve">6 </w:t>
            </w:r>
            <w:r>
              <w:rPr>
                <w:rFonts w:hint="eastAsia" w:ascii="Times New Roman" w:hAnsi="Times New Roman" w:eastAsia="宋体" w:cs="Times New Roman"/>
                <w:b/>
                <w:bCs/>
                <w:color w:val="auto"/>
                <w:kern w:val="2"/>
                <w:sz w:val="24"/>
                <w:szCs w:val="24"/>
                <w:highlight w:val="none"/>
                <w:lang w:val="en-US" w:eastAsia="zh-CN" w:bidi="ar-SA"/>
              </w:rPr>
              <w:t>现有</w:t>
            </w:r>
            <w:r>
              <w:rPr>
                <w:rFonts w:hint="default" w:ascii="Times New Roman" w:hAnsi="Times New Roman" w:eastAsia="宋体" w:cs="Times New Roman"/>
                <w:b/>
                <w:bCs/>
                <w:color w:val="auto"/>
                <w:kern w:val="2"/>
                <w:sz w:val="24"/>
                <w:szCs w:val="24"/>
                <w:highlight w:val="none"/>
                <w:lang w:val="en-US" w:eastAsia="zh-CN" w:bidi="ar-SA"/>
              </w:rPr>
              <w:t>项目废水产生及处置一览表</w:t>
            </w:r>
          </w:p>
          <w:tbl>
            <w:tblPr>
              <w:tblStyle w:val="24"/>
              <w:tblpPr w:leftFromText="180" w:rightFromText="180" w:vertAnchor="text" w:horzAnchor="page" w:tblpX="85" w:tblpY="62"/>
              <w:tblOverlap w:val="never"/>
              <w:tblW w:w="498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Layout w:type="fixed"/>
              <w:tblCellMar>
                <w:top w:w="0" w:type="dxa"/>
                <w:left w:w="108" w:type="dxa"/>
                <w:bottom w:w="0" w:type="dxa"/>
                <w:right w:w="108" w:type="dxa"/>
              </w:tblCellMar>
            </w:tblPr>
            <w:tblGrid>
              <w:gridCol w:w="692"/>
              <w:gridCol w:w="914"/>
              <w:gridCol w:w="766"/>
              <w:gridCol w:w="662"/>
              <w:gridCol w:w="583"/>
              <w:gridCol w:w="884"/>
              <w:gridCol w:w="615"/>
              <w:gridCol w:w="615"/>
              <w:gridCol w:w="1190"/>
              <w:gridCol w:w="608"/>
              <w:gridCol w:w="818"/>
            </w:tblGrid>
            <w:tr w14:paraId="1E669D3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shd w:val="clear" w:color="auto" w:fill="auto"/>
                <w:tblCellMar>
                  <w:top w:w="0" w:type="dxa"/>
                  <w:left w:w="108" w:type="dxa"/>
                  <w:bottom w:w="0" w:type="dxa"/>
                  <w:right w:w="108" w:type="dxa"/>
                </w:tblCellMar>
              </w:tblPrEx>
              <w:trPr>
                <w:trHeight w:val="23" w:hRule="atLeast"/>
              </w:trPr>
              <w:tc>
                <w:tcPr>
                  <w:tcW w:w="414" w:type="pct"/>
                  <w:tcBorders>
                    <w:tl2br w:val="nil"/>
                    <w:tr2bl w:val="nil"/>
                  </w:tcBorders>
                  <w:shd w:val="clear" w:color="auto" w:fill="auto"/>
                  <w:noWrap w:val="0"/>
                  <w:vAlign w:val="center"/>
                </w:tcPr>
                <w:p w14:paraId="2F610B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采样</w:t>
                  </w:r>
                </w:p>
                <w:p w14:paraId="332D31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日期</w:t>
                  </w:r>
                </w:p>
              </w:tc>
              <w:tc>
                <w:tcPr>
                  <w:tcW w:w="547" w:type="pct"/>
                  <w:tcBorders>
                    <w:tl2br w:val="nil"/>
                    <w:tr2bl w:val="nil"/>
                  </w:tcBorders>
                  <w:shd w:val="clear" w:color="auto" w:fill="auto"/>
                  <w:noWrap w:val="0"/>
                  <w:vAlign w:val="center"/>
                </w:tcPr>
                <w:p w14:paraId="05598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采样地点</w:t>
                  </w:r>
                </w:p>
              </w:tc>
              <w:tc>
                <w:tcPr>
                  <w:tcW w:w="458" w:type="pct"/>
                  <w:tcBorders>
                    <w:tl2br w:val="nil"/>
                    <w:tr2bl w:val="nil"/>
                  </w:tcBorders>
                  <w:shd w:val="clear" w:color="auto" w:fill="auto"/>
                  <w:noWrap w:val="0"/>
                  <w:vAlign w:val="center"/>
                </w:tcPr>
                <w:p w14:paraId="3B7163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采样</w:t>
                  </w:r>
                </w:p>
                <w:p w14:paraId="15A420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次数</w:t>
                  </w:r>
                </w:p>
              </w:tc>
              <w:tc>
                <w:tcPr>
                  <w:tcW w:w="396" w:type="pct"/>
                  <w:tcBorders>
                    <w:tl2br w:val="nil"/>
                    <w:tr2bl w:val="nil"/>
                  </w:tcBorders>
                  <w:shd w:val="clear" w:color="auto" w:fill="auto"/>
                  <w:noWrap w:val="0"/>
                  <w:vAlign w:val="center"/>
                </w:tcPr>
                <w:p w14:paraId="0A95EE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pH值</w:t>
                  </w:r>
                </w:p>
              </w:tc>
              <w:tc>
                <w:tcPr>
                  <w:tcW w:w="349" w:type="pct"/>
                  <w:tcBorders>
                    <w:tl2br w:val="nil"/>
                    <w:tr2bl w:val="nil"/>
                  </w:tcBorders>
                  <w:shd w:val="clear" w:color="auto" w:fill="auto"/>
                  <w:noWrap w:val="0"/>
                  <w:vAlign w:val="center"/>
                </w:tcPr>
                <w:p w14:paraId="3A7A91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化学需氧量</w:t>
                  </w:r>
                </w:p>
              </w:tc>
              <w:tc>
                <w:tcPr>
                  <w:tcW w:w="529" w:type="pct"/>
                  <w:tcBorders>
                    <w:tl2br w:val="nil"/>
                    <w:tr2bl w:val="nil"/>
                  </w:tcBorders>
                  <w:shd w:val="clear" w:color="auto" w:fill="auto"/>
                  <w:noWrap w:val="0"/>
                  <w:vAlign w:val="center"/>
                </w:tcPr>
                <w:p w14:paraId="50A81B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悬浮物</w:t>
                  </w:r>
                </w:p>
              </w:tc>
              <w:tc>
                <w:tcPr>
                  <w:tcW w:w="368" w:type="pct"/>
                  <w:tcBorders>
                    <w:tl2br w:val="nil"/>
                    <w:tr2bl w:val="nil"/>
                  </w:tcBorders>
                  <w:shd w:val="clear" w:color="auto" w:fill="auto"/>
                  <w:noWrap w:val="0"/>
                  <w:vAlign w:val="center"/>
                </w:tcPr>
                <w:p w14:paraId="55B18A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氨氮</w:t>
                  </w:r>
                </w:p>
              </w:tc>
              <w:tc>
                <w:tcPr>
                  <w:tcW w:w="368" w:type="pct"/>
                  <w:tcBorders>
                    <w:tl2br w:val="nil"/>
                    <w:tr2bl w:val="nil"/>
                  </w:tcBorders>
                  <w:shd w:val="clear" w:color="auto" w:fill="auto"/>
                  <w:noWrap w:val="0"/>
                  <w:vAlign w:val="center"/>
                </w:tcPr>
                <w:p w14:paraId="166786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总磷</w:t>
                  </w:r>
                </w:p>
              </w:tc>
              <w:tc>
                <w:tcPr>
                  <w:tcW w:w="712" w:type="pct"/>
                  <w:tcBorders>
                    <w:tl2br w:val="nil"/>
                    <w:tr2bl w:val="nil"/>
                  </w:tcBorders>
                  <w:shd w:val="clear" w:color="auto" w:fill="auto"/>
                  <w:noWrap w:val="0"/>
                  <w:vAlign w:val="center"/>
                </w:tcPr>
                <w:p w14:paraId="1D5609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eastAsia="zh-CN"/>
                    </w:rPr>
                    <w:t>粪大肠菌群</w:t>
                  </w:r>
                  <w:r>
                    <w:rPr>
                      <w:rFonts w:hint="default" w:ascii="Times New Roman" w:hAnsi="Times New Roman" w:eastAsia="宋体" w:cs="Times New Roman"/>
                      <w:b w:val="0"/>
                      <w:bCs w:val="0"/>
                      <w:color w:val="auto"/>
                      <w:sz w:val="18"/>
                      <w:szCs w:val="18"/>
                      <w:lang w:val="en-US" w:eastAsia="zh-CN"/>
                    </w:rPr>
                    <w:t>MPN/L</w:t>
                  </w:r>
                </w:p>
              </w:tc>
              <w:tc>
                <w:tcPr>
                  <w:tcW w:w="364" w:type="pct"/>
                  <w:tcBorders>
                    <w:tl2br w:val="nil"/>
                    <w:tr2bl w:val="nil"/>
                  </w:tcBorders>
                  <w:shd w:val="clear" w:color="auto" w:fill="auto"/>
                  <w:noWrap w:val="0"/>
                  <w:vAlign w:val="center"/>
                </w:tcPr>
                <w:p w14:paraId="6295B7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总氯</w:t>
                  </w:r>
                </w:p>
              </w:tc>
              <w:tc>
                <w:tcPr>
                  <w:tcW w:w="489" w:type="pct"/>
                  <w:tcBorders>
                    <w:tl2br w:val="nil"/>
                    <w:tr2bl w:val="nil"/>
                  </w:tcBorders>
                  <w:shd w:val="clear" w:color="auto" w:fill="auto"/>
                  <w:noWrap w:val="0"/>
                  <w:vAlign w:val="center"/>
                </w:tcPr>
                <w:p w14:paraId="76562F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动植物油类</w:t>
                  </w:r>
                </w:p>
              </w:tc>
            </w:tr>
            <w:tr w14:paraId="55FE411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restart"/>
                  <w:tcBorders>
                    <w:tl2br w:val="nil"/>
                    <w:tr2bl w:val="nil"/>
                  </w:tcBorders>
                  <w:shd w:val="clear" w:color="auto" w:fill="auto"/>
                  <w:noWrap w:val="0"/>
                  <w:vAlign w:val="center"/>
                </w:tcPr>
                <w:p w14:paraId="5550A6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202</w:t>
                  </w:r>
                  <w:r>
                    <w:rPr>
                      <w:rFonts w:hint="default" w:ascii="Times New Roman" w:hAnsi="Times New Roman" w:eastAsia="宋体" w:cs="Times New Roman"/>
                      <w:color w:val="auto"/>
                      <w:sz w:val="18"/>
                      <w:szCs w:val="18"/>
                      <w:lang w:val="en-US" w:eastAsia="zh-CN"/>
                    </w:rPr>
                    <w:t>1</w:t>
                  </w:r>
                </w:p>
                <w:p w14:paraId="2CD1F2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5.28</w:t>
                  </w:r>
                </w:p>
              </w:tc>
              <w:tc>
                <w:tcPr>
                  <w:tcW w:w="547" w:type="pct"/>
                  <w:vMerge w:val="restart"/>
                  <w:tcBorders>
                    <w:tl2br w:val="nil"/>
                    <w:tr2bl w:val="nil"/>
                  </w:tcBorders>
                  <w:shd w:val="clear" w:color="auto" w:fill="auto"/>
                  <w:noWrap w:val="0"/>
                  <w:vAlign w:val="center"/>
                </w:tcPr>
                <w:p w14:paraId="6BBE1E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隔油池出口</w:t>
                  </w:r>
                  <w:r>
                    <w:rPr>
                      <w:rFonts w:hint="default" w:ascii="Times New Roman" w:hAnsi="Times New Roman" w:eastAsia="宋体" w:cs="Times New Roman"/>
                      <w:color w:val="auto"/>
                      <w:sz w:val="18"/>
                      <w:szCs w:val="18"/>
                      <w:lang w:val="en-US" w:eastAsia="zh-CN"/>
                    </w:rPr>
                    <w:t>W4</w:t>
                  </w:r>
                </w:p>
              </w:tc>
              <w:tc>
                <w:tcPr>
                  <w:tcW w:w="458" w:type="pct"/>
                  <w:tcBorders>
                    <w:tl2br w:val="nil"/>
                    <w:tr2bl w:val="nil"/>
                  </w:tcBorders>
                  <w:shd w:val="clear" w:color="auto" w:fill="auto"/>
                  <w:noWrap w:val="0"/>
                  <w:vAlign w:val="center"/>
                </w:tcPr>
                <w:p w14:paraId="60F7F1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第一次</w:t>
                  </w:r>
                </w:p>
              </w:tc>
              <w:tc>
                <w:tcPr>
                  <w:tcW w:w="396" w:type="pct"/>
                  <w:tcBorders>
                    <w:tl2br w:val="nil"/>
                    <w:tr2bl w:val="nil"/>
                  </w:tcBorders>
                  <w:shd w:val="clear" w:color="auto" w:fill="auto"/>
                  <w:noWrap w:val="0"/>
                  <w:vAlign w:val="center"/>
                </w:tcPr>
                <w:p w14:paraId="4047C0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5.24</w:t>
                  </w:r>
                </w:p>
              </w:tc>
              <w:tc>
                <w:tcPr>
                  <w:tcW w:w="349" w:type="pct"/>
                  <w:tcBorders>
                    <w:tl2br w:val="nil"/>
                    <w:tr2bl w:val="nil"/>
                  </w:tcBorders>
                  <w:shd w:val="clear" w:color="auto" w:fill="auto"/>
                  <w:noWrap w:val="0"/>
                  <w:vAlign w:val="center"/>
                </w:tcPr>
                <w:p w14:paraId="52DFAB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351</w:t>
                  </w:r>
                </w:p>
              </w:tc>
              <w:tc>
                <w:tcPr>
                  <w:tcW w:w="529" w:type="pct"/>
                  <w:tcBorders>
                    <w:tl2br w:val="nil"/>
                    <w:tr2bl w:val="nil"/>
                  </w:tcBorders>
                  <w:shd w:val="clear" w:color="auto" w:fill="auto"/>
                  <w:noWrap w:val="0"/>
                  <w:vAlign w:val="center"/>
                </w:tcPr>
                <w:p w14:paraId="0AC12A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230</w:t>
                  </w:r>
                </w:p>
              </w:tc>
              <w:tc>
                <w:tcPr>
                  <w:tcW w:w="368" w:type="pct"/>
                  <w:tcBorders>
                    <w:tl2br w:val="nil"/>
                    <w:tr2bl w:val="nil"/>
                  </w:tcBorders>
                  <w:shd w:val="clear" w:color="auto" w:fill="auto"/>
                  <w:noWrap w:val="0"/>
                  <w:vAlign w:val="center"/>
                </w:tcPr>
                <w:p w14:paraId="639FCD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12.4</w:t>
                  </w:r>
                </w:p>
              </w:tc>
              <w:tc>
                <w:tcPr>
                  <w:tcW w:w="368" w:type="pct"/>
                  <w:tcBorders>
                    <w:tl2br w:val="nil"/>
                    <w:tr2bl w:val="nil"/>
                  </w:tcBorders>
                  <w:shd w:val="clear" w:color="auto" w:fill="auto"/>
                  <w:noWrap w:val="0"/>
                  <w:vAlign w:val="center"/>
                </w:tcPr>
                <w:p w14:paraId="298722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4.36</w:t>
                  </w:r>
                </w:p>
              </w:tc>
              <w:tc>
                <w:tcPr>
                  <w:tcW w:w="712" w:type="pct"/>
                  <w:tcBorders>
                    <w:tl2br w:val="nil"/>
                    <w:tr2bl w:val="nil"/>
                  </w:tcBorders>
                  <w:shd w:val="clear" w:color="auto" w:fill="auto"/>
                  <w:noWrap w:val="0"/>
                  <w:vAlign w:val="center"/>
                </w:tcPr>
                <w:p w14:paraId="3CE972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1870FF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30FDC1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0.93</w:t>
                  </w:r>
                </w:p>
              </w:tc>
            </w:tr>
            <w:tr w14:paraId="28C0A6B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343880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0E5B53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16DEE0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第二次</w:t>
                  </w:r>
                </w:p>
              </w:tc>
              <w:tc>
                <w:tcPr>
                  <w:tcW w:w="396" w:type="pct"/>
                  <w:tcBorders>
                    <w:tl2br w:val="nil"/>
                    <w:tr2bl w:val="nil"/>
                  </w:tcBorders>
                  <w:shd w:val="clear" w:color="auto" w:fill="auto"/>
                  <w:noWrap w:val="0"/>
                  <w:vAlign w:val="center"/>
                </w:tcPr>
                <w:p w14:paraId="4697D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5.32</w:t>
                  </w:r>
                </w:p>
              </w:tc>
              <w:tc>
                <w:tcPr>
                  <w:tcW w:w="349" w:type="pct"/>
                  <w:tcBorders>
                    <w:tl2br w:val="nil"/>
                    <w:tr2bl w:val="nil"/>
                  </w:tcBorders>
                  <w:shd w:val="clear" w:color="auto" w:fill="auto"/>
                  <w:noWrap w:val="0"/>
                  <w:vAlign w:val="center"/>
                </w:tcPr>
                <w:p w14:paraId="2CF122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336</w:t>
                  </w:r>
                </w:p>
              </w:tc>
              <w:tc>
                <w:tcPr>
                  <w:tcW w:w="529" w:type="pct"/>
                  <w:tcBorders>
                    <w:tl2br w:val="nil"/>
                    <w:tr2bl w:val="nil"/>
                  </w:tcBorders>
                  <w:shd w:val="clear" w:color="auto" w:fill="auto"/>
                  <w:noWrap w:val="0"/>
                  <w:vAlign w:val="center"/>
                </w:tcPr>
                <w:p w14:paraId="0ED66C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232</w:t>
                  </w:r>
                </w:p>
              </w:tc>
              <w:tc>
                <w:tcPr>
                  <w:tcW w:w="368" w:type="pct"/>
                  <w:tcBorders>
                    <w:tl2br w:val="nil"/>
                    <w:tr2bl w:val="nil"/>
                  </w:tcBorders>
                  <w:shd w:val="clear" w:color="auto" w:fill="auto"/>
                  <w:noWrap w:val="0"/>
                  <w:vAlign w:val="center"/>
                </w:tcPr>
                <w:p w14:paraId="0DC90C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14.8</w:t>
                  </w:r>
                </w:p>
              </w:tc>
              <w:tc>
                <w:tcPr>
                  <w:tcW w:w="368" w:type="pct"/>
                  <w:tcBorders>
                    <w:tl2br w:val="nil"/>
                    <w:tr2bl w:val="nil"/>
                  </w:tcBorders>
                  <w:shd w:val="clear" w:color="auto" w:fill="auto"/>
                  <w:noWrap w:val="0"/>
                  <w:vAlign w:val="center"/>
                </w:tcPr>
                <w:p w14:paraId="183FC5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4.20</w:t>
                  </w:r>
                </w:p>
              </w:tc>
              <w:tc>
                <w:tcPr>
                  <w:tcW w:w="712" w:type="pct"/>
                  <w:tcBorders>
                    <w:tl2br w:val="nil"/>
                    <w:tr2bl w:val="nil"/>
                  </w:tcBorders>
                  <w:shd w:val="clear" w:color="auto" w:fill="auto"/>
                  <w:noWrap w:val="0"/>
                  <w:vAlign w:val="center"/>
                </w:tcPr>
                <w:p w14:paraId="0361DB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3EE1E4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03FF75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0.90</w:t>
                  </w:r>
                </w:p>
              </w:tc>
            </w:tr>
            <w:tr w14:paraId="4A95B5F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196595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28CB34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1CC94B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第三次</w:t>
                  </w:r>
                </w:p>
              </w:tc>
              <w:tc>
                <w:tcPr>
                  <w:tcW w:w="396" w:type="pct"/>
                  <w:tcBorders>
                    <w:tl2br w:val="nil"/>
                    <w:tr2bl w:val="nil"/>
                  </w:tcBorders>
                  <w:shd w:val="clear" w:color="auto" w:fill="auto"/>
                  <w:noWrap w:val="0"/>
                  <w:vAlign w:val="center"/>
                </w:tcPr>
                <w:p w14:paraId="555E67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5.25</w:t>
                  </w:r>
                </w:p>
              </w:tc>
              <w:tc>
                <w:tcPr>
                  <w:tcW w:w="349" w:type="pct"/>
                  <w:tcBorders>
                    <w:tl2br w:val="nil"/>
                    <w:tr2bl w:val="nil"/>
                  </w:tcBorders>
                  <w:shd w:val="clear" w:color="auto" w:fill="auto"/>
                  <w:noWrap w:val="0"/>
                  <w:vAlign w:val="center"/>
                </w:tcPr>
                <w:p w14:paraId="26038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345</w:t>
                  </w:r>
                </w:p>
              </w:tc>
              <w:tc>
                <w:tcPr>
                  <w:tcW w:w="529" w:type="pct"/>
                  <w:tcBorders>
                    <w:tl2br w:val="nil"/>
                    <w:tr2bl w:val="nil"/>
                  </w:tcBorders>
                  <w:shd w:val="clear" w:color="auto" w:fill="auto"/>
                  <w:noWrap w:val="0"/>
                  <w:vAlign w:val="center"/>
                </w:tcPr>
                <w:p w14:paraId="379E6C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241</w:t>
                  </w:r>
                </w:p>
              </w:tc>
              <w:tc>
                <w:tcPr>
                  <w:tcW w:w="368" w:type="pct"/>
                  <w:tcBorders>
                    <w:tl2br w:val="nil"/>
                    <w:tr2bl w:val="nil"/>
                  </w:tcBorders>
                  <w:shd w:val="clear" w:color="auto" w:fill="auto"/>
                  <w:noWrap w:val="0"/>
                  <w:vAlign w:val="center"/>
                </w:tcPr>
                <w:p w14:paraId="5D745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13.8</w:t>
                  </w:r>
                </w:p>
              </w:tc>
              <w:tc>
                <w:tcPr>
                  <w:tcW w:w="368" w:type="pct"/>
                  <w:tcBorders>
                    <w:tl2br w:val="nil"/>
                    <w:tr2bl w:val="nil"/>
                  </w:tcBorders>
                  <w:shd w:val="clear" w:color="auto" w:fill="auto"/>
                  <w:noWrap w:val="0"/>
                  <w:vAlign w:val="center"/>
                </w:tcPr>
                <w:p w14:paraId="31373D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1.01</w:t>
                  </w:r>
                </w:p>
              </w:tc>
              <w:tc>
                <w:tcPr>
                  <w:tcW w:w="712" w:type="pct"/>
                  <w:tcBorders>
                    <w:tl2br w:val="nil"/>
                    <w:tr2bl w:val="nil"/>
                  </w:tcBorders>
                  <w:shd w:val="clear" w:color="auto" w:fill="auto"/>
                  <w:noWrap w:val="0"/>
                  <w:vAlign w:val="center"/>
                </w:tcPr>
                <w:p w14:paraId="08993C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28CFCD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09315E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0.89</w:t>
                  </w:r>
                </w:p>
              </w:tc>
            </w:tr>
            <w:tr w14:paraId="3F25F00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23202B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4AF526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5261F5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第四次</w:t>
                  </w:r>
                </w:p>
              </w:tc>
              <w:tc>
                <w:tcPr>
                  <w:tcW w:w="396" w:type="pct"/>
                  <w:tcBorders>
                    <w:tl2br w:val="nil"/>
                    <w:tr2bl w:val="nil"/>
                  </w:tcBorders>
                  <w:shd w:val="clear" w:color="auto" w:fill="auto"/>
                  <w:noWrap w:val="0"/>
                  <w:vAlign w:val="center"/>
                </w:tcPr>
                <w:p w14:paraId="189739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5.23</w:t>
                  </w:r>
                </w:p>
              </w:tc>
              <w:tc>
                <w:tcPr>
                  <w:tcW w:w="349" w:type="pct"/>
                  <w:tcBorders>
                    <w:tl2br w:val="nil"/>
                    <w:tr2bl w:val="nil"/>
                  </w:tcBorders>
                  <w:shd w:val="clear" w:color="auto" w:fill="auto"/>
                  <w:noWrap w:val="0"/>
                  <w:vAlign w:val="center"/>
                </w:tcPr>
                <w:p w14:paraId="22DC93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326</w:t>
                  </w:r>
                </w:p>
              </w:tc>
              <w:tc>
                <w:tcPr>
                  <w:tcW w:w="529" w:type="pct"/>
                  <w:tcBorders>
                    <w:tl2br w:val="nil"/>
                    <w:tr2bl w:val="nil"/>
                  </w:tcBorders>
                  <w:shd w:val="clear" w:color="auto" w:fill="auto"/>
                  <w:noWrap w:val="0"/>
                  <w:vAlign w:val="center"/>
                </w:tcPr>
                <w:p w14:paraId="172E08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239</w:t>
                  </w:r>
                </w:p>
              </w:tc>
              <w:tc>
                <w:tcPr>
                  <w:tcW w:w="368" w:type="pct"/>
                  <w:tcBorders>
                    <w:tl2br w:val="nil"/>
                    <w:tr2bl w:val="nil"/>
                  </w:tcBorders>
                  <w:shd w:val="clear" w:color="auto" w:fill="auto"/>
                  <w:noWrap w:val="0"/>
                  <w:vAlign w:val="center"/>
                </w:tcPr>
                <w:p w14:paraId="400859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13.2</w:t>
                  </w:r>
                </w:p>
              </w:tc>
              <w:tc>
                <w:tcPr>
                  <w:tcW w:w="368" w:type="pct"/>
                  <w:tcBorders>
                    <w:tl2br w:val="nil"/>
                    <w:tr2bl w:val="nil"/>
                  </w:tcBorders>
                  <w:shd w:val="clear" w:color="auto" w:fill="auto"/>
                  <w:noWrap w:val="0"/>
                  <w:vAlign w:val="center"/>
                </w:tcPr>
                <w:p w14:paraId="69A245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4.12</w:t>
                  </w:r>
                </w:p>
              </w:tc>
              <w:tc>
                <w:tcPr>
                  <w:tcW w:w="712" w:type="pct"/>
                  <w:tcBorders>
                    <w:tl2br w:val="nil"/>
                    <w:tr2bl w:val="nil"/>
                  </w:tcBorders>
                  <w:shd w:val="clear" w:color="auto" w:fill="auto"/>
                  <w:noWrap w:val="0"/>
                  <w:vAlign w:val="center"/>
                </w:tcPr>
                <w:p w14:paraId="56D577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61BBB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08EED8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0.78</w:t>
                  </w:r>
                </w:p>
              </w:tc>
            </w:tr>
            <w:tr w14:paraId="47D8305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03A0A7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restart"/>
                  <w:tcBorders>
                    <w:tl2br w:val="nil"/>
                    <w:tr2bl w:val="nil"/>
                  </w:tcBorders>
                  <w:shd w:val="clear" w:color="auto" w:fill="auto"/>
                  <w:noWrap w:val="0"/>
                  <w:vAlign w:val="center"/>
                </w:tcPr>
                <w:p w14:paraId="01438B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eastAsia="zh-CN"/>
                    </w:rPr>
                    <w:t>化粪池出口</w:t>
                  </w:r>
                  <w:r>
                    <w:rPr>
                      <w:rFonts w:hint="default" w:ascii="Times New Roman" w:hAnsi="Times New Roman" w:eastAsia="宋体" w:cs="Times New Roman"/>
                      <w:color w:val="auto"/>
                      <w:sz w:val="18"/>
                      <w:szCs w:val="18"/>
                      <w:lang w:val="en-US" w:eastAsia="zh-CN"/>
                    </w:rPr>
                    <w:t>W6</w:t>
                  </w:r>
                </w:p>
              </w:tc>
              <w:tc>
                <w:tcPr>
                  <w:tcW w:w="458" w:type="pct"/>
                  <w:tcBorders>
                    <w:tl2br w:val="nil"/>
                    <w:tr2bl w:val="nil"/>
                  </w:tcBorders>
                  <w:shd w:val="clear" w:color="auto" w:fill="auto"/>
                  <w:noWrap w:val="0"/>
                  <w:vAlign w:val="center"/>
                </w:tcPr>
                <w:p w14:paraId="218EE9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第一次</w:t>
                  </w:r>
                </w:p>
              </w:tc>
              <w:tc>
                <w:tcPr>
                  <w:tcW w:w="396" w:type="pct"/>
                  <w:tcBorders>
                    <w:tl2br w:val="nil"/>
                    <w:tr2bl w:val="nil"/>
                  </w:tcBorders>
                  <w:shd w:val="clear" w:color="auto" w:fill="auto"/>
                  <w:noWrap w:val="0"/>
                  <w:vAlign w:val="center"/>
                </w:tcPr>
                <w:p w14:paraId="7CA410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6.96</w:t>
                  </w:r>
                </w:p>
              </w:tc>
              <w:tc>
                <w:tcPr>
                  <w:tcW w:w="349" w:type="pct"/>
                  <w:tcBorders>
                    <w:tl2br w:val="nil"/>
                    <w:tr2bl w:val="nil"/>
                  </w:tcBorders>
                  <w:shd w:val="clear" w:color="auto" w:fill="auto"/>
                  <w:noWrap w:val="0"/>
                  <w:vAlign w:val="center"/>
                </w:tcPr>
                <w:p w14:paraId="7A04FC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136</w:t>
                  </w:r>
                </w:p>
              </w:tc>
              <w:tc>
                <w:tcPr>
                  <w:tcW w:w="529" w:type="pct"/>
                  <w:tcBorders>
                    <w:tl2br w:val="nil"/>
                    <w:tr2bl w:val="nil"/>
                  </w:tcBorders>
                  <w:shd w:val="clear" w:color="auto" w:fill="auto"/>
                  <w:noWrap w:val="0"/>
                  <w:vAlign w:val="center"/>
                </w:tcPr>
                <w:p w14:paraId="109E0E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40</w:t>
                  </w:r>
                </w:p>
              </w:tc>
              <w:tc>
                <w:tcPr>
                  <w:tcW w:w="368" w:type="pct"/>
                  <w:tcBorders>
                    <w:tl2br w:val="nil"/>
                    <w:tr2bl w:val="nil"/>
                  </w:tcBorders>
                  <w:shd w:val="clear" w:color="auto" w:fill="auto"/>
                  <w:noWrap w:val="0"/>
                  <w:vAlign w:val="center"/>
                </w:tcPr>
                <w:p w14:paraId="0E899B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28.4</w:t>
                  </w:r>
                </w:p>
              </w:tc>
              <w:tc>
                <w:tcPr>
                  <w:tcW w:w="368" w:type="pct"/>
                  <w:tcBorders>
                    <w:tl2br w:val="nil"/>
                    <w:tr2bl w:val="nil"/>
                  </w:tcBorders>
                  <w:shd w:val="clear" w:color="auto" w:fill="auto"/>
                  <w:noWrap w:val="0"/>
                  <w:vAlign w:val="center"/>
                </w:tcPr>
                <w:p w14:paraId="56E838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3.42</w:t>
                  </w:r>
                </w:p>
              </w:tc>
              <w:tc>
                <w:tcPr>
                  <w:tcW w:w="712" w:type="pct"/>
                  <w:tcBorders>
                    <w:tl2br w:val="nil"/>
                    <w:tr2bl w:val="nil"/>
                  </w:tcBorders>
                  <w:shd w:val="clear" w:color="auto" w:fill="auto"/>
                  <w:noWrap w:val="0"/>
                  <w:vAlign w:val="center"/>
                </w:tcPr>
                <w:p w14:paraId="3DD876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4133AE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262C05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r>
            <w:tr w14:paraId="2313A4F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1B0167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6A5CE8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4B5D02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第二次</w:t>
                  </w:r>
                </w:p>
              </w:tc>
              <w:tc>
                <w:tcPr>
                  <w:tcW w:w="396" w:type="pct"/>
                  <w:tcBorders>
                    <w:tl2br w:val="nil"/>
                    <w:tr2bl w:val="nil"/>
                  </w:tcBorders>
                  <w:shd w:val="clear" w:color="auto" w:fill="auto"/>
                  <w:noWrap w:val="0"/>
                  <w:vAlign w:val="center"/>
                </w:tcPr>
                <w:p w14:paraId="011856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6.93</w:t>
                  </w:r>
                </w:p>
              </w:tc>
              <w:tc>
                <w:tcPr>
                  <w:tcW w:w="349" w:type="pct"/>
                  <w:tcBorders>
                    <w:tl2br w:val="nil"/>
                    <w:tr2bl w:val="nil"/>
                  </w:tcBorders>
                  <w:shd w:val="clear" w:color="auto" w:fill="auto"/>
                  <w:noWrap w:val="0"/>
                  <w:vAlign w:val="center"/>
                </w:tcPr>
                <w:p w14:paraId="2D2565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145</w:t>
                  </w:r>
                </w:p>
              </w:tc>
              <w:tc>
                <w:tcPr>
                  <w:tcW w:w="529" w:type="pct"/>
                  <w:tcBorders>
                    <w:tl2br w:val="nil"/>
                    <w:tr2bl w:val="nil"/>
                  </w:tcBorders>
                  <w:shd w:val="clear" w:color="auto" w:fill="auto"/>
                  <w:noWrap w:val="0"/>
                  <w:vAlign w:val="center"/>
                </w:tcPr>
                <w:p w14:paraId="6305C8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39</w:t>
                  </w:r>
                </w:p>
              </w:tc>
              <w:tc>
                <w:tcPr>
                  <w:tcW w:w="368" w:type="pct"/>
                  <w:tcBorders>
                    <w:tl2br w:val="nil"/>
                    <w:tr2bl w:val="nil"/>
                  </w:tcBorders>
                  <w:shd w:val="clear" w:color="auto" w:fill="auto"/>
                  <w:noWrap w:val="0"/>
                  <w:vAlign w:val="center"/>
                </w:tcPr>
                <w:p w14:paraId="28DEDA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26.1</w:t>
                  </w:r>
                </w:p>
              </w:tc>
              <w:tc>
                <w:tcPr>
                  <w:tcW w:w="368" w:type="pct"/>
                  <w:tcBorders>
                    <w:tl2br w:val="nil"/>
                    <w:tr2bl w:val="nil"/>
                  </w:tcBorders>
                  <w:shd w:val="clear" w:color="auto" w:fill="auto"/>
                  <w:noWrap w:val="0"/>
                  <w:vAlign w:val="center"/>
                </w:tcPr>
                <w:p w14:paraId="42B467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3.20</w:t>
                  </w:r>
                </w:p>
              </w:tc>
              <w:tc>
                <w:tcPr>
                  <w:tcW w:w="712" w:type="pct"/>
                  <w:tcBorders>
                    <w:tl2br w:val="nil"/>
                    <w:tr2bl w:val="nil"/>
                  </w:tcBorders>
                  <w:shd w:val="clear" w:color="auto" w:fill="auto"/>
                  <w:noWrap w:val="0"/>
                  <w:vAlign w:val="center"/>
                </w:tcPr>
                <w:p w14:paraId="1CFAF1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433459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2819DD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r>
            <w:tr w14:paraId="55AAAFB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45D0A4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272CF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17DC90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第三次</w:t>
                  </w:r>
                </w:p>
              </w:tc>
              <w:tc>
                <w:tcPr>
                  <w:tcW w:w="396" w:type="pct"/>
                  <w:tcBorders>
                    <w:tl2br w:val="nil"/>
                    <w:tr2bl w:val="nil"/>
                  </w:tcBorders>
                  <w:shd w:val="clear" w:color="auto" w:fill="auto"/>
                  <w:noWrap w:val="0"/>
                  <w:vAlign w:val="center"/>
                </w:tcPr>
                <w:p w14:paraId="5F4BE5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7.00</w:t>
                  </w:r>
                </w:p>
              </w:tc>
              <w:tc>
                <w:tcPr>
                  <w:tcW w:w="349" w:type="pct"/>
                  <w:tcBorders>
                    <w:tl2br w:val="nil"/>
                    <w:tr2bl w:val="nil"/>
                  </w:tcBorders>
                  <w:shd w:val="clear" w:color="auto" w:fill="auto"/>
                  <w:noWrap w:val="0"/>
                  <w:vAlign w:val="center"/>
                </w:tcPr>
                <w:p w14:paraId="541169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142</w:t>
                  </w:r>
                </w:p>
              </w:tc>
              <w:tc>
                <w:tcPr>
                  <w:tcW w:w="529" w:type="pct"/>
                  <w:tcBorders>
                    <w:tl2br w:val="nil"/>
                    <w:tr2bl w:val="nil"/>
                  </w:tcBorders>
                  <w:shd w:val="clear" w:color="auto" w:fill="auto"/>
                  <w:noWrap w:val="0"/>
                  <w:vAlign w:val="center"/>
                </w:tcPr>
                <w:p w14:paraId="48B75E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45</w:t>
                  </w:r>
                </w:p>
              </w:tc>
              <w:tc>
                <w:tcPr>
                  <w:tcW w:w="368" w:type="pct"/>
                  <w:tcBorders>
                    <w:tl2br w:val="nil"/>
                    <w:tr2bl w:val="nil"/>
                  </w:tcBorders>
                  <w:shd w:val="clear" w:color="auto" w:fill="auto"/>
                  <w:noWrap w:val="0"/>
                  <w:vAlign w:val="center"/>
                </w:tcPr>
                <w:p w14:paraId="10F05C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25.2</w:t>
                  </w:r>
                </w:p>
              </w:tc>
              <w:tc>
                <w:tcPr>
                  <w:tcW w:w="368" w:type="pct"/>
                  <w:tcBorders>
                    <w:tl2br w:val="nil"/>
                    <w:tr2bl w:val="nil"/>
                  </w:tcBorders>
                  <w:shd w:val="clear" w:color="auto" w:fill="auto"/>
                  <w:noWrap w:val="0"/>
                  <w:vAlign w:val="center"/>
                </w:tcPr>
                <w:p w14:paraId="2E089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2.99</w:t>
                  </w:r>
                </w:p>
              </w:tc>
              <w:tc>
                <w:tcPr>
                  <w:tcW w:w="712" w:type="pct"/>
                  <w:tcBorders>
                    <w:tl2br w:val="nil"/>
                    <w:tr2bl w:val="nil"/>
                  </w:tcBorders>
                  <w:shd w:val="clear" w:color="auto" w:fill="auto"/>
                  <w:noWrap w:val="0"/>
                  <w:vAlign w:val="center"/>
                </w:tcPr>
                <w:p w14:paraId="079676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41642D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7AA544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r>
            <w:tr w14:paraId="5D1B994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31E6D4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7BD1F7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721D62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第四次</w:t>
                  </w:r>
                </w:p>
              </w:tc>
              <w:tc>
                <w:tcPr>
                  <w:tcW w:w="396" w:type="pct"/>
                  <w:tcBorders>
                    <w:tl2br w:val="nil"/>
                    <w:tr2bl w:val="nil"/>
                  </w:tcBorders>
                  <w:shd w:val="clear" w:color="auto" w:fill="auto"/>
                  <w:noWrap w:val="0"/>
                  <w:vAlign w:val="center"/>
                </w:tcPr>
                <w:p w14:paraId="5BC5C0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6.98</w:t>
                  </w:r>
                </w:p>
              </w:tc>
              <w:tc>
                <w:tcPr>
                  <w:tcW w:w="349" w:type="pct"/>
                  <w:tcBorders>
                    <w:tl2br w:val="nil"/>
                    <w:tr2bl w:val="nil"/>
                  </w:tcBorders>
                  <w:shd w:val="clear" w:color="auto" w:fill="auto"/>
                  <w:noWrap w:val="0"/>
                  <w:vAlign w:val="center"/>
                </w:tcPr>
                <w:p w14:paraId="0CE7C0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153</w:t>
                  </w:r>
                </w:p>
              </w:tc>
              <w:tc>
                <w:tcPr>
                  <w:tcW w:w="529" w:type="pct"/>
                  <w:tcBorders>
                    <w:tl2br w:val="nil"/>
                    <w:tr2bl w:val="nil"/>
                  </w:tcBorders>
                  <w:shd w:val="clear" w:color="auto" w:fill="auto"/>
                  <w:noWrap w:val="0"/>
                  <w:vAlign w:val="center"/>
                </w:tcPr>
                <w:p w14:paraId="549960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w:t>
                  </w:r>
                </w:p>
              </w:tc>
              <w:tc>
                <w:tcPr>
                  <w:tcW w:w="368" w:type="pct"/>
                  <w:tcBorders>
                    <w:tl2br w:val="nil"/>
                    <w:tr2bl w:val="nil"/>
                  </w:tcBorders>
                  <w:shd w:val="clear" w:color="auto" w:fill="auto"/>
                  <w:noWrap w:val="0"/>
                  <w:vAlign w:val="center"/>
                </w:tcPr>
                <w:p w14:paraId="625CC2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27.8</w:t>
                  </w:r>
                </w:p>
              </w:tc>
              <w:tc>
                <w:tcPr>
                  <w:tcW w:w="368" w:type="pct"/>
                  <w:tcBorders>
                    <w:tl2br w:val="nil"/>
                    <w:tr2bl w:val="nil"/>
                  </w:tcBorders>
                  <w:shd w:val="clear" w:color="auto" w:fill="auto"/>
                  <w:noWrap w:val="0"/>
                  <w:vAlign w:val="center"/>
                </w:tcPr>
                <w:p w14:paraId="058A1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3.18</w:t>
                  </w:r>
                </w:p>
              </w:tc>
              <w:tc>
                <w:tcPr>
                  <w:tcW w:w="712" w:type="pct"/>
                  <w:tcBorders>
                    <w:tl2br w:val="nil"/>
                    <w:tr2bl w:val="nil"/>
                  </w:tcBorders>
                  <w:shd w:val="clear" w:color="auto" w:fill="auto"/>
                  <w:noWrap w:val="0"/>
                  <w:vAlign w:val="center"/>
                </w:tcPr>
                <w:p w14:paraId="1FDF4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545BB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557AEF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r>
            <w:tr w14:paraId="4B3DE5B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0575FA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547" w:type="pct"/>
                  <w:vMerge w:val="restart"/>
                  <w:tcBorders>
                    <w:tl2br w:val="nil"/>
                    <w:tr2bl w:val="nil"/>
                  </w:tcBorders>
                  <w:shd w:val="clear" w:color="auto" w:fill="auto"/>
                  <w:noWrap w:val="0"/>
                  <w:vAlign w:val="center"/>
                </w:tcPr>
                <w:p w14:paraId="02CC6D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污水总排口</w:t>
                  </w:r>
                  <w:r>
                    <w:rPr>
                      <w:rFonts w:hint="default" w:ascii="Times New Roman" w:hAnsi="Times New Roman" w:eastAsia="宋体" w:cs="Times New Roman"/>
                      <w:color w:val="auto"/>
                      <w:sz w:val="18"/>
                      <w:szCs w:val="18"/>
                      <w:lang w:val="en-US" w:eastAsia="zh-CN"/>
                    </w:rPr>
                    <w:t>W7</w:t>
                  </w:r>
                </w:p>
              </w:tc>
              <w:tc>
                <w:tcPr>
                  <w:tcW w:w="458" w:type="pct"/>
                  <w:tcBorders>
                    <w:tl2br w:val="nil"/>
                    <w:tr2bl w:val="nil"/>
                  </w:tcBorders>
                  <w:shd w:val="clear" w:color="auto" w:fill="auto"/>
                  <w:noWrap w:val="0"/>
                  <w:vAlign w:val="center"/>
                </w:tcPr>
                <w:p w14:paraId="1EA286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第一次</w:t>
                  </w:r>
                </w:p>
              </w:tc>
              <w:tc>
                <w:tcPr>
                  <w:tcW w:w="396" w:type="pct"/>
                  <w:tcBorders>
                    <w:tl2br w:val="nil"/>
                    <w:tr2bl w:val="nil"/>
                  </w:tcBorders>
                  <w:shd w:val="clear" w:color="auto" w:fill="auto"/>
                  <w:noWrap w:val="0"/>
                  <w:vAlign w:val="center"/>
                </w:tcPr>
                <w:p w14:paraId="0BBF78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6.62</w:t>
                  </w:r>
                </w:p>
              </w:tc>
              <w:tc>
                <w:tcPr>
                  <w:tcW w:w="349" w:type="pct"/>
                  <w:tcBorders>
                    <w:tl2br w:val="nil"/>
                    <w:tr2bl w:val="nil"/>
                  </w:tcBorders>
                  <w:shd w:val="clear" w:color="auto" w:fill="auto"/>
                  <w:noWrap w:val="0"/>
                  <w:vAlign w:val="center"/>
                </w:tcPr>
                <w:p w14:paraId="559420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110</w:t>
                  </w:r>
                </w:p>
              </w:tc>
              <w:tc>
                <w:tcPr>
                  <w:tcW w:w="529" w:type="pct"/>
                  <w:tcBorders>
                    <w:tl2br w:val="nil"/>
                    <w:tr2bl w:val="nil"/>
                  </w:tcBorders>
                  <w:shd w:val="clear" w:color="auto" w:fill="auto"/>
                  <w:noWrap w:val="0"/>
                  <w:vAlign w:val="center"/>
                </w:tcPr>
                <w:p w14:paraId="7F5972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42</w:t>
                  </w:r>
                </w:p>
              </w:tc>
              <w:tc>
                <w:tcPr>
                  <w:tcW w:w="368" w:type="pct"/>
                  <w:tcBorders>
                    <w:tl2br w:val="nil"/>
                    <w:tr2bl w:val="nil"/>
                  </w:tcBorders>
                  <w:shd w:val="clear" w:color="auto" w:fill="auto"/>
                  <w:noWrap w:val="0"/>
                  <w:vAlign w:val="center"/>
                </w:tcPr>
                <w:p w14:paraId="003161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20.3</w:t>
                  </w:r>
                </w:p>
              </w:tc>
              <w:tc>
                <w:tcPr>
                  <w:tcW w:w="368" w:type="pct"/>
                  <w:tcBorders>
                    <w:tl2br w:val="nil"/>
                    <w:tr2bl w:val="nil"/>
                  </w:tcBorders>
                  <w:shd w:val="clear" w:color="auto" w:fill="auto"/>
                  <w:noWrap w:val="0"/>
                  <w:vAlign w:val="center"/>
                </w:tcPr>
                <w:p w14:paraId="07700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1.64</w:t>
                  </w:r>
                </w:p>
              </w:tc>
              <w:tc>
                <w:tcPr>
                  <w:tcW w:w="712" w:type="pct"/>
                  <w:tcBorders>
                    <w:tl2br w:val="nil"/>
                    <w:tr2bl w:val="nil"/>
                  </w:tcBorders>
                  <w:shd w:val="clear" w:color="auto" w:fill="auto"/>
                  <w:noWrap w:val="0"/>
                  <w:vAlign w:val="center"/>
                </w:tcPr>
                <w:p w14:paraId="4C5CC5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2.10×10</w:t>
                  </w:r>
                  <w:r>
                    <w:rPr>
                      <w:rFonts w:hint="default" w:ascii="Times New Roman" w:hAnsi="Times New Roman" w:eastAsia="宋体" w:cs="Times New Roman"/>
                      <w:color w:val="auto"/>
                      <w:sz w:val="18"/>
                      <w:szCs w:val="18"/>
                      <w:vertAlign w:val="superscript"/>
                      <w:lang w:val="en-US" w:eastAsia="zh-CN"/>
                    </w:rPr>
                    <w:t>3</w:t>
                  </w:r>
                </w:p>
              </w:tc>
              <w:tc>
                <w:tcPr>
                  <w:tcW w:w="364" w:type="pct"/>
                  <w:tcBorders>
                    <w:tl2br w:val="nil"/>
                    <w:tr2bl w:val="nil"/>
                  </w:tcBorders>
                  <w:shd w:val="clear" w:color="auto" w:fill="auto"/>
                  <w:noWrap w:val="0"/>
                  <w:vAlign w:val="center"/>
                </w:tcPr>
                <w:p w14:paraId="7A8F0B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3.82</w:t>
                  </w:r>
                </w:p>
              </w:tc>
              <w:tc>
                <w:tcPr>
                  <w:tcW w:w="489" w:type="pct"/>
                  <w:tcBorders>
                    <w:tl2br w:val="nil"/>
                    <w:tr2bl w:val="nil"/>
                  </w:tcBorders>
                  <w:shd w:val="clear" w:color="auto" w:fill="auto"/>
                  <w:noWrap w:val="0"/>
                  <w:vAlign w:val="center"/>
                </w:tcPr>
                <w:p w14:paraId="6FA5ED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0.65</w:t>
                  </w:r>
                </w:p>
              </w:tc>
            </w:tr>
            <w:tr w14:paraId="3F855D3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2282CD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31CFC1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6E0A9C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第二次</w:t>
                  </w:r>
                </w:p>
              </w:tc>
              <w:tc>
                <w:tcPr>
                  <w:tcW w:w="396" w:type="pct"/>
                  <w:tcBorders>
                    <w:tl2br w:val="nil"/>
                    <w:tr2bl w:val="nil"/>
                  </w:tcBorders>
                  <w:shd w:val="clear" w:color="auto" w:fill="auto"/>
                  <w:noWrap w:val="0"/>
                  <w:vAlign w:val="center"/>
                </w:tcPr>
                <w:p w14:paraId="32B38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6.58</w:t>
                  </w:r>
                </w:p>
              </w:tc>
              <w:tc>
                <w:tcPr>
                  <w:tcW w:w="349" w:type="pct"/>
                  <w:tcBorders>
                    <w:tl2br w:val="nil"/>
                    <w:tr2bl w:val="nil"/>
                  </w:tcBorders>
                  <w:shd w:val="clear" w:color="auto" w:fill="auto"/>
                  <w:noWrap w:val="0"/>
                  <w:vAlign w:val="center"/>
                </w:tcPr>
                <w:p w14:paraId="118774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126</w:t>
                  </w:r>
                </w:p>
              </w:tc>
              <w:tc>
                <w:tcPr>
                  <w:tcW w:w="529" w:type="pct"/>
                  <w:tcBorders>
                    <w:tl2br w:val="nil"/>
                    <w:tr2bl w:val="nil"/>
                  </w:tcBorders>
                  <w:shd w:val="clear" w:color="auto" w:fill="auto"/>
                  <w:noWrap w:val="0"/>
                  <w:vAlign w:val="center"/>
                </w:tcPr>
                <w:p w14:paraId="7DA94C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41</w:t>
                  </w:r>
                </w:p>
              </w:tc>
              <w:tc>
                <w:tcPr>
                  <w:tcW w:w="368" w:type="pct"/>
                  <w:tcBorders>
                    <w:tl2br w:val="nil"/>
                    <w:tr2bl w:val="nil"/>
                  </w:tcBorders>
                  <w:shd w:val="clear" w:color="auto" w:fill="auto"/>
                  <w:noWrap w:val="0"/>
                  <w:vAlign w:val="center"/>
                </w:tcPr>
                <w:p w14:paraId="385DE1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21.3</w:t>
                  </w:r>
                </w:p>
              </w:tc>
              <w:tc>
                <w:tcPr>
                  <w:tcW w:w="368" w:type="pct"/>
                  <w:tcBorders>
                    <w:tl2br w:val="nil"/>
                    <w:tr2bl w:val="nil"/>
                  </w:tcBorders>
                  <w:shd w:val="clear" w:color="auto" w:fill="auto"/>
                  <w:noWrap w:val="0"/>
                  <w:vAlign w:val="center"/>
                </w:tcPr>
                <w:p w14:paraId="28E6BE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1.40</w:t>
                  </w:r>
                </w:p>
              </w:tc>
              <w:tc>
                <w:tcPr>
                  <w:tcW w:w="712" w:type="pct"/>
                  <w:tcBorders>
                    <w:tl2br w:val="nil"/>
                    <w:tr2bl w:val="nil"/>
                  </w:tcBorders>
                  <w:shd w:val="clear" w:color="auto" w:fill="auto"/>
                  <w:noWrap w:val="0"/>
                  <w:vAlign w:val="center"/>
                </w:tcPr>
                <w:p w14:paraId="18DF17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2.80×10</w:t>
                  </w:r>
                  <w:r>
                    <w:rPr>
                      <w:rFonts w:hint="default" w:ascii="Times New Roman" w:hAnsi="Times New Roman" w:eastAsia="宋体" w:cs="Times New Roman"/>
                      <w:color w:val="auto"/>
                      <w:sz w:val="18"/>
                      <w:szCs w:val="18"/>
                      <w:vertAlign w:val="superscript"/>
                      <w:lang w:val="en-US" w:eastAsia="zh-CN"/>
                    </w:rPr>
                    <w:t>3</w:t>
                  </w:r>
                </w:p>
              </w:tc>
              <w:tc>
                <w:tcPr>
                  <w:tcW w:w="364" w:type="pct"/>
                  <w:tcBorders>
                    <w:tl2br w:val="nil"/>
                    <w:tr2bl w:val="nil"/>
                  </w:tcBorders>
                  <w:shd w:val="clear" w:color="auto" w:fill="auto"/>
                  <w:noWrap w:val="0"/>
                  <w:vAlign w:val="center"/>
                </w:tcPr>
                <w:p w14:paraId="12B983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3.52</w:t>
                  </w:r>
                </w:p>
              </w:tc>
              <w:tc>
                <w:tcPr>
                  <w:tcW w:w="489" w:type="pct"/>
                  <w:tcBorders>
                    <w:tl2br w:val="nil"/>
                    <w:tr2bl w:val="nil"/>
                  </w:tcBorders>
                  <w:shd w:val="clear" w:color="auto" w:fill="auto"/>
                  <w:noWrap w:val="0"/>
                  <w:vAlign w:val="center"/>
                </w:tcPr>
                <w:p w14:paraId="288E87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0.72</w:t>
                  </w:r>
                </w:p>
              </w:tc>
            </w:tr>
            <w:tr w14:paraId="6BC3F9C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7D61C9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65398F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0391B4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第三次</w:t>
                  </w:r>
                </w:p>
              </w:tc>
              <w:tc>
                <w:tcPr>
                  <w:tcW w:w="396" w:type="pct"/>
                  <w:tcBorders>
                    <w:tl2br w:val="nil"/>
                    <w:tr2bl w:val="nil"/>
                  </w:tcBorders>
                  <w:shd w:val="clear" w:color="auto" w:fill="auto"/>
                  <w:noWrap w:val="0"/>
                  <w:vAlign w:val="center"/>
                </w:tcPr>
                <w:p w14:paraId="46FA81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6.64</w:t>
                  </w:r>
                </w:p>
              </w:tc>
              <w:tc>
                <w:tcPr>
                  <w:tcW w:w="349" w:type="pct"/>
                  <w:tcBorders>
                    <w:tl2br w:val="nil"/>
                    <w:tr2bl w:val="nil"/>
                  </w:tcBorders>
                  <w:shd w:val="clear" w:color="auto" w:fill="auto"/>
                  <w:noWrap w:val="0"/>
                  <w:vAlign w:val="center"/>
                </w:tcPr>
                <w:p w14:paraId="2E9712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121</w:t>
                  </w:r>
                </w:p>
              </w:tc>
              <w:tc>
                <w:tcPr>
                  <w:tcW w:w="529" w:type="pct"/>
                  <w:tcBorders>
                    <w:tl2br w:val="nil"/>
                    <w:tr2bl w:val="nil"/>
                  </w:tcBorders>
                  <w:shd w:val="clear" w:color="auto" w:fill="auto"/>
                  <w:noWrap w:val="0"/>
                  <w:vAlign w:val="center"/>
                </w:tcPr>
                <w:p w14:paraId="4991AD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51</w:t>
                  </w:r>
                </w:p>
              </w:tc>
              <w:tc>
                <w:tcPr>
                  <w:tcW w:w="368" w:type="pct"/>
                  <w:tcBorders>
                    <w:tl2br w:val="nil"/>
                    <w:tr2bl w:val="nil"/>
                  </w:tcBorders>
                  <w:shd w:val="clear" w:color="auto" w:fill="auto"/>
                  <w:noWrap w:val="0"/>
                  <w:vAlign w:val="center"/>
                </w:tcPr>
                <w:p w14:paraId="59FF65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22.6</w:t>
                  </w:r>
                </w:p>
              </w:tc>
              <w:tc>
                <w:tcPr>
                  <w:tcW w:w="368" w:type="pct"/>
                  <w:tcBorders>
                    <w:tl2br w:val="nil"/>
                    <w:tr2bl w:val="nil"/>
                  </w:tcBorders>
                  <w:shd w:val="clear" w:color="auto" w:fill="auto"/>
                  <w:noWrap w:val="0"/>
                  <w:vAlign w:val="center"/>
                </w:tcPr>
                <w:p w14:paraId="352EE5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1.55</w:t>
                  </w:r>
                </w:p>
              </w:tc>
              <w:tc>
                <w:tcPr>
                  <w:tcW w:w="712" w:type="pct"/>
                  <w:tcBorders>
                    <w:tl2br w:val="nil"/>
                    <w:tr2bl w:val="nil"/>
                  </w:tcBorders>
                  <w:shd w:val="clear" w:color="auto" w:fill="auto"/>
                  <w:noWrap w:val="0"/>
                  <w:vAlign w:val="center"/>
                </w:tcPr>
                <w:p w14:paraId="4026F5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2.40×10</w:t>
                  </w:r>
                  <w:r>
                    <w:rPr>
                      <w:rFonts w:hint="default" w:ascii="Times New Roman" w:hAnsi="Times New Roman" w:eastAsia="宋体" w:cs="Times New Roman"/>
                      <w:color w:val="auto"/>
                      <w:sz w:val="18"/>
                      <w:szCs w:val="18"/>
                      <w:vertAlign w:val="superscript"/>
                      <w:lang w:val="en-US" w:eastAsia="zh-CN"/>
                    </w:rPr>
                    <w:t>3</w:t>
                  </w:r>
                </w:p>
              </w:tc>
              <w:tc>
                <w:tcPr>
                  <w:tcW w:w="364" w:type="pct"/>
                  <w:tcBorders>
                    <w:tl2br w:val="nil"/>
                    <w:tr2bl w:val="nil"/>
                  </w:tcBorders>
                  <w:shd w:val="clear" w:color="auto" w:fill="auto"/>
                  <w:noWrap w:val="0"/>
                  <w:vAlign w:val="center"/>
                </w:tcPr>
                <w:p w14:paraId="0DD97D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3.65</w:t>
                  </w:r>
                </w:p>
              </w:tc>
              <w:tc>
                <w:tcPr>
                  <w:tcW w:w="489" w:type="pct"/>
                  <w:tcBorders>
                    <w:tl2br w:val="nil"/>
                    <w:tr2bl w:val="nil"/>
                  </w:tcBorders>
                  <w:shd w:val="clear" w:color="auto" w:fill="auto"/>
                  <w:noWrap w:val="0"/>
                  <w:vAlign w:val="center"/>
                </w:tcPr>
                <w:p w14:paraId="11877F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0.67</w:t>
                  </w:r>
                </w:p>
              </w:tc>
            </w:tr>
            <w:tr w14:paraId="78D0B6CB">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0D9290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5EAFC5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3C6268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第四次</w:t>
                  </w:r>
                </w:p>
              </w:tc>
              <w:tc>
                <w:tcPr>
                  <w:tcW w:w="396" w:type="pct"/>
                  <w:tcBorders>
                    <w:tl2br w:val="nil"/>
                    <w:tr2bl w:val="nil"/>
                  </w:tcBorders>
                  <w:shd w:val="clear" w:color="auto" w:fill="auto"/>
                  <w:noWrap w:val="0"/>
                  <w:vAlign w:val="center"/>
                </w:tcPr>
                <w:p w14:paraId="758C49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6.60</w:t>
                  </w:r>
                </w:p>
              </w:tc>
              <w:tc>
                <w:tcPr>
                  <w:tcW w:w="349" w:type="pct"/>
                  <w:tcBorders>
                    <w:tl2br w:val="nil"/>
                    <w:tr2bl w:val="nil"/>
                  </w:tcBorders>
                  <w:shd w:val="clear" w:color="auto" w:fill="auto"/>
                  <w:noWrap w:val="0"/>
                  <w:vAlign w:val="center"/>
                </w:tcPr>
                <w:p w14:paraId="328491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116</w:t>
                  </w:r>
                </w:p>
              </w:tc>
              <w:tc>
                <w:tcPr>
                  <w:tcW w:w="529" w:type="pct"/>
                  <w:tcBorders>
                    <w:tl2br w:val="nil"/>
                    <w:tr2bl w:val="nil"/>
                  </w:tcBorders>
                  <w:shd w:val="clear" w:color="auto" w:fill="auto"/>
                  <w:noWrap w:val="0"/>
                  <w:vAlign w:val="center"/>
                </w:tcPr>
                <w:p w14:paraId="60ECD0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53</w:t>
                  </w:r>
                </w:p>
              </w:tc>
              <w:tc>
                <w:tcPr>
                  <w:tcW w:w="368" w:type="pct"/>
                  <w:tcBorders>
                    <w:tl2br w:val="nil"/>
                    <w:tr2bl w:val="nil"/>
                  </w:tcBorders>
                  <w:shd w:val="clear" w:color="auto" w:fill="auto"/>
                  <w:noWrap w:val="0"/>
                  <w:vAlign w:val="center"/>
                </w:tcPr>
                <w:p w14:paraId="7F5A1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21.1</w:t>
                  </w:r>
                </w:p>
              </w:tc>
              <w:tc>
                <w:tcPr>
                  <w:tcW w:w="368" w:type="pct"/>
                  <w:tcBorders>
                    <w:tl2br w:val="nil"/>
                    <w:tr2bl w:val="nil"/>
                  </w:tcBorders>
                  <w:shd w:val="clear" w:color="auto" w:fill="auto"/>
                  <w:noWrap w:val="0"/>
                  <w:vAlign w:val="center"/>
                </w:tcPr>
                <w:p w14:paraId="2F360F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1.57</w:t>
                  </w:r>
                </w:p>
              </w:tc>
              <w:tc>
                <w:tcPr>
                  <w:tcW w:w="712" w:type="pct"/>
                  <w:tcBorders>
                    <w:tl2br w:val="nil"/>
                    <w:tr2bl w:val="nil"/>
                  </w:tcBorders>
                  <w:shd w:val="clear" w:color="auto" w:fill="auto"/>
                  <w:noWrap w:val="0"/>
                  <w:vAlign w:val="center"/>
                </w:tcPr>
                <w:p w14:paraId="49ACD2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1.80×10</w:t>
                  </w:r>
                  <w:r>
                    <w:rPr>
                      <w:rFonts w:hint="default" w:ascii="Times New Roman" w:hAnsi="Times New Roman" w:eastAsia="宋体" w:cs="Times New Roman"/>
                      <w:color w:val="auto"/>
                      <w:sz w:val="18"/>
                      <w:szCs w:val="18"/>
                      <w:vertAlign w:val="superscript"/>
                      <w:lang w:val="en-US" w:eastAsia="zh-CN"/>
                    </w:rPr>
                    <w:t>3</w:t>
                  </w:r>
                </w:p>
              </w:tc>
              <w:tc>
                <w:tcPr>
                  <w:tcW w:w="364" w:type="pct"/>
                  <w:tcBorders>
                    <w:tl2br w:val="nil"/>
                    <w:tr2bl w:val="nil"/>
                  </w:tcBorders>
                  <w:shd w:val="clear" w:color="auto" w:fill="auto"/>
                  <w:noWrap w:val="0"/>
                  <w:vAlign w:val="center"/>
                </w:tcPr>
                <w:p w14:paraId="336C2B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3.70</w:t>
                  </w:r>
                </w:p>
              </w:tc>
              <w:tc>
                <w:tcPr>
                  <w:tcW w:w="489" w:type="pct"/>
                  <w:tcBorders>
                    <w:tl2br w:val="nil"/>
                    <w:tr2bl w:val="nil"/>
                  </w:tcBorders>
                  <w:shd w:val="clear" w:color="auto" w:fill="auto"/>
                  <w:noWrap w:val="0"/>
                  <w:vAlign w:val="center"/>
                </w:tcPr>
                <w:p w14:paraId="02815C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0.70</w:t>
                  </w:r>
                </w:p>
              </w:tc>
            </w:tr>
            <w:tr w14:paraId="6BC4B0E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restart"/>
                  <w:tcBorders>
                    <w:tl2br w:val="nil"/>
                    <w:tr2bl w:val="nil"/>
                  </w:tcBorders>
                  <w:shd w:val="clear" w:color="auto" w:fill="auto"/>
                  <w:noWrap w:val="0"/>
                  <w:vAlign w:val="center"/>
                </w:tcPr>
                <w:p w14:paraId="3DA5C7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2021</w:t>
                  </w:r>
                </w:p>
                <w:p w14:paraId="7F70F1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5.29</w:t>
                  </w:r>
                </w:p>
              </w:tc>
              <w:tc>
                <w:tcPr>
                  <w:tcW w:w="547" w:type="pct"/>
                  <w:vMerge w:val="restart"/>
                  <w:tcBorders>
                    <w:tl2br w:val="nil"/>
                    <w:tr2bl w:val="nil"/>
                  </w:tcBorders>
                  <w:shd w:val="clear" w:color="auto" w:fill="auto"/>
                  <w:noWrap w:val="0"/>
                  <w:vAlign w:val="center"/>
                </w:tcPr>
                <w:p w14:paraId="77899A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隔油池出口</w:t>
                  </w:r>
                  <w:r>
                    <w:rPr>
                      <w:rFonts w:hint="default" w:ascii="Times New Roman" w:hAnsi="Times New Roman" w:eastAsia="宋体" w:cs="Times New Roman"/>
                      <w:color w:val="auto"/>
                      <w:sz w:val="18"/>
                      <w:szCs w:val="18"/>
                      <w:lang w:val="en-US" w:eastAsia="zh-CN"/>
                    </w:rPr>
                    <w:t>W4</w:t>
                  </w:r>
                </w:p>
              </w:tc>
              <w:tc>
                <w:tcPr>
                  <w:tcW w:w="458" w:type="pct"/>
                  <w:tcBorders>
                    <w:tl2br w:val="nil"/>
                    <w:tr2bl w:val="nil"/>
                  </w:tcBorders>
                  <w:shd w:val="clear" w:color="auto" w:fill="auto"/>
                  <w:noWrap w:val="0"/>
                  <w:vAlign w:val="center"/>
                </w:tcPr>
                <w:p w14:paraId="75412D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第一次</w:t>
                  </w:r>
                </w:p>
              </w:tc>
              <w:tc>
                <w:tcPr>
                  <w:tcW w:w="396" w:type="pct"/>
                  <w:tcBorders>
                    <w:tl2br w:val="nil"/>
                    <w:tr2bl w:val="nil"/>
                  </w:tcBorders>
                  <w:shd w:val="clear" w:color="auto" w:fill="auto"/>
                  <w:noWrap w:val="0"/>
                  <w:vAlign w:val="center"/>
                </w:tcPr>
                <w:p w14:paraId="471E9F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5.26</w:t>
                  </w:r>
                </w:p>
              </w:tc>
              <w:tc>
                <w:tcPr>
                  <w:tcW w:w="349" w:type="pct"/>
                  <w:tcBorders>
                    <w:tl2br w:val="nil"/>
                    <w:tr2bl w:val="nil"/>
                  </w:tcBorders>
                  <w:shd w:val="clear" w:color="auto" w:fill="auto"/>
                  <w:noWrap w:val="0"/>
                  <w:vAlign w:val="center"/>
                </w:tcPr>
                <w:p w14:paraId="16204D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350</w:t>
                  </w:r>
                </w:p>
              </w:tc>
              <w:tc>
                <w:tcPr>
                  <w:tcW w:w="529" w:type="pct"/>
                  <w:tcBorders>
                    <w:tl2br w:val="nil"/>
                    <w:tr2bl w:val="nil"/>
                  </w:tcBorders>
                  <w:shd w:val="clear" w:color="auto" w:fill="auto"/>
                  <w:noWrap w:val="0"/>
                  <w:vAlign w:val="center"/>
                </w:tcPr>
                <w:p w14:paraId="46E79B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231</w:t>
                  </w:r>
                </w:p>
              </w:tc>
              <w:tc>
                <w:tcPr>
                  <w:tcW w:w="368" w:type="pct"/>
                  <w:tcBorders>
                    <w:tl2br w:val="nil"/>
                    <w:tr2bl w:val="nil"/>
                  </w:tcBorders>
                  <w:shd w:val="clear" w:color="auto" w:fill="auto"/>
                  <w:noWrap w:val="0"/>
                  <w:vAlign w:val="center"/>
                </w:tcPr>
                <w:p w14:paraId="0FF2F7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15.7</w:t>
                  </w:r>
                </w:p>
              </w:tc>
              <w:tc>
                <w:tcPr>
                  <w:tcW w:w="368" w:type="pct"/>
                  <w:tcBorders>
                    <w:tl2br w:val="nil"/>
                    <w:tr2bl w:val="nil"/>
                  </w:tcBorders>
                  <w:shd w:val="clear" w:color="auto" w:fill="auto"/>
                  <w:noWrap w:val="0"/>
                  <w:vAlign w:val="center"/>
                </w:tcPr>
                <w:p w14:paraId="05400C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4.16</w:t>
                  </w:r>
                </w:p>
              </w:tc>
              <w:tc>
                <w:tcPr>
                  <w:tcW w:w="712" w:type="pct"/>
                  <w:tcBorders>
                    <w:tl2br w:val="nil"/>
                    <w:tr2bl w:val="nil"/>
                  </w:tcBorders>
                  <w:shd w:val="clear" w:color="auto" w:fill="auto"/>
                  <w:noWrap w:val="0"/>
                  <w:vAlign w:val="center"/>
                </w:tcPr>
                <w:p w14:paraId="08E798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3FF968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7E2B8B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0.81</w:t>
                  </w:r>
                </w:p>
              </w:tc>
            </w:tr>
            <w:tr w14:paraId="797B7E5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438DD9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0E973A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785402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第二次</w:t>
                  </w:r>
                </w:p>
              </w:tc>
              <w:tc>
                <w:tcPr>
                  <w:tcW w:w="396" w:type="pct"/>
                  <w:tcBorders>
                    <w:tl2br w:val="nil"/>
                    <w:tr2bl w:val="nil"/>
                  </w:tcBorders>
                  <w:shd w:val="clear" w:color="auto" w:fill="auto"/>
                  <w:noWrap w:val="0"/>
                  <w:vAlign w:val="center"/>
                </w:tcPr>
                <w:p w14:paraId="430E60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5.24</w:t>
                  </w:r>
                </w:p>
              </w:tc>
              <w:tc>
                <w:tcPr>
                  <w:tcW w:w="349" w:type="pct"/>
                  <w:tcBorders>
                    <w:tl2br w:val="nil"/>
                    <w:tr2bl w:val="nil"/>
                  </w:tcBorders>
                  <w:shd w:val="clear" w:color="auto" w:fill="auto"/>
                  <w:noWrap w:val="0"/>
                  <w:vAlign w:val="center"/>
                </w:tcPr>
                <w:p w14:paraId="3CF4D6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342</w:t>
                  </w:r>
                </w:p>
              </w:tc>
              <w:tc>
                <w:tcPr>
                  <w:tcW w:w="529" w:type="pct"/>
                  <w:tcBorders>
                    <w:tl2br w:val="nil"/>
                    <w:tr2bl w:val="nil"/>
                  </w:tcBorders>
                  <w:shd w:val="clear" w:color="auto" w:fill="auto"/>
                  <w:noWrap w:val="0"/>
                  <w:vAlign w:val="center"/>
                </w:tcPr>
                <w:p w14:paraId="5AA21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235</w:t>
                  </w:r>
                </w:p>
              </w:tc>
              <w:tc>
                <w:tcPr>
                  <w:tcW w:w="368" w:type="pct"/>
                  <w:tcBorders>
                    <w:tl2br w:val="nil"/>
                    <w:tr2bl w:val="nil"/>
                  </w:tcBorders>
                  <w:shd w:val="clear" w:color="auto" w:fill="auto"/>
                  <w:noWrap w:val="0"/>
                  <w:vAlign w:val="center"/>
                </w:tcPr>
                <w:p w14:paraId="163C1A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14.9</w:t>
                  </w:r>
                </w:p>
              </w:tc>
              <w:tc>
                <w:tcPr>
                  <w:tcW w:w="368" w:type="pct"/>
                  <w:tcBorders>
                    <w:tl2br w:val="nil"/>
                    <w:tr2bl w:val="nil"/>
                  </w:tcBorders>
                  <w:shd w:val="clear" w:color="auto" w:fill="auto"/>
                  <w:noWrap w:val="0"/>
                  <w:vAlign w:val="center"/>
                </w:tcPr>
                <w:p w14:paraId="2C67BF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4.09</w:t>
                  </w:r>
                </w:p>
              </w:tc>
              <w:tc>
                <w:tcPr>
                  <w:tcW w:w="712" w:type="pct"/>
                  <w:tcBorders>
                    <w:tl2br w:val="nil"/>
                    <w:tr2bl w:val="nil"/>
                  </w:tcBorders>
                  <w:shd w:val="clear" w:color="auto" w:fill="auto"/>
                  <w:noWrap w:val="0"/>
                  <w:vAlign w:val="center"/>
                </w:tcPr>
                <w:p w14:paraId="43965B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36F30F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097C87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1.01</w:t>
                  </w:r>
                </w:p>
              </w:tc>
            </w:tr>
            <w:tr w14:paraId="2A15E76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78C0AD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56F406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3AC985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第三次</w:t>
                  </w:r>
                </w:p>
              </w:tc>
              <w:tc>
                <w:tcPr>
                  <w:tcW w:w="396" w:type="pct"/>
                  <w:tcBorders>
                    <w:tl2br w:val="nil"/>
                    <w:tr2bl w:val="nil"/>
                  </w:tcBorders>
                  <w:shd w:val="clear" w:color="auto" w:fill="auto"/>
                  <w:noWrap w:val="0"/>
                  <w:vAlign w:val="center"/>
                </w:tcPr>
                <w:p w14:paraId="786C35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5.28</w:t>
                  </w:r>
                </w:p>
              </w:tc>
              <w:tc>
                <w:tcPr>
                  <w:tcW w:w="349" w:type="pct"/>
                  <w:tcBorders>
                    <w:tl2br w:val="nil"/>
                    <w:tr2bl w:val="nil"/>
                  </w:tcBorders>
                  <w:shd w:val="clear" w:color="auto" w:fill="auto"/>
                  <w:noWrap w:val="0"/>
                  <w:vAlign w:val="center"/>
                </w:tcPr>
                <w:p w14:paraId="50559F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328</w:t>
                  </w:r>
                </w:p>
              </w:tc>
              <w:tc>
                <w:tcPr>
                  <w:tcW w:w="529" w:type="pct"/>
                  <w:tcBorders>
                    <w:tl2br w:val="nil"/>
                    <w:tr2bl w:val="nil"/>
                  </w:tcBorders>
                  <w:shd w:val="clear" w:color="auto" w:fill="auto"/>
                  <w:noWrap w:val="0"/>
                  <w:vAlign w:val="center"/>
                </w:tcPr>
                <w:p w14:paraId="47FDF1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242</w:t>
                  </w:r>
                </w:p>
              </w:tc>
              <w:tc>
                <w:tcPr>
                  <w:tcW w:w="368" w:type="pct"/>
                  <w:tcBorders>
                    <w:tl2br w:val="nil"/>
                    <w:tr2bl w:val="nil"/>
                  </w:tcBorders>
                  <w:shd w:val="clear" w:color="auto" w:fill="auto"/>
                  <w:noWrap w:val="0"/>
                  <w:vAlign w:val="center"/>
                </w:tcPr>
                <w:p w14:paraId="4EE612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15.3</w:t>
                  </w:r>
                </w:p>
              </w:tc>
              <w:tc>
                <w:tcPr>
                  <w:tcW w:w="368" w:type="pct"/>
                  <w:tcBorders>
                    <w:tl2br w:val="nil"/>
                    <w:tr2bl w:val="nil"/>
                  </w:tcBorders>
                  <w:shd w:val="clear" w:color="auto" w:fill="auto"/>
                  <w:noWrap w:val="0"/>
                  <w:vAlign w:val="center"/>
                </w:tcPr>
                <w:p w14:paraId="420C1B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4.39</w:t>
                  </w:r>
                </w:p>
              </w:tc>
              <w:tc>
                <w:tcPr>
                  <w:tcW w:w="712" w:type="pct"/>
                  <w:tcBorders>
                    <w:tl2br w:val="nil"/>
                    <w:tr2bl w:val="nil"/>
                  </w:tcBorders>
                  <w:shd w:val="clear" w:color="auto" w:fill="auto"/>
                  <w:noWrap w:val="0"/>
                  <w:vAlign w:val="center"/>
                </w:tcPr>
                <w:p w14:paraId="321952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3ED8BD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214EE7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0.99</w:t>
                  </w:r>
                </w:p>
              </w:tc>
            </w:tr>
            <w:tr w14:paraId="7650C89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502C6C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5EFC96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529842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第四次</w:t>
                  </w:r>
                </w:p>
              </w:tc>
              <w:tc>
                <w:tcPr>
                  <w:tcW w:w="396" w:type="pct"/>
                  <w:tcBorders>
                    <w:tl2br w:val="nil"/>
                    <w:tr2bl w:val="nil"/>
                  </w:tcBorders>
                  <w:shd w:val="clear" w:color="auto" w:fill="auto"/>
                  <w:noWrap w:val="0"/>
                  <w:vAlign w:val="center"/>
                </w:tcPr>
                <w:p w14:paraId="79CC93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5.30</w:t>
                  </w:r>
                </w:p>
              </w:tc>
              <w:tc>
                <w:tcPr>
                  <w:tcW w:w="349" w:type="pct"/>
                  <w:tcBorders>
                    <w:tl2br w:val="nil"/>
                    <w:tr2bl w:val="nil"/>
                  </w:tcBorders>
                  <w:shd w:val="clear" w:color="auto" w:fill="auto"/>
                  <w:noWrap w:val="0"/>
                  <w:vAlign w:val="center"/>
                </w:tcPr>
                <w:p w14:paraId="4F4E4D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337</w:t>
                  </w:r>
                </w:p>
              </w:tc>
              <w:tc>
                <w:tcPr>
                  <w:tcW w:w="529" w:type="pct"/>
                  <w:tcBorders>
                    <w:tl2br w:val="nil"/>
                    <w:tr2bl w:val="nil"/>
                  </w:tcBorders>
                  <w:shd w:val="clear" w:color="auto" w:fill="auto"/>
                  <w:noWrap w:val="0"/>
                  <w:vAlign w:val="center"/>
                </w:tcPr>
                <w:p w14:paraId="3A8475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236</w:t>
                  </w:r>
                </w:p>
              </w:tc>
              <w:tc>
                <w:tcPr>
                  <w:tcW w:w="368" w:type="pct"/>
                  <w:tcBorders>
                    <w:tl2br w:val="nil"/>
                    <w:tr2bl w:val="nil"/>
                  </w:tcBorders>
                  <w:shd w:val="clear" w:color="auto" w:fill="auto"/>
                  <w:noWrap w:val="0"/>
                  <w:vAlign w:val="center"/>
                </w:tcPr>
                <w:p w14:paraId="00AA91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13.9</w:t>
                  </w:r>
                </w:p>
              </w:tc>
              <w:tc>
                <w:tcPr>
                  <w:tcW w:w="368" w:type="pct"/>
                  <w:tcBorders>
                    <w:tl2br w:val="nil"/>
                    <w:tr2bl w:val="nil"/>
                  </w:tcBorders>
                  <w:shd w:val="clear" w:color="auto" w:fill="auto"/>
                  <w:noWrap w:val="0"/>
                  <w:vAlign w:val="center"/>
                </w:tcPr>
                <w:p w14:paraId="00D49A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4.28</w:t>
                  </w:r>
                </w:p>
              </w:tc>
              <w:tc>
                <w:tcPr>
                  <w:tcW w:w="712" w:type="pct"/>
                  <w:tcBorders>
                    <w:tl2br w:val="nil"/>
                    <w:tr2bl w:val="nil"/>
                  </w:tcBorders>
                  <w:shd w:val="clear" w:color="auto" w:fill="auto"/>
                  <w:noWrap w:val="0"/>
                  <w:vAlign w:val="center"/>
                </w:tcPr>
                <w:p w14:paraId="549E28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5FCB09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4ED339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0.96</w:t>
                  </w:r>
                </w:p>
              </w:tc>
            </w:tr>
            <w:tr w14:paraId="7EAA6A14">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550555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restart"/>
                  <w:tcBorders>
                    <w:tl2br w:val="nil"/>
                    <w:tr2bl w:val="nil"/>
                  </w:tcBorders>
                  <w:shd w:val="clear" w:color="auto" w:fill="auto"/>
                  <w:noWrap w:val="0"/>
                  <w:vAlign w:val="center"/>
                </w:tcPr>
                <w:p w14:paraId="2C834A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化粪池出口</w:t>
                  </w:r>
                  <w:r>
                    <w:rPr>
                      <w:rFonts w:hint="default" w:ascii="Times New Roman" w:hAnsi="Times New Roman" w:eastAsia="宋体" w:cs="Times New Roman"/>
                      <w:color w:val="auto"/>
                      <w:sz w:val="18"/>
                      <w:szCs w:val="18"/>
                      <w:lang w:val="en-US" w:eastAsia="zh-CN"/>
                    </w:rPr>
                    <w:t>W6</w:t>
                  </w:r>
                </w:p>
              </w:tc>
              <w:tc>
                <w:tcPr>
                  <w:tcW w:w="458" w:type="pct"/>
                  <w:tcBorders>
                    <w:tl2br w:val="nil"/>
                    <w:tr2bl w:val="nil"/>
                  </w:tcBorders>
                  <w:shd w:val="clear" w:color="auto" w:fill="auto"/>
                  <w:noWrap w:val="0"/>
                  <w:vAlign w:val="center"/>
                </w:tcPr>
                <w:p w14:paraId="2791F4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第一次</w:t>
                  </w:r>
                </w:p>
              </w:tc>
              <w:tc>
                <w:tcPr>
                  <w:tcW w:w="396" w:type="pct"/>
                  <w:tcBorders>
                    <w:tl2br w:val="nil"/>
                    <w:tr2bl w:val="nil"/>
                  </w:tcBorders>
                  <w:shd w:val="clear" w:color="auto" w:fill="auto"/>
                  <w:noWrap w:val="0"/>
                  <w:vAlign w:val="center"/>
                </w:tcPr>
                <w:p w14:paraId="7BDAA6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7.02</w:t>
                  </w:r>
                </w:p>
              </w:tc>
              <w:tc>
                <w:tcPr>
                  <w:tcW w:w="349" w:type="pct"/>
                  <w:tcBorders>
                    <w:tl2br w:val="nil"/>
                    <w:tr2bl w:val="nil"/>
                  </w:tcBorders>
                  <w:shd w:val="clear" w:color="auto" w:fill="auto"/>
                  <w:noWrap w:val="0"/>
                  <w:vAlign w:val="center"/>
                </w:tcPr>
                <w:p w14:paraId="624BE5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144</w:t>
                  </w:r>
                </w:p>
              </w:tc>
              <w:tc>
                <w:tcPr>
                  <w:tcW w:w="529" w:type="pct"/>
                  <w:tcBorders>
                    <w:tl2br w:val="nil"/>
                    <w:tr2bl w:val="nil"/>
                  </w:tcBorders>
                  <w:shd w:val="clear" w:color="auto" w:fill="auto"/>
                  <w:noWrap w:val="0"/>
                  <w:vAlign w:val="center"/>
                </w:tcPr>
                <w:p w14:paraId="7D609A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41</w:t>
                  </w:r>
                </w:p>
              </w:tc>
              <w:tc>
                <w:tcPr>
                  <w:tcW w:w="368" w:type="pct"/>
                  <w:tcBorders>
                    <w:tl2br w:val="nil"/>
                    <w:tr2bl w:val="nil"/>
                  </w:tcBorders>
                  <w:shd w:val="clear" w:color="auto" w:fill="auto"/>
                  <w:noWrap w:val="0"/>
                  <w:vAlign w:val="center"/>
                </w:tcPr>
                <w:p w14:paraId="71C4C9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25.7</w:t>
                  </w:r>
                </w:p>
              </w:tc>
              <w:tc>
                <w:tcPr>
                  <w:tcW w:w="368" w:type="pct"/>
                  <w:tcBorders>
                    <w:tl2br w:val="nil"/>
                    <w:tr2bl w:val="nil"/>
                  </w:tcBorders>
                  <w:shd w:val="clear" w:color="auto" w:fill="auto"/>
                  <w:noWrap w:val="0"/>
                  <w:vAlign w:val="center"/>
                </w:tcPr>
                <w:p w14:paraId="2A6569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3.28</w:t>
                  </w:r>
                </w:p>
              </w:tc>
              <w:tc>
                <w:tcPr>
                  <w:tcW w:w="712" w:type="pct"/>
                  <w:tcBorders>
                    <w:tl2br w:val="nil"/>
                    <w:tr2bl w:val="nil"/>
                  </w:tcBorders>
                  <w:shd w:val="clear" w:color="auto" w:fill="auto"/>
                  <w:noWrap w:val="0"/>
                  <w:vAlign w:val="center"/>
                </w:tcPr>
                <w:p w14:paraId="43F3AC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186D4D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7E73A8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r>
            <w:tr w14:paraId="4A4A16B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0DA0D2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794CB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138245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第二次</w:t>
                  </w:r>
                </w:p>
              </w:tc>
              <w:tc>
                <w:tcPr>
                  <w:tcW w:w="396" w:type="pct"/>
                  <w:tcBorders>
                    <w:tl2br w:val="nil"/>
                    <w:tr2bl w:val="nil"/>
                  </w:tcBorders>
                  <w:shd w:val="clear" w:color="auto" w:fill="auto"/>
                  <w:noWrap w:val="0"/>
                  <w:vAlign w:val="center"/>
                </w:tcPr>
                <w:p w14:paraId="7129F9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6.98</w:t>
                  </w:r>
                </w:p>
              </w:tc>
              <w:tc>
                <w:tcPr>
                  <w:tcW w:w="349" w:type="pct"/>
                  <w:tcBorders>
                    <w:tl2br w:val="nil"/>
                    <w:tr2bl w:val="nil"/>
                  </w:tcBorders>
                  <w:shd w:val="clear" w:color="auto" w:fill="auto"/>
                  <w:noWrap w:val="0"/>
                  <w:vAlign w:val="center"/>
                </w:tcPr>
                <w:p w14:paraId="555717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138</w:t>
                  </w:r>
                </w:p>
              </w:tc>
              <w:tc>
                <w:tcPr>
                  <w:tcW w:w="529" w:type="pct"/>
                  <w:tcBorders>
                    <w:tl2br w:val="nil"/>
                    <w:tr2bl w:val="nil"/>
                  </w:tcBorders>
                  <w:shd w:val="clear" w:color="auto" w:fill="auto"/>
                  <w:noWrap w:val="0"/>
                  <w:vAlign w:val="center"/>
                </w:tcPr>
                <w:p w14:paraId="5FE510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51</w:t>
                  </w:r>
                </w:p>
              </w:tc>
              <w:tc>
                <w:tcPr>
                  <w:tcW w:w="368" w:type="pct"/>
                  <w:tcBorders>
                    <w:tl2br w:val="nil"/>
                    <w:tr2bl w:val="nil"/>
                  </w:tcBorders>
                  <w:shd w:val="clear" w:color="auto" w:fill="auto"/>
                  <w:noWrap w:val="0"/>
                  <w:vAlign w:val="center"/>
                </w:tcPr>
                <w:p w14:paraId="64EFA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28.9</w:t>
                  </w:r>
                </w:p>
              </w:tc>
              <w:tc>
                <w:tcPr>
                  <w:tcW w:w="368" w:type="pct"/>
                  <w:tcBorders>
                    <w:tl2br w:val="nil"/>
                    <w:tr2bl w:val="nil"/>
                  </w:tcBorders>
                  <w:shd w:val="clear" w:color="auto" w:fill="auto"/>
                  <w:noWrap w:val="0"/>
                  <w:vAlign w:val="center"/>
                </w:tcPr>
                <w:p w14:paraId="45A424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3.19</w:t>
                  </w:r>
                </w:p>
              </w:tc>
              <w:tc>
                <w:tcPr>
                  <w:tcW w:w="712" w:type="pct"/>
                  <w:tcBorders>
                    <w:tl2br w:val="nil"/>
                    <w:tr2bl w:val="nil"/>
                  </w:tcBorders>
                  <w:shd w:val="clear" w:color="auto" w:fill="auto"/>
                  <w:noWrap w:val="0"/>
                  <w:vAlign w:val="center"/>
                </w:tcPr>
                <w:p w14:paraId="5C55A4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22BA08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5A3D96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r>
            <w:tr w14:paraId="1F28CE2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0BEF00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38A23B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35F347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第三次</w:t>
                  </w:r>
                </w:p>
              </w:tc>
              <w:tc>
                <w:tcPr>
                  <w:tcW w:w="396" w:type="pct"/>
                  <w:tcBorders>
                    <w:tl2br w:val="nil"/>
                    <w:tr2bl w:val="nil"/>
                  </w:tcBorders>
                  <w:shd w:val="clear" w:color="auto" w:fill="auto"/>
                  <w:noWrap w:val="0"/>
                  <w:vAlign w:val="center"/>
                </w:tcPr>
                <w:p w14:paraId="57F5D0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6.95</w:t>
                  </w:r>
                </w:p>
              </w:tc>
              <w:tc>
                <w:tcPr>
                  <w:tcW w:w="349" w:type="pct"/>
                  <w:tcBorders>
                    <w:tl2br w:val="nil"/>
                    <w:tr2bl w:val="nil"/>
                  </w:tcBorders>
                  <w:shd w:val="clear" w:color="auto" w:fill="auto"/>
                  <w:noWrap w:val="0"/>
                  <w:vAlign w:val="center"/>
                </w:tcPr>
                <w:p w14:paraId="0F3C3C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150</w:t>
                  </w:r>
                </w:p>
              </w:tc>
              <w:tc>
                <w:tcPr>
                  <w:tcW w:w="529" w:type="pct"/>
                  <w:tcBorders>
                    <w:tl2br w:val="nil"/>
                    <w:tr2bl w:val="nil"/>
                  </w:tcBorders>
                  <w:shd w:val="clear" w:color="auto" w:fill="auto"/>
                  <w:noWrap w:val="0"/>
                  <w:vAlign w:val="center"/>
                </w:tcPr>
                <w:p w14:paraId="35DB78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43</w:t>
                  </w:r>
                </w:p>
              </w:tc>
              <w:tc>
                <w:tcPr>
                  <w:tcW w:w="368" w:type="pct"/>
                  <w:tcBorders>
                    <w:tl2br w:val="nil"/>
                    <w:tr2bl w:val="nil"/>
                  </w:tcBorders>
                  <w:shd w:val="clear" w:color="auto" w:fill="auto"/>
                  <w:noWrap w:val="0"/>
                  <w:vAlign w:val="center"/>
                </w:tcPr>
                <w:p w14:paraId="26C1AD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26.1</w:t>
                  </w:r>
                </w:p>
              </w:tc>
              <w:tc>
                <w:tcPr>
                  <w:tcW w:w="368" w:type="pct"/>
                  <w:tcBorders>
                    <w:tl2br w:val="nil"/>
                    <w:tr2bl w:val="nil"/>
                  </w:tcBorders>
                  <w:shd w:val="clear" w:color="auto" w:fill="auto"/>
                  <w:noWrap w:val="0"/>
                  <w:vAlign w:val="center"/>
                </w:tcPr>
                <w:p w14:paraId="5C8F43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3.22</w:t>
                  </w:r>
                </w:p>
              </w:tc>
              <w:tc>
                <w:tcPr>
                  <w:tcW w:w="712" w:type="pct"/>
                  <w:tcBorders>
                    <w:tl2br w:val="nil"/>
                    <w:tr2bl w:val="nil"/>
                  </w:tcBorders>
                  <w:shd w:val="clear" w:color="auto" w:fill="auto"/>
                  <w:noWrap w:val="0"/>
                  <w:vAlign w:val="center"/>
                </w:tcPr>
                <w:p w14:paraId="2C94AD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63867A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793C8C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r>
            <w:tr w14:paraId="2B3227BC">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3975F2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2D2966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6E86CB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第四次</w:t>
                  </w:r>
                </w:p>
              </w:tc>
              <w:tc>
                <w:tcPr>
                  <w:tcW w:w="396" w:type="pct"/>
                  <w:tcBorders>
                    <w:tl2br w:val="nil"/>
                    <w:tr2bl w:val="nil"/>
                  </w:tcBorders>
                  <w:shd w:val="clear" w:color="auto" w:fill="auto"/>
                  <w:noWrap w:val="0"/>
                  <w:vAlign w:val="center"/>
                </w:tcPr>
                <w:p w14:paraId="6B17B7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6.97</w:t>
                  </w:r>
                </w:p>
              </w:tc>
              <w:tc>
                <w:tcPr>
                  <w:tcW w:w="349" w:type="pct"/>
                  <w:tcBorders>
                    <w:tl2br w:val="nil"/>
                    <w:tr2bl w:val="nil"/>
                  </w:tcBorders>
                  <w:shd w:val="clear" w:color="auto" w:fill="auto"/>
                  <w:noWrap w:val="0"/>
                  <w:vAlign w:val="center"/>
                </w:tcPr>
                <w:p w14:paraId="44746D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147</w:t>
                  </w:r>
                </w:p>
              </w:tc>
              <w:tc>
                <w:tcPr>
                  <w:tcW w:w="529" w:type="pct"/>
                  <w:tcBorders>
                    <w:tl2br w:val="nil"/>
                    <w:tr2bl w:val="nil"/>
                  </w:tcBorders>
                  <w:shd w:val="clear" w:color="auto" w:fill="auto"/>
                  <w:noWrap w:val="0"/>
                  <w:vAlign w:val="center"/>
                </w:tcPr>
                <w:p w14:paraId="658FF7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52</w:t>
                  </w:r>
                </w:p>
              </w:tc>
              <w:tc>
                <w:tcPr>
                  <w:tcW w:w="368" w:type="pct"/>
                  <w:tcBorders>
                    <w:tl2br w:val="nil"/>
                    <w:tr2bl w:val="nil"/>
                  </w:tcBorders>
                  <w:shd w:val="clear" w:color="auto" w:fill="auto"/>
                  <w:noWrap w:val="0"/>
                  <w:vAlign w:val="center"/>
                </w:tcPr>
                <w:p w14:paraId="083423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27.1</w:t>
                  </w:r>
                </w:p>
              </w:tc>
              <w:tc>
                <w:tcPr>
                  <w:tcW w:w="368" w:type="pct"/>
                  <w:tcBorders>
                    <w:tl2br w:val="nil"/>
                    <w:tr2bl w:val="nil"/>
                  </w:tcBorders>
                  <w:shd w:val="clear" w:color="auto" w:fill="auto"/>
                  <w:noWrap w:val="0"/>
                  <w:vAlign w:val="center"/>
                </w:tcPr>
                <w:p w14:paraId="295380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3.16</w:t>
                  </w:r>
                </w:p>
              </w:tc>
              <w:tc>
                <w:tcPr>
                  <w:tcW w:w="712" w:type="pct"/>
                  <w:tcBorders>
                    <w:tl2br w:val="nil"/>
                    <w:tr2bl w:val="nil"/>
                  </w:tcBorders>
                  <w:shd w:val="clear" w:color="auto" w:fill="auto"/>
                  <w:noWrap w:val="0"/>
                  <w:vAlign w:val="center"/>
                </w:tcPr>
                <w:p w14:paraId="72EDA3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364" w:type="pct"/>
                  <w:tcBorders>
                    <w:tl2br w:val="nil"/>
                    <w:tr2bl w:val="nil"/>
                  </w:tcBorders>
                  <w:shd w:val="clear" w:color="auto" w:fill="auto"/>
                  <w:noWrap w:val="0"/>
                  <w:vAlign w:val="center"/>
                </w:tcPr>
                <w:p w14:paraId="65345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c>
                <w:tcPr>
                  <w:tcW w:w="489" w:type="pct"/>
                  <w:tcBorders>
                    <w:tl2br w:val="nil"/>
                    <w:tr2bl w:val="nil"/>
                  </w:tcBorders>
                  <w:shd w:val="clear" w:color="auto" w:fill="auto"/>
                  <w:noWrap w:val="0"/>
                  <w:vAlign w:val="center"/>
                </w:tcPr>
                <w:p w14:paraId="4DEDFB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w:t>
                  </w:r>
                </w:p>
              </w:tc>
            </w:tr>
            <w:tr w14:paraId="26FD24F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201E9E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restart"/>
                  <w:tcBorders>
                    <w:tl2br w:val="nil"/>
                    <w:tr2bl w:val="nil"/>
                  </w:tcBorders>
                  <w:shd w:val="clear" w:color="auto" w:fill="auto"/>
                  <w:noWrap w:val="0"/>
                  <w:vAlign w:val="center"/>
                </w:tcPr>
                <w:p w14:paraId="70EAB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污水总排口</w:t>
                  </w:r>
                  <w:r>
                    <w:rPr>
                      <w:rFonts w:hint="default" w:ascii="Times New Roman" w:hAnsi="Times New Roman" w:eastAsia="宋体" w:cs="Times New Roman"/>
                      <w:color w:val="auto"/>
                      <w:sz w:val="18"/>
                      <w:szCs w:val="18"/>
                      <w:lang w:val="en-US" w:eastAsia="zh-CN"/>
                    </w:rPr>
                    <w:t>W7</w:t>
                  </w:r>
                </w:p>
              </w:tc>
              <w:tc>
                <w:tcPr>
                  <w:tcW w:w="458" w:type="pct"/>
                  <w:tcBorders>
                    <w:tl2br w:val="nil"/>
                    <w:tr2bl w:val="nil"/>
                  </w:tcBorders>
                  <w:shd w:val="clear" w:color="auto" w:fill="auto"/>
                  <w:noWrap w:val="0"/>
                  <w:vAlign w:val="center"/>
                </w:tcPr>
                <w:p w14:paraId="2967A8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第一次</w:t>
                  </w:r>
                </w:p>
              </w:tc>
              <w:tc>
                <w:tcPr>
                  <w:tcW w:w="396" w:type="pct"/>
                  <w:tcBorders>
                    <w:tl2br w:val="nil"/>
                    <w:tr2bl w:val="nil"/>
                  </w:tcBorders>
                  <w:shd w:val="clear" w:color="auto" w:fill="auto"/>
                  <w:noWrap w:val="0"/>
                  <w:vAlign w:val="center"/>
                </w:tcPr>
                <w:p w14:paraId="463EB6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6.60</w:t>
                  </w:r>
                </w:p>
              </w:tc>
              <w:tc>
                <w:tcPr>
                  <w:tcW w:w="349" w:type="pct"/>
                  <w:tcBorders>
                    <w:tl2br w:val="nil"/>
                    <w:tr2bl w:val="nil"/>
                  </w:tcBorders>
                  <w:shd w:val="clear" w:color="auto" w:fill="auto"/>
                  <w:noWrap w:val="0"/>
                  <w:vAlign w:val="center"/>
                </w:tcPr>
                <w:p w14:paraId="1B873C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111</w:t>
                  </w:r>
                </w:p>
              </w:tc>
              <w:tc>
                <w:tcPr>
                  <w:tcW w:w="529" w:type="pct"/>
                  <w:tcBorders>
                    <w:tl2br w:val="nil"/>
                    <w:tr2bl w:val="nil"/>
                  </w:tcBorders>
                  <w:shd w:val="clear" w:color="auto" w:fill="auto"/>
                  <w:noWrap w:val="0"/>
                  <w:vAlign w:val="center"/>
                </w:tcPr>
                <w:p w14:paraId="61488B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43</w:t>
                  </w:r>
                </w:p>
              </w:tc>
              <w:tc>
                <w:tcPr>
                  <w:tcW w:w="368" w:type="pct"/>
                  <w:tcBorders>
                    <w:tl2br w:val="nil"/>
                    <w:tr2bl w:val="nil"/>
                  </w:tcBorders>
                  <w:shd w:val="clear" w:color="auto" w:fill="auto"/>
                  <w:noWrap w:val="0"/>
                  <w:vAlign w:val="center"/>
                </w:tcPr>
                <w:p w14:paraId="14621C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23.4</w:t>
                  </w:r>
                </w:p>
              </w:tc>
              <w:tc>
                <w:tcPr>
                  <w:tcW w:w="368" w:type="pct"/>
                  <w:tcBorders>
                    <w:tl2br w:val="nil"/>
                    <w:tr2bl w:val="nil"/>
                  </w:tcBorders>
                  <w:shd w:val="clear" w:color="auto" w:fill="auto"/>
                  <w:noWrap w:val="0"/>
                  <w:vAlign w:val="center"/>
                </w:tcPr>
                <w:p w14:paraId="0ABD67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1.55</w:t>
                  </w:r>
                </w:p>
              </w:tc>
              <w:tc>
                <w:tcPr>
                  <w:tcW w:w="712" w:type="pct"/>
                  <w:tcBorders>
                    <w:tl2br w:val="nil"/>
                    <w:tr2bl w:val="nil"/>
                  </w:tcBorders>
                  <w:shd w:val="clear" w:color="auto" w:fill="auto"/>
                  <w:noWrap w:val="0"/>
                  <w:vAlign w:val="center"/>
                </w:tcPr>
                <w:p w14:paraId="26EB98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2.20×10</w:t>
                  </w:r>
                  <w:r>
                    <w:rPr>
                      <w:rFonts w:hint="default" w:ascii="Times New Roman" w:hAnsi="Times New Roman" w:eastAsia="宋体" w:cs="Times New Roman"/>
                      <w:color w:val="auto"/>
                      <w:sz w:val="18"/>
                      <w:szCs w:val="18"/>
                      <w:vertAlign w:val="superscript"/>
                      <w:lang w:val="en-US" w:eastAsia="zh-CN"/>
                    </w:rPr>
                    <w:t>3</w:t>
                  </w:r>
                </w:p>
              </w:tc>
              <w:tc>
                <w:tcPr>
                  <w:tcW w:w="364" w:type="pct"/>
                  <w:tcBorders>
                    <w:tl2br w:val="nil"/>
                    <w:tr2bl w:val="nil"/>
                  </w:tcBorders>
                  <w:shd w:val="clear" w:color="auto" w:fill="auto"/>
                  <w:noWrap w:val="0"/>
                  <w:vAlign w:val="center"/>
                </w:tcPr>
                <w:p w14:paraId="721F0B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3.88</w:t>
                  </w:r>
                </w:p>
              </w:tc>
              <w:tc>
                <w:tcPr>
                  <w:tcW w:w="489" w:type="pct"/>
                  <w:tcBorders>
                    <w:tl2br w:val="nil"/>
                    <w:tr2bl w:val="nil"/>
                  </w:tcBorders>
                  <w:shd w:val="clear" w:color="auto" w:fill="auto"/>
                  <w:noWrap w:val="0"/>
                  <w:vAlign w:val="center"/>
                </w:tcPr>
                <w:p w14:paraId="32209C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0.64</w:t>
                  </w:r>
                </w:p>
              </w:tc>
            </w:tr>
            <w:tr w14:paraId="528E809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771931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165F76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36757A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第二次</w:t>
                  </w:r>
                </w:p>
              </w:tc>
              <w:tc>
                <w:tcPr>
                  <w:tcW w:w="396" w:type="pct"/>
                  <w:tcBorders>
                    <w:tl2br w:val="nil"/>
                    <w:tr2bl w:val="nil"/>
                  </w:tcBorders>
                  <w:shd w:val="clear" w:color="auto" w:fill="auto"/>
                  <w:noWrap w:val="0"/>
                  <w:vAlign w:val="center"/>
                </w:tcPr>
                <w:p w14:paraId="06FB5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6.63</w:t>
                  </w:r>
                </w:p>
              </w:tc>
              <w:tc>
                <w:tcPr>
                  <w:tcW w:w="349" w:type="pct"/>
                  <w:tcBorders>
                    <w:tl2br w:val="nil"/>
                    <w:tr2bl w:val="nil"/>
                  </w:tcBorders>
                  <w:shd w:val="clear" w:color="auto" w:fill="auto"/>
                  <w:noWrap w:val="0"/>
                  <w:vAlign w:val="center"/>
                </w:tcPr>
                <w:p w14:paraId="067DB5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129</w:t>
                  </w:r>
                </w:p>
              </w:tc>
              <w:tc>
                <w:tcPr>
                  <w:tcW w:w="529" w:type="pct"/>
                  <w:tcBorders>
                    <w:tl2br w:val="nil"/>
                    <w:tr2bl w:val="nil"/>
                  </w:tcBorders>
                  <w:shd w:val="clear" w:color="auto" w:fill="auto"/>
                  <w:noWrap w:val="0"/>
                  <w:vAlign w:val="center"/>
                </w:tcPr>
                <w:p w14:paraId="33FCA2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45</w:t>
                  </w:r>
                </w:p>
              </w:tc>
              <w:tc>
                <w:tcPr>
                  <w:tcW w:w="368" w:type="pct"/>
                  <w:tcBorders>
                    <w:tl2br w:val="nil"/>
                    <w:tr2bl w:val="nil"/>
                  </w:tcBorders>
                  <w:shd w:val="clear" w:color="auto" w:fill="auto"/>
                  <w:noWrap w:val="0"/>
                  <w:vAlign w:val="center"/>
                </w:tcPr>
                <w:p w14:paraId="2D842E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21.5</w:t>
                  </w:r>
                </w:p>
              </w:tc>
              <w:tc>
                <w:tcPr>
                  <w:tcW w:w="368" w:type="pct"/>
                  <w:tcBorders>
                    <w:tl2br w:val="nil"/>
                    <w:tr2bl w:val="nil"/>
                  </w:tcBorders>
                  <w:shd w:val="clear" w:color="auto" w:fill="auto"/>
                  <w:noWrap w:val="0"/>
                  <w:vAlign w:val="center"/>
                </w:tcPr>
                <w:p w14:paraId="263BFC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1.51</w:t>
                  </w:r>
                </w:p>
              </w:tc>
              <w:tc>
                <w:tcPr>
                  <w:tcW w:w="712" w:type="pct"/>
                  <w:tcBorders>
                    <w:tl2br w:val="nil"/>
                    <w:tr2bl w:val="nil"/>
                  </w:tcBorders>
                  <w:shd w:val="clear" w:color="auto" w:fill="auto"/>
                  <w:noWrap w:val="0"/>
                  <w:vAlign w:val="center"/>
                </w:tcPr>
                <w:p w14:paraId="552FDF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2.40×10</w:t>
                  </w:r>
                  <w:r>
                    <w:rPr>
                      <w:rFonts w:hint="default" w:ascii="Times New Roman" w:hAnsi="Times New Roman" w:eastAsia="宋体" w:cs="Times New Roman"/>
                      <w:color w:val="auto"/>
                      <w:sz w:val="18"/>
                      <w:szCs w:val="18"/>
                      <w:vertAlign w:val="superscript"/>
                      <w:lang w:val="en-US" w:eastAsia="zh-CN"/>
                    </w:rPr>
                    <w:t>3</w:t>
                  </w:r>
                </w:p>
              </w:tc>
              <w:tc>
                <w:tcPr>
                  <w:tcW w:w="364" w:type="pct"/>
                  <w:tcBorders>
                    <w:tl2br w:val="nil"/>
                    <w:tr2bl w:val="nil"/>
                  </w:tcBorders>
                  <w:shd w:val="clear" w:color="auto" w:fill="auto"/>
                  <w:noWrap w:val="0"/>
                  <w:vAlign w:val="center"/>
                </w:tcPr>
                <w:p w14:paraId="374D7F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3.49</w:t>
                  </w:r>
                </w:p>
              </w:tc>
              <w:tc>
                <w:tcPr>
                  <w:tcW w:w="489" w:type="pct"/>
                  <w:tcBorders>
                    <w:tl2br w:val="nil"/>
                    <w:tr2bl w:val="nil"/>
                  </w:tcBorders>
                  <w:shd w:val="clear" w:color="auto" w:fill="auto"/>
                  <w:noWrap w:val="0"/>
                  <w:vAlign w:val="center"/>
                </w:tcPr>
                <w:p w14:paraId="79BF2E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0.73</w:t>
                  </w:r>
                </w:p>
              </w:tc>
            </w:tr>
            <w:tr w14:paraId="244944D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150384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730B86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6A49D6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第三次</w:t>
                  </w:r>
                </w:p>
              </w:tc>
              <w:tc>
                <w:tcPr>
                  <w:tcW w:w="396" w:type="pct"/>
                  <w:tcBorders>
                    <w:tl2br w:val="nil"/>
                    <w:tr2bl w:val="nil"/>
                  </w:tcBorders>
                  <w:shd w:val="clear" w:color="auto" w:fill="auto"/>
                  <w:noWrap w:val="0"/>
                  <w:vAlign w:val="center"/>
                </w:tcPr>
                <w:p w14:paraId="10565F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6.59</w:t>
                  </w:r>
                </w:p>
              </w:tc>
              <w:tc>
                <w:tcPr>
                  <w:tcW w:w="349" w:type="pct"/>
                  <w:tcBorders>
                    <w:tl2br w:val="nil"/>
                    <w:tr2bl w:val="nil"/>
                  </w:tcBorders>
                  <w:shd w:val="clear" w:color="auto" w:fill="auto"/>
                  <w:noWrap w:val="0"/>
                  <w:vAlign w:val="center"/>
                </w:tcPr>
                <w:p w14:paraId="19731E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126</w:t>
                  </w:r>
                </w:p>
              </w:tc>
              <w:tc>
                <w:tcPr>
                  <w:tcW w:w="529" w:type="pct"/>
                  <w:tcBorders>
                    <w:tl2br w:val="nil"/>
                    <w:tr2bl w:val="nil"/>
                  </w:tcBorders>
                  <w:shd w:val="clear" w:color="auto" w:fill="auto"/>
                  <w:noWrap w:val="0"/>
                  <w:vAlign w:val="center"/>
                </w:tcPr>
                <w:p w14:paraId="2DE482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w:t>
                  </w:r>
                </w:p>
              </w:tc>
              <w:tc>
                <w:tcPr>
                  <w:tcW w:w="368" w:type="pct"/>
                  <w:tcBorders>
                    <w:tl2br w:val="nil"/>
                    <w:tr2bl w:val="nil"/>
                  </w:tcBorders>
                  <w:shd w:val="clear" w:color="auto" w:fill="auto"/>
                  <w:noWrap w:val="0"/>
                  <w:vAlign w:val="center"/>
                </w:tcPr>
                <w:p w14:paraId="3FB1A0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22.5</w:t>
                  </w:r>
                </w:p>
              </w:tc>
              <w:tc>
                <w:tcPr>
                  <w:tcW w:w="368" w:type="pct"/>
                  <w:tcBorders>
                    <w:tl2br w:val="nil"/>
                    <w:tr2bl w:val="nil"/>
                  </w:tcBorders>
                  <w:shd w:val="clear" w:color="auto" w:fill="auto"/>
                  <w:noWrap w:val="0"/>
                  <w:vAlign w:val="center"/>
                </w:tcPr>
                <w:p w14:paraId="5AA283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1.68</w:t>
                  </w:r>
                </w:p>
              </w:tc>
              <w:tc>
                <w:tcPr>
                  <w:tcW w:w="712" w:type="pct"/>
                  <w:tcBorders>
                    <w:tl2br w:val="nil"/>
                    <w:tr2bl w:val="nil"/>
                  </w:tcBorders>
                  <w:shd w:val="clear" w:color="auto" w:fill="auto"/>
                  <w:noWrap w:val="0"/>
                  <w:vAlign w:val="center"/>
                </w:tcPr>
                <w:p w14:paraId="67B550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1.80×10</w:t>
                  </w:r>
                  <w:r>
                    <w:rPr>
                      <w:rFonts w:hint="default" w:ascii="Times New Roman" w:hAnsi="Times New Roman" w:eastAsia="宋体" w:cs="Times New Roman"/>
                      <w:color w:val="auto"/>
                      <w:sz w:val="18"/>
                      <w:szCs w:val="18"/>
                      <w:vertAlign w:val="superscript"/>
                      <w:lang w:val="en-US" w:eastAsia="zh-CN"/>
                    </w:rPr>
                    <w:t>3</w:t>
                  </w:r>
                </w:p>
              </w:tc>
              <w:tc>
                <w:tcPr>
                  <w:tcW w:w="364" w:type="pct"/>
                  <w:tcBorders>
                    <w:tl2br w:val="nil"/>
                    <w:tr2bl w:val="nil"/>
                  </w:tcBorders>
                  <w:shd w:val="clear" w:color="auto" w:fill="auto"/>
                  <w:noWrap w:val="0"/>
                  <w:vAlign w:val="center"/>
                </w:tcPr>
                <w:p w14:paraId="11E530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3.63</w:t>
                  </w:r>
                </w:p>
              </w:tc>
              <w:tc>
                <w:tcPr>
                  <w:tcW w:w="489" w:type="pct"/>
                  <w:tcBorders>
                    <w:tl2br w:val="nil"/>
                    <w:tr2bl w:val="nil"/>
                  </w:tcBorders>
                  <w:shd w:val="clear" w:color="auto" w:fill="auto"/>
                  <w:noWrap w:val="0"/>
                  <w:vAlign w:val="center"/>
                </w:tcPr>
                <w:p w14:paraId="60ACB6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0.65</w:t>
                  </w:r>
                </w:p>
              </w:tc>
            </w:tr>
            <w:tr w14:paraId="5598CEB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23" w:hRule="atLeast"/>
              </w:trPr>
              <w:tc>
                <w:tcPr>
                  <w:tcW w:w="414" w:type="pct"/>
                  <w:vMerge w:val="continue"/>
                  <w:tcBorders>
                    <w:tl2br w:val="nil"/>
                    <w:tr2bl w:val="nil"/>
                  </w:tcBorders>
                  <w:shd w:val="clear" w:color="auto" w:fill="auto"/>
                  <w:noWrap w:val="0"/>
                  <w:vAlign w:val="center"/>
                </w:tcPr>
                <w:p w14:paraId="281CB0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547" w:type="pct"/>
                  <w:vMerge w:val="continue"/>
                  <w:tcBorders>
                    <w:tl2br w:val="nil"/>
                    <w:tr2bl w:val="nil"/>
                  </w:tcBorders>
                  <w:shd w:val="clear" w:color="auto" w:fill="auto"/>
                  <w:noWrap w:val="0"/>
                  <w:vAlign w:val="center"/>
                </w:tcPr>
                <w:p w14:paraId="2F73F3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458" w:type="pct"/>
                  <w:tcBorders>
                    <w:tl2br w:val="nil"/>
                    <w:tr2bl w:val="nil"/>
                  </w:tcBorders>
                  <w:shd w:val="clear" w:color="auto" w:fill="auto"/>
                  <w:noWrap w:val="0"/>
                  <w:vAlign w:val="center"/>
                </w:tcPr>
                <w:p w14:paraId="6BE3C4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第四次</w:t>
                  </w:r>
                </w:p>
              </w:tc>
              <w:tc>
                <w:tcPr>
                  <w:tcW w:w="396" w:type="pct"/>
                  <w:tcBorders>
                    <w:tl2br w:val="nil"/>
                    <w:tr2bl w:val="nil"/>
                  </w:tcBorders>
                  <w:shd w:val="clear" w:color="auto" w:fill="auto"/>
                  <w:noWrap w:val="0"/>
                  <w:vAlign w:val="center"/>
                </w:tcPr>
                <w:p w14:paraId="7B6263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6.65</w:t>
                  </w:r>
                </w:p>
              </w:tc>
              <w:tc>
                <w:tcPr>
                  <w:tcW w:w="349" w:type="pct"/>
                  <w:tcBorders>
                    <w:tl2br w:val="nil"/>
                    <w:tr2bl w:val="nil"/>
                  </w:tcBorders>
                  <w:shd w:val="clear" w:color="auto" w:fill="auto"/>
                  <w:noWrap w:val="0"/>
                  <w:vAlign w:val="center"/>
                </w:tcPr>
                <w:p w14:paraId="25C5D4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117</w:t>
                  </w:r>
                </w:p>
              </w:tc>
              <w:tc>
                <w:tcPr>
                  <w:tcW w:w="529" w:type="pct"/>
                  <w:tcBorders>
                    <w:tl2br w:val="nil"/>
                    <w:tr2bl w:val="nil"/>
                  </w:tcBorders>
                  <w:shd w:val="clear" w:color="auto" w:fill="auto"/>
                  <w:noWrap w:val="0"/>
                  <w:vAlign w:val="center"/>
                </w:tcPr>
                <w:p w14:paraId="2DAF6D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52</w:t>
                  </w:r>
                </w:p>
              </w:tc>
              <w:tc>
                <w:tcPr>
                  <w:tcW w:w="368" w:type="pct"/>
                  <w:tcBorders>
                    <w:tl2br w:val="nil"/>
                    <w:tr2bl w:val="nil"/>
                  </w:tcBorders>
                  <w:shd w:val="clear" w:color="auto" w:fill="auto"/>
                  <w:noWrap w:val="0"/>
                  <w:vAlign w:val="center"/>
                </w:tcPr>
                <w:p w14:paraId="3BD01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22.3</w:t>
                  </w:r>
                </w:p>
              </w:tc>
              <w:tc>
                <w:tcPr>
                  <w:tcW w:w="368" w:type="pct"/>
                  <w:tcBorders>
                    <w:tl2br w:val="nil"/>
                    <w:tr2bl w:val="nil"/>
                  </w:tcBorders>
                  <w:shd w:val="clear" w:color="auto" w:fill="auto"/>
                  <w:noWrap w:val="0"/>
                  <w:vAlign w:val="center"/>
                </w:tcPr>
                <w:p w14:paraId="1A267A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1.45</w:t>
                  </w:r>
                </w:p>
              </w:tc>
              <w:tc>
                <w:tcPr>
                  <w:tcW w:w="712" w:type="pct"/>
                  <w:tcBorders>
                    <w:tl2br w:val="nil"/>
                    <w:tr2bl w:val="nil"/>
                  </w:tcBorders>
                  <w:shd w:val="clear" w:color="auto" w:fill="auto"/>
                  <w:noWrap w:val="0"/>
                  <w:vAlign w:val="center"/>
                </w:tcPr>
                <w:p w14:paraId="5A28D5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2.50×10</w:t>
                  </w:r>
                  <w:r>
                    <w:rPr>
                      <w:rFonts w:hint="default" w:ascii="Times New Roman" w:hAnsi="Times New Roman" w:eastAsia="宋体" w:cs="Times New Roman"/>
                      <w:color w:val="auto"/>
                      <w:sz w:val="18"/>
                      <w:szCs w:val="18"/>
                      <w:vertAlign w:val="superscript"/>
                      <w:lang w:val="en-US" w:eastAsia="zh-CN"/>
                    </w:rPr>
                    <w:t>3</w:t>
                  </w:r>
                </w:p>
              </w:tc>
              <w:tc>
                <w:tcPr>
                  <w:tcW w:w="364" w:type="pct"/>
                  <w:tcBorders>
                    <w:tl2br w:val="nil"/>
                    <w:tr2bl w:val="nil"/>
                  </w:tcBorders>
                  <w:shd w:val="clear" w:color="auto" w:fill="auto"/>
                  <w:noWrap w:val="0"/>
                  <w:vAlign w:val="center"/>
                </w:tcPr>
                <w:p w14:paraId="699AB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3.76</w:t>
                  </w:r>
                </w:p>
              </w:tc>
              <w:tc>
                <w:tcPr>
                  <w:tcW w:w="489" w:type="pct"/>
                  <w:tcBorders>
                    <w:tl2br w:val="nil"/>
                    <w:tr2bl w:val="nil"/>
                  </w:tcBorders>
                  <w:shd w:val="clear" w:color="auto" w:fill="auto"/>
                  <w:noWrap w:val="0"/>
                  <w:vAlign w:val="center"/>
                </w:tcPr>
                <w:p w14:paraId="19B165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0.70</w:t>
                  </w:r>
                </w:p>
              </w:tc>
            </w:tr>
          </w:tbl>
          <w:p w14:paraId="1612DC22">
            <w:pPr>
              <w:keepNext w:val="0"/>
              <w:keepLines w:val="0"/>
              <w:pageBreakBefore w:val="0"/>
              <w:widowControl w:val="0"/>
              <w:suppressLineNumbers w:val="0"/>
              <w:kinsoku/>
              <w:wordWrap w:val="0"/>
              <w:overflowPunct/>
              <w:topLinePunct w:val="0"/>
              <w:autoSpaceDE/>
              <w:autoSpaceDN/>
              <w:bidi w:val="0"/>
              <w:spacing w:before="0" w:beforeAutospacing="0" w:after="0" w:afterAutospacing="0" w:line="240" w:lineRule="auto"/>
              <w:ind w:left="0" w:leftChars="0" w:right="0" w:rightChars="0"/>
              <w:jc w:val="right"/>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表</w:t>
            </w:r>
            <w:r>
              <w:rPr>
                <w:rFonts w:hint="eastAsia" w:cs="Times New Roman"/>
                <w:b/>
                <w:bCs w:val="0"/>
                <w:color w:val="auto"/>
                <w:sz w:val="24"/>
                <w:szCs w:val="24"/>
                <w:lang w:val="en-US" w:eastAsia="zh-CN"/>
              </w:rPr>
              <w:t xml:space="preserve">2.2-7 </w:t>
            </w:r>
            <w:r>
              <w:rPr>
                <w:rFonts w:hint="default" w:ascii="Times New Roman" w:hAnsi="Times New Roman" w:eastAsia="宋体" w:cs="Times New Roman"/>
                <w:b/>
                <w:bCs w:val="0"/>
                <w:color w:val="auto"/>
                <w:sz w:val="24"/>
                <w:szCs w:val="24"/>
              </w:rPr>
              <w:t>废水监测结果评价            单位</w:t>
            </w:r>
            <w:r>
              <w:rPr>
                <w:rFonts w:hint="default"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sz w:val="24"/>
                <w:szCs w:val="24"/>
              </w:rPr>
              <w:t>mg/L  pH值</w:t>
            </w:r>
            <w:r>
              <w:rPr>
                <w:rFonts w:hint="default" w:ascii="Times New Roman" w:hAnsi="Times New Roman" w:eastAsia="宋体" w:cs="Times New Roman"/>
                <w:b/>
                <w:bCs w:val="0"/>
                <w:color w:val="auto"/>
                <w:sz w:val="24"/>
                <w:szCs w:val="24"/>
                <w:lang w:eastAsia="zh-CN"/>
              </w:rPr>
              <w:t>：</w:t>
            </w:r>
            <w:r>
              <w:rPr>
                <w:rFonts w:hint="default" w:ascii="Times New Roman" w:hAnsi="Times New Roman" w:eastAsia="宋体" w:cs="Times New Roman"/>
                <w:b/>
                <w:bCs w:val="0"/>
                <w:color w:val="auto"/>
                <w:sz w:val="24"/>
                <w:szCs w:val="24"/>
              </w:rPr>
              <w:t>无量纲</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557"/>
              <w:gridCol w:w="2060"/>
              <w:gridCol w:w="1937"/>
              <w:gridCol w:w="1289"/>
              <w:gridCol w:w="1516"/>
            </w:tblGrid>
            <w:tr w14:paraId="72B267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vMerge w:val="restart"/>
                  <w:tcBorders>
                    <w:tl2br w:val="nil"/>
                    <w:tr2bl w:val="nil"/>
                  </w:tcBorders>
                  <w:shd w:val="clear" w:color="auto" w:fill="auto"/>
                  <w:noWrap w:val="0"/>
                  <w:vAlign w:val="center"/>
                </w:tcPr>
                <w:p w14:paraId="145A69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w:t>
                  </w:r>
                </w:p>
              </w:tc>
              <w:tc>
                <w:tcPr>
                  <w:tcW w:w="1232" w:type="pct"/>
                  <w:tcBorders>
                    <w:tl2br w:val="nil"/>
                    <w:tr2bl w:val="nil"/>
                  </w:tcBorders>
                  <w:shd w:val="clear" w:color="auto" w:fill="auto"/>
                  <w:noWrap w:val="0"/>
                  <w:vAlign w:val="center"/>
                </w:tcPr>
                <w:p w14:paraId="7022D7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eastAsia="zh-CN"/>
                    </w:rPr>
                    <w:t>2021.5.28</w:t>
                  </w:r>
                </w:p>
              </w:tc>
              <w:tc>
                <w:tcPr>
                  <w:tcW w:w="1158" w:type="pct"/>
                  <w:tcBorders>
                    <w:tl2br w:val="nil"/>
                    <w:tr2bl w:val="nil"/>
                  </w:tcBorders>
                  <w:shd w:val="clear" w:color="auto" w:fill="auto"/>
                  <w:noWrap w:val="0"/>
                  <w:vAlign w:val="center"/>
                </w:tcPr>
                <w:p w14:paraId="293B64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eastAsia="zh-CN"/>
                    </w:rPr>
                    <w:t>2021.5.29</w:t>
                  </w:r>
                </w:p>
              </w:tc>
              <w:tc>
                <w:tcPr>
                  <w:tcW w:w="771" w:type="pct"/>
                  <w:vMerge w:val="restart"/>
                  <w:tcBorders>
                    <w:tl2br w:val="nil"/>
                    <w:tr2bl w:val="nil"/>
                  </w:tcBorders>
                  <w:shd w:val="clear" w:color="auto" w:fill="auto"/>
                  <w:noWrap w:val="0"/>
                  <w:vAlign w:val="center"/>
                </w:tcPr>
                <w:p w14:paraId="797140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执行</w:t>
                  </w:r>
                </w:p>
                <w:p w14:paraId="73E53B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标准</w:t>
                  </w:r>
                </w:p>
              </w:tc>
              <w:tc>
                <w:tcPr>
                  <w:tcW w:w="906" w:type="pct"/>
                  <w:vMerge w:val="restart"/>
                  <w:tcBorders>
                    <w:tl2br w:val="nil"/>
                    <w:tr2bl w:val="nil"/>
                  </w:tcBorders>
                  <w:shd w:val="clear" w:color="auto" w:fill="auto"/>
                  <w:noWrap w:val="0"/>
                  <w:vAlign w:val="center"/>
                </w:tcPr>
                <w:p w14:paraId="7927A8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是否</w:t>
                  </w:r>
                </w:p>
                <w:p w14:paraId="0E38C8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达标</w:t>
                  </w:r>
                </w:p>
              </w:tc>
            </w:tr>
            <w:tr w14:paraId="5CBC60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vMerge w:val="continue"/>
                  <w:tcBorders>
                    <w:tl2br w:val="nil"/>
                    <w:tr2bl w:val="nil"/>
                  </w:tcBorders>
                  <w:shd w:val="clear" w:color="auto" w:fill="auto"/>
                  <w:noWrap w:val="0"/>
                  <w:vAlign w:val="center"/>
                </w:tcPr>
                <w:p w14:paraId="2FC7D5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2390" w:type="pct"/>
                  <w:gridSpan w:val="2"/>
                  <w:tcBorders>
                    <w:tl2br w:val="nil"/>
                    <w:tr2bl w:val="nil"/>
                  </w:tcBorders>
                  <w:shd w:val="clear" w:color="auto" w:fill="auto"/>
                  <w:noWrap w:val="0"/>
                  <w:vAlign w:val="center"/>
                </w:tcPr>
                <w:p w14:paraId="66E195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eastAsia="zh-CN"/>
                    </w:rPr>
                    <w:t>化粪池出口</w:t>
                  </w:r>
                  <w:r>
                    <w:rPr>
                      <w:rFonts w:hint="default" w:ascii="Times New Roman" w:hAnsi="Times New Roman" w:eastAsia="宋体" w:cs="Times New Roman"/>
                      <w:b/>
                      <w:bCs/>
                      <w:color w:val="auto"/>
                      <w:sz w:val="18"/>
                      <w:szCs w:val="18"/>
                    </w:rPr>
                    <w:t>日均值</w:t>
                  </w:r>
                </w:p>
              </w:tc>
              <w:tc>
                <w:tcPr>
                  <w:tcW w:w="771" w:type="pct"/>
                  <w:vMerge w:val="continue"/>
                  <w:tcBorders>
                    <w:tl2br w:val="nil"/>
                    <w:tr2bl w:val="nil"/>
                  </w:tcBorders>
                  <w:shd w:val="clear" w:color="auto" w:fill="auto"/>
                  <w:noWrap w:val="0"/>
                  <w:vAlign w:val="center"/>
                </w:tcPr>
                <w:p w14:paraId="469104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c>
                <w:tcPr>
                  <w:tcW w:w="906" w:type="pct"/>
                  <w:vMerge w:val="continue"/>
                  <w:tcBorders>
                    <w:tl2br w:val="nil"/>
                    <w:tr2bl w:val="nil"/>
                  </w:tcBorders>
                  <w:shd w:val="clear" w:color="auto" w:fill="auto"/>
                  <w:noWrap w:val="0"/>
                  <w:vAlign w:val="center"/>
                </w:tcPr>
                <w:p w14:paraId="734C39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14:paraId="3F9144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621854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pH值</w:t>
                  </w:r>
                </w:p>
              </w:tc>
              <w:tc>
                <w:tcPr>
                  <w:tcW w:w="1232" w:type="pct"/>
                  <w:tcBorders>
                    <w:tl2br w:val="nil"/>
                    <w:tr2bl w:val="nil"/>
                  </w:tcBorders>
                  <w:shd w:val="clear" w:color="auto" w:fill="auto"/>
                  <w:noWrap w:val="0"/>
                  <w:vAlign w:val="center"/>
                </w:tcPr>
                <w:p w14:paraId="148BD4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6.93~7.0</w:t>
                  </w:r>
                </w:p>
              </w:tc>
              <w:tc>
                <w:tcPr>
                  <w:tcW w:w="1158" w:type="pct"/>
                  <w:tcBorders>
                    <w:tl2br w:val="nil"/>
                    <w:tr2bl w:val="nil"/>
                  </w:tcBorders>
                  <w:shd w:val="clear" w:color="auto" w:fill="auto"/>
                  <w:noWrap w:val="0"/>
                  <w:vAlign w:val="center"/>
                </w:tcPr>
                <w:p w14:paraId="3A446E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6.95~7.02</w:t>
                  </w:r>
                </w:p>
              </w:tc>
              <w:tc>
                <w:tcPr>
                  <w:tcW w:w="771" w:type="pct"/>
                  <w:tcBorders>
                    <w:tl2br w:val="nil"/>
                    <w:tr2bl w:val="nil"/>
                  </w:tcBorders>
                  <w:shd w:val="clear" w:color="auto" w:fill="auto"/>
                  <w:noWrap w:val="0"/>
                  <w:vAlign w:val="center"/>
                </w:tcPr>
                <w:p w14:paraId="3F0818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906" w:type="pct"/>
                  <w:tcBorders>
                    <w:tl2br w:val="nil"/>
                    <w:tr2bl w:val="nil"/>
                  </w:tcBorders>
                  <w:shd w:val="clear" w:color="auto" w:fill="auto"/>
                  <w:noWrap w:val="0"/>
                  <w:vAlign w:val="center"/>
                </w:tcPr>
                <w:p w14:paraId="7106D7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2C066D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63CF4D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化学需氧量</w:t>
                  </w:r>
                </w:p>
              </w:tc>
              <w:tc>
                <w:tcPr>
                  <w:tcW w:w="1232" w:type="pct"/>
                  <w:tcBorders>
                    <w:tl2br w:val="nil"/>
                    <w:tr2bl w:val="nil"/>
                  </w:tcBorders>
                  <w:shd w:val="clear" w:color="auto" w:fill="auto"/>
                  <w:noWrap w:val="0"/>
                  <w:vAlign w:val="center"/>
                </w:tcPr>
                <w:p w14:paraId="7CFF46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145</w:t>
                  </w:r>
                </w:p>
              </w:tc>
              <w:tc>
                <w:tcPr>
                  <w:tcW w:w="1158" w:type="pct"/>
                  <w:tcBorders>
                    <w:tl2br w:val="nil"/>
                    <w:tr2bl w:val="nil"/>
                  </w:tcBorders>
                  <w:shd w:val="clear" w:color="auto" w:fill="auto"/>
                  <w:noWrap w:val="0"/>
                  <w:vAlign w:val="center"/>
                </w:tcPr>
                <w:p w14:paraId="5DE89B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144</w:t>
                  </w:r>
                </w:p>
              </w:tc>
              <w:tc>
                <w:tcPr>
                  <w:tcW w:w="771" w:type="pct"/>
                  <w:tcBorders>
                    <w:tl2br w:val="nil"/>
                    <w:tr2bl w:val="nil"/>
                  </w:tcBorders>
                  <w:shd w:val="clear" w:color="auto" w:fill="auto"/>
                  <w:noWrap w:val="0"/>
                  <w:vAlign w:val="center"/>
                </w:tcPr>
                <w:p w14:paraId="349E02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500</w:t>
                  </w:r>
                </w:p>
              </w:tc>
              <w:tc>
                <w:tcPr>
                  <w:tcW w:w="906" w:type="pct"/>
                  <w:tcBorders>
                    <w:tl2br w:val="nil"/>
                    <w:tr2bl w:val="nil"/>
                  </w:tcBorders>
                  <w:shd w:val="clear" w:color="auto" w:fill="auto"/>
                  <w:noWrap w:val="0"/>
                  <w:vAlign w:val="center"/>
                </w:tcPr>
                <w:p w14:paraId="2B0C69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5CC8EF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6CED21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悬浮物</w:t>
                  </w:r>
                </w:p>
              </w:tc>
              <w:tc>
                <w:tcPr>
                  <w:tcW w:w="1232" w:type="pct"/>
                  <w:tcBorders>
                    <w:tl2br w:val="nil"/>
                    <w:tr2bl w:val="nil"/>
                  </w:tcBorders>
                  <w:shd w:val="clear" w:color="auto" w:fill="auto"/>
                  <w:noWrap w:val="0"/>
                  <w:vAlign w:val="center"/>
                </w:tcPr>
                <w:p w14:paraId="75E5E5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47</w:t>
                  </w:r>
                </w:p>
              </w:tc>
              <w:tc>
                <w:tcPr>
                  <w:tcW w:w="1158" w:type="pct"/>
                  <w:tcBorders>
                    <w:tl2br w:val="nil"/>
                    <w:tr2bl w:val="nil"/>
                  </w:tcBorders>
                  <w:shd w:val="clear" w:color="auto" w:fill="auto"/>
                  <w:noWrap w:val="0"/>
                  <w:vAlign w:val="center"/>
                </w:tcPr>
                <w:p w14:paraId="1211AD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47</w:t>
                  </w:r>
                </w:p>
              </w:tc>
              <w:tc>
                <w:tcPr>
                  <w:tcW w:w="771" w:type="pct"/>
                  <w:tcBorders>
                    <w:tl2br w:val="nil"/>
                    <w:tr2bl w:val="nil"/>
                  </w:tcBorders>
                  <w:shd w:val="clear" w:color="auto" w:fill="auto"/>
                  <w:noWrap w:val="0"/>
                  <w:vAlign w:val="center"/>
                </w:tcPr>
                <w:p w14:paraId="5C1480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400</w:t>
                  </w:r>
                </w:p>
              </w:tc>
              <w:tc>
                <w:tcPr>
                  <w:tcW w:w="906" w:type="pct"/>
                  <w:tcBorders>
                    <w:tl2br w:val="nil"/>
                    <w:tr2bl w:val="nil"/>
                  </w:tcBorders>
                  <w:shd w:val="clear" w:color="auto" w:fill="auto"/>
                  <w:noWrap w:val="0"/>
                  <w:vAlign w:val="center"/>
                </w:tcPr>
                <w:p w14:paraId="5A3E6A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5EE01B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41B4DD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氨氮</w:t>
                  </w:r>
                </w:p>
              </w:tc>
              <w:tc>
                <w:tcPr>
                  <w:tcW w:w="1232" w:type="pct"/>
                  <w:tcBorders>
                    <w:tl2br w:val="nil"/>
                    <w:tr2bl w:val="nil"/>
                  </w:tcBorders>
                  <w:shd w:val="clear" w:color="auto" w:fill="auto"/>
                  <w:noWrap w:val="0"/>
                  <w:vAlign w:val="center"/>
                </w:tcPr>
                <w:p w14:paraId="17BCB1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22.4</w:t>
                  </w:r>
                </w:p>
              </w:tc>
              <w:tc>
                <w:tcPr>
                  <w:tcW w:w="1158" w:type="pct"/>
                  <w:tcBorders>
                    <w:tl2br w:val="nil"/>
                    <w:tr2bl w:val="nil"/>
                  </w:tcBorders>
                  <w:shd w:val="clear" w:color="auto" w:fill="auto"/>
                  <w:noWrap w:val="0"/>
                  <w:vAlign w:val="center"/>
                </w:tcPr>
                <w:p w14:paraId="7FE75E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27.0</w:t>
                  </w:r>
                </w:p>
              </w:tc>
              <w:tc>
                <w:tcPr>
                  <w:tcW w:w="771" w:type="pct"/>
                  <w:tcBorders>
                    <w:tl2br w:val="nil"/>
                    <w:tr2bl w:val="nil"/>
                  </w:tcBorders>
                  <w:shd w:val="clear" w:color="auto" w:fill="auto"/>
                  <w:noWrap w:val="0"/>
                  <w:vAlign w:val="center"/>
                </w:tcPr>
                <w:p w14:paraId="3E46D1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35</w:t>
                  </w:r>
                </w:p>
              </w:tc>
              <w:tc>
                <w:tcPr>
                  <w:tcW w:w="906" w:type="pct"/>
                  <w:tcBorders>
                    <w:tl2br w:val="nil"/>
                    <w:tr2bl w:val="nil"/>
                  </w:tcBorders>
                  <w:shd w:val="clear" w:color="auto" w:fill="auto"/>
                  <w:noWrap w:val="0"/>
                  <w:vAlign w:val="center"/>
                </w:tcPr>
                <w:p w14:paraId="20225F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6A009E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60E02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总磷</w:t>
                  </w:r>
                </w:p>
              </w:tc>
              <w:tc>
                <w:tcPr>
                  <w:tcW w:w="1232" w:type="pct"/>
                  <w:tcBorders>
                    <w:tl2br w:val="nil"/>
                    <w:tr2bl w:val="nil"/>
                  </w:tcBorders>
                  <w:shd w:val="clear" w:color="auto" w:fill="auto"/>
                  <w:noWrap w:val="0"/>
                  <w:vAlign w:val="center"/>
                </w:tcPr>
                <w:p w14:paraId="37D5C1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1.55</w:t>
                  </w:r>
                </w:p>
              </w:tc>
              <w:tc>
                <w:tcPr>
                  <w:tcW w:w="1158" w:type="pct"/>
                  <w:tcBorders>
                    <w:tl2br w:val="nil"/>
                    <w:tr2bl w:val="nil"/>
                  </w:tcBorders>
                  <w:shd w:val="clear" w:color="auto" w:fill="auto"/>
                  <w:noWrap w:val="0"/>
                  <w:vAlign w:val="center"/>
                </w:tcPr>
                <w:p w14:paraId="61BDC5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3.21</w:t>
                  </w:r>
                </w:p>
              </w:tc>
              <w:tc>
                <w:tcPr>
                  <w:tcW w:w="771" w:type="pct"/>
                  <w:tcBorders>
                    <w:tl2br w:val="nil"/>
                    <w:tr2bl w:val="nil"/>
                  </w:tcBorders>
                  <w:shd w:val="clear" w:color="auto" w:fill="auto"/>
                  <w:noWrap w:val="0"/>
                  <w:vAlign w:val="center"/>
                </w:tcPr>
                <w:p w14:paraId="61890D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8</w:t>
                  </w:r>
                </w:p>
              </w:tc>
              <w:tc>
                <w:tcPr>
                  <w:tcW w:w="906" w:type="pct"/>
                  <w:tcBorders>
                    <w:tl2br w:val="nil"/>
                    <w:tr2bl w:val="nil"/>
                  </w:tcBorders>
                  <w:shd w:val="clear" w:color="auto" w:fill="auto"/>
                  <w:noWrap w:val="0"/>
                  <w:vAlign w:val="center"/>
                </w:tcPr>
                <w:p w14:paraId="056212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344A38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vMerge w:val="restart"/>
                  <w:tcBorders>
                    <w:tl2br w:val="nil"/>
                    <w:tr2bl w:val="nil"/>
                  </w:tcBorders>
                  <w:shd w:val="clear" w:color="auto" w:fill="auto"/>
                  <w:noWrap w:val="0"/>
                  <w:vAlign w:val="center"/>
                </w:tcPr>
                <w:p w14:paraId="2C519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b/>
                      <w:bCs/>
                      <w:color w:val="auto"/>
                      <w:sz w:val="18"/>
                      <w:szCs w:val="18"/>
                    </w:rPr>
                    <w:t>项目</w:t>
                  </w:r>
                </w:p>
              </w:tc>
              <w:tc>
                <w:tcPr>
                  <w:tcW w:w="1232" w:type="pct"/>
                  <w:tcBorders>
                    <w:tl2br w:val="nil"/>
                    <w:tr2bl w:val="nil"/>
                  </w:tcBorders>
                  <w:shd w:val="clear" w:color="auto" w:fill="auto"/>
                  <w:noWrap w:val="0"/>
                  <w:vAlign w:val="center"/>
                </w:tcPr>
                <w:p w14:paraId="66CA00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2021.5.28</w:t>
                  </w:r>
                </w:p>
              </w:tc>
              <w:tc>
                <w:tcPr>
                  <w:tcW w:w="1158" w:type="pct"/>
                  <w:tcBorders>
                    <w:tl2br w:val="nil"/>
                    <w:tr2bl w:val="nil"/>
                  </w:tcBorders>
                  <w:shd w:val="clear" w:color="auto" w:fill="auto"/>
                  <w:noWrap w:val="0"/>
                  <w:vAlign w:val="center"/>
                </w:tcPr>
                <w:p w14:paraId="4624FE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2021.5.29</w:t>
                  </w:r>
                </w:p>
              </w:tc>
              <w:tc>
                <w:tcPr>
                  <w:tcW w:w="771" w:type="pct"/>
                  <w:vMerge w:val="restart"/>
                  <w:tcBorders>
                    <w:tl2br w:val="nil"/>
                    <w:tr2bl w:val="nil"/>
                  </w:tcBorders>
                  <w:shd w:val="clear" w:color="auto" w:fill="auto"/>
                  <w:noWrap w:val="0"/>
                  <w:vAlign w:val="center"/>
                </w:tcPr>
                <w:p w14:paraId="5C8C18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执行</w:t>
                  </w:r>
                </w:p>
                <w:p w14:paraId="36E58E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rPr>
                    <w:t>标准</w:t>
                  </w:r>
                </w:p>
              </w:tc>
              <w:tc>
                <w:tcPr>
                  <w:tcW w:w="906" w:type="pct"/>
                  <w:vMerge w:val="restart"/>
                  <w:tcBorders>
                    <w:tl2br w:val="nil"/>
                    <w:tr2bl w:val="nil"/>
                  </w:tcBorders>
                  <w:shd w:val="clear" w:color="auto" w:fill="auto"/>
                  <w:noWrap w:val="0"/>
                  <w:vAlign w:val="center"/>
                </w:tcPr>
                <w:p w14:paraId="6AE72E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是否</w:t>
                  </w:r>
                </w:p>
                <w:p w14:paraId="0D3969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达标</w:t>
                  </w:r>
                </w:p>
              </w:tc>
            </w:tr>
            <w:tr w14:paraId="2A6DDA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vMerge w:val="continue"/>
                  <w:tcBorders>
                    <w:tl2br w:val="nil"/>
                    <w:tr2bl w:val="nil"/>
                  </w:tcBorders>
                  <w:shd w:val="clear" w:color="auto" w:fill="auto"/>
                  <w:noWrap w:val="0"/>
                  <w:vAlign w:val="center"/>
                </w:tcPr>
                <w:p w14:paraId="1EE9A8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p>
              </w:tc>
              <w:tc>
                <w:tcPr>
                  <w:tcW w:w="2390" w:type="pct"/>
                  <w:gridSpan w:val="2"/>
                  <w:tcBorders>
                    <w:tl2br w:val="nil"/>
                    <w:tr2bl w:val="nil"/>
                  </w:tcBorders>
                  <w:shd w:val="clear" w:color="auto" w:fill="auto"/>
                  <w:noWrap w:val="0"/>
                  <w:vAlign w:val="center"/>
                </w:tcPr>
                <w:p w14:paraId="1F17F7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lang w:eastAsia="zh-CN"/>
                    </w:rPr>
                    <w:t>总</w:t>
                  </w:r>
                  <w:r>
                    <w:rPr>
                      <w:rFonts w:hint="default" w:ascii="Times New Roman" w:hAnsi="Times New Roman" w:eastAsia="宋体" w:cs="Times New Roman"/>
                      <w:b/>
                      <w:bCs/>
                      <w:color w:val="auto"/>
                      <w:sz w:val="18"/>
                      <w:szCs w:val="18"/>
                    </w:rPr>
                    <w:t>排口日均值</w:t>
                  </w:r>
                </w:p>
              </w:tc>
              <w:tc>
                <w:tcPr>
                  <w:tcW w:w="771" w:type="pct"/>
                  <w:vMerge w:val="continue"/>
                  <w:tcBorders>
                    <w:tl2br w:val="nil"/>
                    <w:tr2bl w:val="nil"/>
                  </w:tcBorders>
                  <w:shd w:val="clear" w:color="auto" w:fill="auto"/>
                  <w:noWrap w:val="0"/>
                  <w:vAlign w:val="center"/>
                </w:tcPr>
                <w:p w14:paraId="447E92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p>
              </w:tc>
              <w:tc>
                <w:tcPr>
                  <w:tcW w:w="906" w:type="pct"/>
                  <w:vMerge w:val="continue"/>
                  <w:tcBorders>
                    <w:tl2br w:val="nil"/>
                    <w:tr2bl w:val="nil"/>
                  </w:tcBorders>
                  <w:shd w:val="clear" w:color="auto" w:fill="auto"/>
                  <w:noWrap w:val="0"/>
                  <w:vAlign w:val="center"/>
                </w:tcPr>
                <w:p w14:paraId="4746A5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p>
              </w:tc>
            </w:tr>
            <w:tr w14:paraId="1E3750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2EE2CB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pH值</w:t>
                  </w:r>
                </w:p>
              </w:tc>
              <w:tc>
                <w:tcPr>
                  <w:tcW w:w="1232" w:type="pct"/>
                  <w:tcBorders>
                    <w:tl2br w:val="nil"/>
                    <w:tr2bl w:val="nil"/>
                  </w:tcBorders>
                  <w:shd w:val="clear" w:color="auto" w:fill="auto"/>
                  <w:noWrap w:val="0"/>
                  <w:vAlign w:val="center"/>
                </w:tcPr>
                <w:p w14:paraId="0DF616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6.59~6.65</w:t>
                  </w:r>
                </w:p>
              </w:tc>
              <w:tc>
                <w:tcPr>
                  <w:tcW w:w="1158" w:type="pct"/>
                  <w:tcBorders>
                    <w:tl2br w:val="nil"/>
                    <w:tr2bl w:val="nil"/>
                  </w:tcBorders>
                  <w:shd w:val="clear" w:color="auto" w:fill="auto"/>
                  <w:noWrap w:val="0"/>
                  <w:vAlign w:val="center"/>
                </w:tcPr>
                <w:p w14:paraId="2B4579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6.58~6.64</w:t>
                  </w:r>
                </w:p>
              </w:tc>
              <w:tc>
                <w:tcPr>
                  <w:tcW w:w="771" w:type="pct"/>
                  <w:tcBorders>
                    <w:tl2br w:val="nil"/>
                    <w:tr2bl w:val="nil"/>
                  </w:tcBorders>
                  <w:shd w:val="clear" w:color="auto" w:fill="auto"/>
                  <w:noWrap w:val="0"/>
                  <w:vAlign w:val="center"/>
                </w:tcPr>
                <w:p w14:paraId="3190E2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6~9</w:t>
                  </w:r>
                </w:p>
              </w:tc>
              <w:tc>
                <w:tcPr>
                  <w:tcW w:w="906" w:type="pct"/>
                  <w:tcBorders>
                    <w:tl2br w:val="nil"/>
                    <w:tr2bl w:val="nil"/>
                  </w:tcBorders>
                  <w:shd w:val="clear" w:color="auto" w:fill="auto"/>
                  <w:noWrap w:val="0"/>
                  <w:vAlign w:val="center"/>
                </w:tcPr>
                <w:p w14:paraId="15EF22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0492A3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780FD6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化学需氧量</w:t>
                  </w:r>
                </w:p>
              </w:tc>
              <w:tc>
                <w:tcPr>
                  <w:tcW w:w="1232" w:type="pct"/>
                  <w:tcBorders>
                    <w:tl2br w:val="nil"/>
                    <w:tr2bl w:val="nil"/>
                  </w:tcBorders>
                  <w:shd w:val="clear" w:color="auto" w:fill="auto"/>
                  <w:noWrap w:val="0"/>
                  <w:vAlign w:val="center"/>
                </w:tcPr>
                <w:p w14:paraId="0F786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121</w:t>
                  </w:r>
                </w:p>
              </w:tc>
              <w:tc>
                <w:tcPr>
                  <w:tcW w:w="1158" w:type="pct"/>
                  <w:tcBorders>
                    <w:tl2br w:val="nil"/>
                    <w:tr2bl w:val="nil"/>
                  </w:tcBorders>
                  <w:shd w:val="clear" w:color="auto" w:fill="auto"/>
                  <w:noWrap w:val="0"/>
                  <w:vAlign w:val="center"/>
                </w:tcPr>
                <w:p w14:paraId="0EC279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118</w:t>
                  </w:r>
                </w:p>
              </w:tc>
              <w:tc>
                <w:tcPr>
                  <w:tcW w:w="771" w:type="pct"/>
                  <w:tcBorders>
                    <w:tl2br w:val="nil"/>
                    <w:tr2bl w:val="nil"/>
                  </w:tcBorders>
                  <w:shd w:val="clear" w:color="auto" w:fill="auto"/>
                  <w:noWrap w:val="0"/>
                  <w:vAlign w:val="center"/>
                </w:tcPr>
                <w:p w14:paraId="617706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250</w:t>
                  </w:r>
                </w:p>
              </w:tc>
              <w:tc>
                <w:tcPr>
                  <w:tcW w:w="906" w:type="pct"/>
                  <w:tcBorders>
                    <w:tl2br w:val="nil"/>
                    <w:tr2bl w:val="nil"/>
                  </w:tcBorders>
                  <w:shd w:val="clear" w:color="auto" w:fill="auto"/>
                  <w:noWrap w:val="0"/>
                  <w:vAlign w:val="center"/>
                </w:tcPr>
                <w:p w14:paraId="62D969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43ABC8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2A0AF7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悬浮物</w:t>
                  </w:r>
                </w:p>
              </w:tc>
              <w:tc>
                <w:tcPr>
                  <w:tcW w:w="1232" w:type="pct"/>
                  <w:tcBorders>
                    <w:tl2br w:val="nil"/>
                    <w:tr2bl w:val="nil"/>
                  </w:tcBorders>
                  <w:shd w:val="clear" w:color="auto" w:fill="auto"/>
                  <w:noWrap w:val="0"/>
                  <w:vAlign w:val="center"/>
                </w:tcPr>
                <w:p w14:paraId="6D80F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w:t>
                  </w:r>
                </w:p>
              </w:tc>
              <w:tc>
                <w:tcPr>
                  <w:tcW w:w="1158" w:type="pct"/>
                  <w:tcBorders>
                    <w:tl2br w:val="nil"/>
                    <w:tr2bl w:val="nil"/>
                  </w:tcBorders>
                  <w:shd w:val="clear" w:color="auto" w:fill="auto"/>
                  <w:noWrap w:val="0"/>
                  <w:vAlign w:val="center"/>
                </w:tcPr>
                <w:p w14:paraId="271508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w:t>
                  </w:r>
                </w:p>
              </w:tc>
              <w:tc>
                <w:tcPr>
                  <w:tcW w:w="771" w:type="pct"/>
                  <w:tcBorders>
                    <w:tl2br w:val="nil"/>
                    <w:tr2bl w:val="nil"/>
                  </w:tcBorders>
                  <w:shd w:val="clear" w:color="auto" w:fill="auto"/>
                  <w:noWrap w:val="0"/>
                  <w:vAlign w:val="center"/>
                </w:tcPr>
                <w:p w14:paraId="7CB089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w:t>
                  </w:r>
                </w:p>
              </w:tc>
              <w:tc>
                <w:tcPr>
                  <w:tcW w:w="906" w:type="pct"/>
                  <w:tcBorders>
                    <w:tl2br w:val="nil"/>
                    <w:tr2bl w:val="nil"/>
                  </w:tcBorders>
                  <w:shd w:val="clear" w:color="auto" w:fill="auto"/>
                  <w:noWrap w:val="0"/>
                  <w:vAlign w:val="center"/>
                </w:tcPr>
                <w:p w14:paraId="6C51C3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1FDA79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019273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氨氮</w:t>
                  </w:r>
                </w:p>
              </w:tc>
              <w:tc>
                <w:tcPr>
                  <w:tcW w:w="1232" w:type="pct"/>
                  <w:tcBorders>
                    <w:tl2br w:val="nil"/>
                    <w:tr2bl w:val="nil"/>
                  </w:tcBorders>
                  <w:shd w:val="clear" w:color="auto" w:fill="auto"/>
                  <w:noWrap w:val="0"/>
                  <w:vAlign w:val="center"/>
                </w:tcPr>
                <w:p w14:paraId="2B7EF6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22.4</w:t>
                  </w:r>
                </w:p>
              </w:tc>
              <w:tc>
                <w:tcPr>
                  <w:tcW w:w="1158" w:type="pct"/>
                  <w:tcBorders>
                    <w:tl2br w:val="nil"/>
                    <w:tr2bl w:val="nil"/>
                  </w:tcBorders>
                  <w:shd w:val="clear" w:color="auto" w:fill="auto"/>
                  <w:noWrap w:val="0"/>
                  <w:vAlign w:val="center"/>
                </w:tcPr>
                <w:p w14:paraId="6AC5BA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21.3</w:t>
                  </w:r>
                </w:p>
              </w:tc>
              <w:tc>
                <w:tcPr>
                  <w:tcW w:w="771" w:type="pct"/>
                  <w:tcBorders>
                    <w:tl2br w:val="nil"/>
                    <w:tr2bl w:val="nil"/>
                  </w:tcBorders>
                  <w:shd w:val="clear" w:color="auto" w:fill="auto"/>
                  <w:noWrap w:val="0"/>
                  <w:vAlign w:val="center"/>
                </w:tcPr>
                <w:p w14:paraId="6327B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w:t>
                  </w:r>
                </w:p>
              </w:tc>
              <w:tc>
                <w:tcPr>
                  <w:tcW w:w="906" w:type="pct"/>
                  <w:tcBorders>
                    <w:tl2br w:val="nil"/>
                    <w:tr2bl w:val="nil"/>
                  </w:tcBorders>
                  <w:shd w:val="clear" w:color="auto" w:fill="auto"/>
                  <w:noWrap w:val="0"/>
                  <w:vAlign w:val="center"/>
                </w:tcPr>
                <w:p w14:paraId="45AE15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1F5782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2D62D1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总磷</w:t>
                  </w:r>
                </w:p>
              </w:tc>
              <w:tc>
                <w:tcPr>
                  <w:tcW w:w="1232" w:type="pct"/>
                  <w:tcBorders>
                    <w:tl2br w:val="nil"/>
                    <w:tr2bl w:val="nil"/>
                  </w:tcBorders>
                  <w:shd w:val="clear" w:color="auto" w:fill="auto"/>
                  <w:noWrap w:val="0"/>
                  <w:vAlign w:val="center"/>
                </w:tcPr>
                <w:p w14:paraId="2A1317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1.55</w:t>
                  </w:r>
                </w:p>
              </w:tc>
              <w:tc>
                <w:tcPr>
                  <w:tcW w:w="1158" w:type="pct"/>
                  <w:tcBorders>
                    <w:tl2br w:val="nil"/>
                    <w:tr2bl w:val="nil"/>
                  </w:tcBorders>
                  <w:shd w:val="clear" w:color="auto" w:fill="auto"/>
                  <w:noWrap w:val="0"/>
                  <w:vAlign w:val="center"/>
                </w:tcPr>
                <w:p w14:paraId="4A378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1.54</w:t>
                  </w:r>
                </w:p>
              </w:tc>
              <w:tc>
                <w:tcPr>
                  <w:tcW w:w="771" w:type="pct"/>
                  <w:tcBorders>
                    <w:tl2br w:val="nil"/>
                    <w:tr2bl w:val="nil"/>
                  </w:tcBorders>
                  <w:shd w:val="clear" w:color="auto" w:fill="auto"/>
                  <w:noWrap w:val="0"/>
                  <w:vAlign w:val="center"/>
                </w:tcPr>
                <w:p w14:paraId="2F4F47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906" w:type="pct"/>
                  <w:tcBorders>
                    <w:tl2br w:val="nil"/>
                    <w:tr2bl w:val="nil"/>
                  </w:tcBorders>
                  <w:shd w:val="clear" w:color="auto" w:fill="auto"/>
                  <w:noWrap w:val="0"/>
                  <w:vAlign w:val="center"/>
                </w:tcPr>
                <w:p w14:paraId="306242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0535E7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02F27A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粪大肠菌群</w:t>
                  </w:r>
                </w:p>
              </w:tc>
              <w:tc>
                <w:tcPr>
                  <w:tcW w:w="1232" w:type="pct"/>
                  <w:tcBorders>
                    <w:tl2br w:val="nil"/>
                    <w:tr2bl w:val="nil"/>
                  </w:tcBorders>
                  <w:shd w:val="clear" w:color="auto" w:fill="auto"/>
                  <w:noWrap w:val="0"/>
                  <w:vAlign w:val="center"/>
                </w:tcPr>
                <w:p w14:paraId="736DFA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2.275×10</w:t>
                  </w:r>
                  <w:r>
                    <w:rPr>
                      <w:rFonts w:hint="default" w:ascii="Times New Roman" w:hAnsi="Times New Roman" w:eastAsia="宋体" w:cs="Times New Roman"/>
                      <w:color w:val="auto"/>
                      <w:sz w:val="18"/>
                      <w:szCs w:val="18"/>
                      <w:vertAlign w:val="superscript"/>
                      <w:lang w:val="en-US" w:eastAsia="zh-CN"/>
                    </w:rPr>
                    <w:t>3</w:t>
                  </w:r>
                </w:p>
              </w:tc>
              <w:tc>
                <w:tcPr>
                  <w:tcW w:w="1158" w:type="pct"/>
                  <w:tcBorders>
                    <w:tl2br w:val="nil"/>
                    <w:tr2bl w:val="nil"/>
                  </w:tcBorders>
                  <w:shd w:val="clear" w:color="auto" w:fill="auto"/>
                  <w:noWrap w:val="0"/>
                  <w:vAlign w:val="center"/>
                </w:tcPr>
                <w:p w14:paraId="5DA407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2.25×10</w:t>
                  </w:r>
                  <w:r>
                    <w:rPr>
                      <w:rFonts w:hint="default" w:ascii="Times New Roman" w:hAnsi="Times New Roman" w:eastAsia="宋体" w:cs="Times New Roman"/>
                      <w:color w:val="auto"/>
                      <w:sz w:val="18"/>
                      <w:szCs w:val="18"/>
                      <w:vertAlign w:val="superscript"/>
                      <w:lang w:val="en-US" w:eastAsia="zh-CN"/>
                    </w:rPr>
                    <w:t>3</w:t>
                  </w:r>
                </w:p>
              </w:tc>
              <w:tc>
                <w:tcPr>
                  <w:tcW w:w="771" w:type="pct"/>
                  <w:tcBorders>
                    <w:tl2br w:val="nil"/>
                    <w:tr2bl w:val="nil"/>
                  </w:tcBorders>
                  <w:shd w:val="clear" w:color="auto" w:fill="auto"/>
                  <w:noWrap w:val="0"/>
                  <w:vAlign w:val="center"/>
                </w:tcPr>
                <w:p w14:paraId="723F05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5000</w:t>
                  </w:r>
                </w:p>
              </w:tc>
              <w:tc>
                <w:tcPr>
                  <w:tcW w:w="906" w:type="pct"/>
                  <w:tcBorders>
                    <w:tl2br w:val="nil"/>
                    <w:tr2bl w:val="nil"/>
                  </w:tcBorders>
                  <w:shd w:val="clear" w:color="auto" w:fill="auto"/>
                  <w:noWrap w:val="0"/>
                  <w:vAlign w:val="center"/>
                </w:tcPr>
                <w:p w14:paraId="1EF8F6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416BD4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293FDC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总氯</w:t>
                  </w:r>
                </w:p>
              </w:tc>
              <w:tc>
                <w:tcPr>
                  <w:tcW w:w="1232" w:type="pct"/>
                  <w:tcBorders>
                    <w:tl2br w:val="nil"/>
                    <w:tr2bl w:val="nil"/>
                  </w:tcBorders>
                  <w:shd w:val="clear" w:color="auto" w:fill="auto"/>
                  <w:noWrap w:val="0"/>
                  <w:vAlign w:val="center"/>
                </w:tcPr>
                <w:p w14:paraId="072F8B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3.69</w:t>
                  </w:r>
                </w:p>
              </w:tc>
              <w:tc>
                <w:tcPr>
                  <w:tcW w:w="1158" w:type="pct"/>
                  <w:tcBorders>
                    <w:tl2br w:val="nil"/>
                    <w:tr2bl w:val="nil"/>
                  </w:tcBorders>
                  <w:shd w:val="clear" w:color="auto" w:fill="auto"/>
                  <w:noWrap w:val="0"/>
                  <w:vAlign w:val="center"/>
                </w:tcPr>
                <w:p w14:paraId="1E97A0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3.67</w:t>
                  </w:r>
                </w:p>
              </w:tc>
              <w:tc>
                <w:tcPr>
                  <w:tcW w:w="771" w:type="pct"/>
                  <w:tcBorders>
                    <w:tl2br w:val="nil"/>
                    <w:tr2bl w:val="nil"/>
                  </w:tcBorders>
                  <w:shd w:val="clear" w:color="auto" w:fill="auto"/>
                  <w:noWrap w:val="0"/>
                  <w:vAlign w:val="center"/>
                </w:tcPr>
                <w:p w14:paraId="03EC0B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2~8</w:t>
                  </w:r>
                </w:p>
              </w:tc>
              <w:tc>
                <w:tcPr>
                  <w:tcW w:w="906" w:type="pct"/>
                  <w:tcBorders>
                    <w:tl2br w:val="nil"/>
                    <w:tr2bl w:val="nil"/>
                  </w:tcBorders>
                  <w:shd w:val="clear" w:color="auto" w:fill="auto"/>
                  <w:noWrap w:val="0"/>
                  <w:vAlign w:val="center"/>
                </w:tcPr>
                <w:p w14:paraId="746175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22F16C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931" w:type="pct"/>
                  <w:tcBorders>
                    <w:tl2br w:val="nil"/>
                    <w:tr2bl w:val="nil"/>
                  </w:tcBorders>
                  <w:shd w:val="clear" w:color="auto" w:fill="auto"/>
                  <w:noWrap w:val="0"/>
                  <w:vAlign w:val="center"/>
                </w:tcPr>
                <w:p w14:paraId="7193A0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动植物油</w:t>
                  </w:r>
                </w:p>
              </w:tc>
              <w:tc>
                <w:tcPr>
                  <w:tcW w:w="1232" w:type="pct"/>
                  <w:tcBorders>
                    <w:tl2br w:val="nil"/>
                    <w:tr2bl w:val="nil"/>
                  </w:tcBorders>
                  <w:shd w:val="clear" w:color="auto" w:fill="auto"/>
                  <w:noWrap w:val="0"/>
                  <w:vAlign w:val="center"/>
                </w:tcPr>
                <w:p w14:paraId="6AB79A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0.68</w:t>
                  </w:r>
                </w:p>
              </w:tc>
              <w:tc>
                <w:tcPr>
                  <w:tcW w:w="1158" w:type="pct"/>
                  <w:tcBorders>
                    <w:tl2br w:val="nil"/>
                    <w:tr2bl w:val="nil"/>
                  </w:tcBorders>
                  <w:shd w:val="clear" w:color="auto" w:fill="auto"/>
                  <w:noWrap w:val="0"/>
                  <w:vAlign w:val="center"/>
                </w:tcPr>
                <w:p w14:paraId="40B425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0.69</w:t>
                  </w:r>
                </w:p>
              </w:tc>
              <w:tc>
                <w:tcPr>
                  <w:tcW w:w="771" w:type="pct"/>
                  <w:tcBorders>
                    <w:tl2br w:val="nil"/>
                    <w:tr2bl w:val="nil"/>
                  </w:tcBorders>
                  <w:shd w:val="clear" w:color="auto" w:fill="auto"/>
                  <w:noWrap w:val="0"/>
                  <w:vAlign w:val="center"/>
                </w:tcPr>
                <w:p w14:paraId="268B93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w:t>
                  </w:r>
                </w:p>
              </w:tc>
              <w:tc>
                <w:tcPr>
                  <w:tcW w:w="906" w:type="pct"/>
                  <w:tcBorders>
                    <w:tl2br w:val="nil"/>
                    <w:tr2bl w:val="nil"/>
                  </w:tcBorders>
                  <w:shd w:val="clear" w:color="auto" w:fill="auto"/>
                  <w:noWrap w:val="0"/>
                  <w:vAlign w:val="center"/>
                </w:tcPr>
                <w:p w14:paraId="289BB4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bl>
          <w:p w14:paraId="7B99FE6F">
            <w:pPr>
              <w:pStyle w:val="13"/>
              <w:keepNext w:val="0"/>
              <w:keepLines w:val="0"/>
              <w:numPr>
                <w:ilvl w:val="0"/>
                <w:numId w:val="7"/>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固体废物</w:t>
            </w:r>
          </w:p>
          <w:p w14:paraId="75E21C5E">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对于医疗废物应严格实施分类收集、定时委外处理的原则进行处置，参考《医疗废物管理条例》（国务院2003</w:t>
            </w:r>
            <w:r>
              <w:rPr>
                <w:rFonts w:hint="eastAsia" w:eastAsiaTheme="minorEastAsia"/>
                <w:color w:val="auto"/>
                <w:szCs w:val="21"/>
                <w:lang w:eastAsia="zh-CN"/>
              </w:rPr>
              <w:t>〕</w:t>
            </w:r>
            <w:r>
              <w:rPr>
                <w:rFonts w:hint="eastAsia" w:eastAsiaTheme="minorEastAsia"/>
                <w:color w:val="auto"/>
                <w:szCs w:val="21"/>
              </w:rPr>
              <w:t>第 380</w:t>
            </w:r>
            <w:r>
              <w:rPr>
                <w:rFonts w:hint="eastAsia" w:eastAsiaTheme="minorEastAsia"/>
                <w:color w:val="auto"/>
                <w:szCs w:val="21"/>
                <w:lang w:eastAsia="zh-CN"/>
              </w:rPr>
              <w:t>号</w:t>
            </w:r>
            <w:r>
              <w:rPr>
                <w:rFonts w:hint="eastAsia" w:eastAsiaTheme="minorEastAsia"/>
                <w:color w:val="auto"/>
                <w:szCs w:val="21"/>
              </w:rPr>
              <w:t>令）以及《医疗卫生机构医疗废物管理办法》（</w:t>
            </w:r>
            <w:r>
              <w:rPr>
                <w:rFonts w:hint="eastAsia" w:eastAsiaTheme="minorEastAsia"/>
                <w:color w:val="auto"/>
                <w:szCs w:val="21"/>
                <w:lang w:eastAsia="zh-CN"/>
              </w:rPr>
              <w:t>卫健委〔</w:t>
            </w:r>
            <w:r>
              <w:rPr>
                <w:rFonts w:hint="eastAsia" w:eastAsiaTheme="minorEastAsia"/>
                <w:color w:val="auto"/>
                <w:szCs w:val="21"/>
              </w:rPr>
              <w:t>2003</w:t>
            </w:r>
            <w:r>
              <w:rPr>
                <w:rFonts w:hint="eastAsia" w:eastAsiaTheme="minorEastAsia"/>
                <w:color w:val="auto"/>
                <w:szCs w:val="21"/>
                <w:lang w:eastAsia="zh-CN"/>
              </w:rPr>
              <w:t>〕</w:t>
            </w:r>
            <w:r>
              <w:rPr>
                <w:rFonts w:hint="eastAsia" w:eastAsiaTheme="minorEastAsia"/>
                <w:color w:val="auto"/>
                <w:szCs w:val="21"/>
              </w:rPr>
              <w:t>第 36</w:t>
            </w:r>
            <w:r>
              <w:rPr>
                <w:rFonts w:hint="eastAsia" w:eastAsiaTheme="minorEastAsia"/>
                <w:color w:val="auto"/>
                <w:szCs w:val="21"/>
                <w:lang w:eastAsia="zh-CN"/>
              </w:rPr>
              <w:t>号</w:t>
            </w:r>
            <w:r>
              <w:rPr>
                <w:rFonts w:hint="eastAsia" w:eastAsiaTheme="minorEastAsia"/>
                <w:color w:val="auto"/>
                <w:szCs w:val="21"/>
              </w:rPr>
              <w:t>令），本项目医疗废物的污染防治措施如下：</w:t>
            </w:r>
          </w:p>
          <w:p w14:paraId="07AFE221">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1）管理要求</w:t>
            </w:r>
          </w:p>
          <w:p w14:paraId="655E26E7">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a.医院应当对本单位从事医疗废物收集、运送、贮存、处置等工作的人员和管理人员，进行相关法律和专业技术、安全防护以及紧急处理等知识的培训。</w:t>
            </w:r>
          </w:p>
          <w:p w14:paraId="2F104468">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b.医院应当采取有效的职业</w:t>
            </w:r>
            <w:r>
              <w:rPr>
                <w:rFonts w:hint="eastAsia" w:eastAsiaTheme="minorEastAsia"/>
                <w:color w:val="auto"/>
                <w:szCs w:val="21"/>
                <w:lang w:eastAsia="zh-CN"/>
              </w:rPr>
              <w:t>－</w:t>
            </w:r>
            <w:r>
              <w:rPr>
                <w:rFonts w:hint="eastAsia" w:eastAsiaTheme="minorEastAsia"/>
                <w:color w:val="auto"/>
                <w:szCs w:val="21"/>
              </w:rPr>
              <w:t>卫生防护措施，为从事医疗废物收集、运送、贮存、处置等工作的人员和管理人员，配备必要的防护用品，定期进行健康检查：必要时，对有关人员进行免疫接种，防止其受到健康</w:t>
            </w:r>
            <w:r>
              <w:rPr>
                <w:rFonts w:hint="eastAsia" w:eastAsiaTheme="minorEastAsia"/>
                <w:color w:val="auto"/>
                <w:szCs w:val="21"/>
                <w:lang w:eastAsia="zh-CN"/>
              </w:rPr>
              <w:t>损失</w:t>
            </w:r>
            <w:r>
              <w:rPr>
                <w:rFonts w:hint="eastAsia" w:eastAsiaTheme="minorEastAsia"/>
                <w:color w:val="auto"/>
                <w:szCs w:val="21"/>
              </w:rPr>
              <w:t>。</w:t>
            </w:r>
          </w:p>
          <w:p w14:paraId="7D25C5E4">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c.医院应当依照《中华人民共和国固体废物污染环境防治法》的规定，执行危险废物转移联单管理制度。</w:t>
            </w:r>
          </w:p>
          <w:p w14:paraId="71DC35E8">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d.医院应当对医疗废物进行登记，登记内容应当包括医疗废物的来源、种类</w:t>
            </w:r>
            <w:r>
              <w:rPr>
                <w:rFonts w:hint="eastAsia" w:eastAsiaTheme="minorEastAsia"/>
                <w:color w:val="auto"/>
                <w:szCs w:val="21"/>
                <w:lang w:eastAsia="zh-CN"/>
              </w:rPr>
              <w:t>、</w:t>
            </w:r>
            <w:r>
              <w:rPr>
                <w:rFonts w:hint="eastAsia" w:eastAsiaTheme="minorEastAsia"/>
                <w:color w:val="auto"/>
                <w:szCs w:val="21"/>
              </w:rPr>
              <w:t>量或者数量、交接时间、处置方法、最终去向以及经办人签名等项目。登记资料至少保存3年。</w:t>
            </w:r>
          </w:p>
          <w:p w14:paraId="3F097116">
            <w:pPr>
              <w:pStyle w:val="59"/>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color w:val="auto"/>
                <w:highlight w:val="none"/>
              </w:rPr>
            </w:pPr>
            <w:r>
              <w:rPr>
                <w:rFonts w:hint="eastAsia" w:eastAsiaTheme="minorEastAsia"/>
                <w:color w:val="auto"/>
                <w:szCs w:val="21"/>
              </w:rPr>
              <w:t>e.发生医疗废物流失、</w:t>
            </w:r>
            <w:r>
              <w:rPr>
                <w:rFonts w:hint="eastAsia" w:eastAsiaTheme="minorEastAsia"/>
                <w:color w:val="auto"/>
                <w:szCs w:val="21"/>
                <w:lang w:eastAsia="zh-CN"/>
              </w:rPr>
              <w:t>泄漏</w:t>
            </w:r>
            <w:r>
              <w:rPr>
                <w:rFonts w:hint="eastAsia" w:eastAsiaTheme="minorEastAsia"/>
                <w:color w:val="auto"/>
                <w:szCs w:val="21"/>
              </w:rPr>
              <w:t>、扩散时，院方和医疗废物集中处置单位应当采取减少危害的紧急处理措施，对致病人员提供医疗救护和现场救援：同时向所在地的县级人民政府卫生行政主管部门、环境保护行政主管部门报告，并向可能受到危害的单位和居民通报</w:t>
            </w:r>
          </w:p>
          <w:tbl>
            <w:tblPr>
              <w:tblStyle w:val="24"/>
              <w:tblW w:w="8452" w:type="dxa"/>
              <w:jc w:val="center"/>
              <w:tblLayout w:type="fixed"/>
              <w:tblCellMar>
                <w:top w:w="0" w:type="dxa"/>
                <w:left w:w="108" w:type="dxa"/>
                <w:bottom w:w="0" w:type="dxa"/>
                <w:right w:w="108" w:type="dxa"/>
              </w:tblCellMar>
            </w:tblPr>
            <w:tblGrid>
              <w:gridCol w:w="4226"/>
              <w:gridCol w:w="4226"/>
            </w:tblGrid>
            <w:tr w14:paraId="6B46453C">
              <w:trPr>
                <w:trHeight w:val="23" w:hRule="atLeast"/>
                <w:jc w:val="center"/>
              </w:trPr>
              <w:tc>
                <w:tcPr>
                  <w:tcW w:w="4226" w:type="dxa"/>
                  <w:tcBorders>
                    <w:top w:val="single" w:color="000000" w:sz="4" w:space="0"/>
                    <w:left w:val="single" w:color="000000" w:sz="4" w:space="0"/>
                    <w:bottom w:val="single" w:color="000000" w:sz="4" w:space="0"/>
                    <w:right w:val="single" w:color="000000" w:sz="4" w:space="0"/>
                  </w:tcBorders>
                  <w:vAlign w:val="center"/>
                </w:tcPr>
                <w:p w14:paraId="759B2790">
                  <w:pPr>
                    <w:keepNext w:val="0"/>
                    <w:keepLines w:val="0"/>
                    <w:suppressLineNumbers w:val="0"/>
                    <w:spacing w:before="0" w:beforeAutospacing="0" w:after="0" w:afterAutospacing="0" w:line="200" w:lineRule="atLeast"/>
                    <w:ind w:left="0" w:leftChars="0" w:right="0" w:firstLine="0" w:firstLineChars="0"/>
                    <w:jc w:val="both"/>
                    <w:rPr>
                      <w:rFonts w:hint="default" w:ascii="Times New Roman" w:hAnsi="Times New Roman" w:eastAsia="宋体" w:cs="Times New Roman"/>
                      <w:b/>
                      <w:bCs/>
                      <w:color w:val="auto"/>
                      <w:sz w:val="16"/>
                      <w:szCs w:val="16"/>
                      <w:highlight w:val="none"/>
                    </w:rPr>
                  </w:pPr>
                  <w:r>
                    <w:rPr>
                      <w:rFonts w:hint="eastAsia" w:hAnsi="宋体" w:eastAsia="宋体"/>
                      <w:color w:val="auto"/>
                      <w:szCs w:val="21"/>
                      <w:lang w:val="en-US" w:eastAsia="zh-CN"/>
                    </w:rPr>
                    <w:drawing>
                      <wp:inline distT="0" distB="0" distL="114300" distR="114300">
                        <wp:extent cx="2585720" cy="3012440"/>
                        <wp:effectExtent l="0" t="0" r="5080" b="16510"/>
                        <wp:docPr id="105" name="图片 3" descr="f6651848008b64f992358f510028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descr="f6651848008b64f992358f5100283cb"/>
                                <pic:cNvPicPr>
                                  <a:picLocks noChangeAspect="1"/>
                                </pic:cNvPicPr>
                              </pic:nvPicPr>
                              <pic:blipFill>
                                <a:blip r:embed="rId14"/>
                                <a:stretch>
                                  <a:fillRect/>
                                </a:stretch>
                              </pic:blipFill>
                              <pic:spPr>
                                <a:xfrm>
                                  <a:off x="0" y="0"/>
                                  <a:ext cx="2585720" cy="3012440"/>
                                </a:xfrm>
                                <a:prstGeom prst="rect">
                                  <a:avLst/>
                                </a:prstGeom>
                                <a:noFill/>
                                <a:ln>
                                  <a:noFill/>
                                </a:ln>
                              </pic:spPr>
                            </pic:pic>
                          </a:graphicData>
                        </a:graphic>
                      </wp:inline>
                    </w:drawing>
                  </w:r>
                </w:p>
              </w:tc>
              <w:tc>
                <w:tcPr>
                  <w:tcW w:w="4226" w:type="dxa"/>
                  <w:tcBorders>
                    <w:top w:val="single" w:color="000000" w:sz="4" w:space="0"/>
                    <w:left w:val="single" w:color="000000" w:sz="4" w:space="0"/>
                    <w:bottom w:val="single" w:color="000000" w:sz="4" w:space="0"/>
                    <w:right w:val="single" w:color="000000" w:sz="4" w:space="0"/>
                  </w:tcBorders>
                  <w:vAlign w:val="center"/>
                </w:tcPr>
                <w:p w14:paraId="06113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b/>
                      <w:bCs/>
                      <w:color w:val="auto"/>
                      <w:sz w:val="17"/>
                      <w:szCs w:val="17"/>
                      <w:highlight w:val="none"/>
                      <w:lang w:eastAsia="zh-CN"/>
                    </w:rPr>
                  </w:pPr>
                  <w:r>
                    <w:rPr>
                      <w:rFonts w:hint="eastAsia" w:hAnsi="宋体" w:eastAsia="宋体"/>
                      <w:color w:val="auto"/>
                      <w:szCs w:val="21"/>
                      <w:lang w:val="en-US" w:eastAsia="zh-CN"/>
                    </w:rPr>
                    <w:drawing>
                      <wp:inline distT="0" distB="0" distL="114300" distR="114300">
                        <wp:extent cx="2622550" cy="2957195"/>
                        <wp:effectExtent l="0" t="0" r="6350" b="14605"/>
                        <wp:docPr id="107" name="图片 5" descr="d2be0d73ba87939e58a1a362084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 descr="d2be0d73ba87939e58a1a3620845055"/>
                                <pic:cNvPicPr>
                                  <a:picLocks noChangeAspect="1"/>
                                </pic:cNvPicPr>
                              </pic:nvPicPr>
                              <pic:blipFill>
                                <a:blip r:embed="rId15"/>
                                <a:stretch>
                                  <a:fillRect/>
                                </a:stretch>
                              </pic:blipFill>
                              <pic:spPr>
                                <a:xfrm>
                                  <a:off x="0" y="0"/>
                                  <a:ext cx="2622550" cy="2957195"/>
                                </a:xfrm>
                                <a:prstGeom prst="rect">
                                  <a:avLst/>
                                </a:prstGeom>
                                <a:noFill/>
                                <a:ln>
                                  <a:noFill/>
                                </a:ln>
                              </pic:spPr>
                            </pic:pic>
                          </a:graphicData>
                        </a:graphic>
                      </wp:inline>
                    </w:drawing>
                  </w:r>
                </w:p>
              </w:tc>
            </w:tr>
            <w:tr w14:paraId="7466AC54">
              <w:tblPrEx>
                <w:tblCellMar>
                  <w:top w:w="0" w:type="dxa"/>
                  <w:left w:w="108" w:type="dxa"/>
                  <w:bottom w:w="0" w:type="dxa"/>
                  <w:right w:w="108" w:type="dxa"/>
                </w:tblCellMar>
              </w:tblPrEx>
              <w:trPr>
                <w:trHeight w:val="23" w:hRule="atLeast"/>
                <w:jc w:val="center"/>
              </w:trPr>
              <w:tc>
                <w:tcPr>
                  <w:tcW w:w="8452" w:type="dxa"/>
                  <w:gridSpan w:val="2"/>
                  <w:tcBorders>
                    <w:top w:val="single" w:color="000000" w:sz="4" w:space="0"/>
                    <w:left w:val="single" w:color="000000" w:sz="4" w:space="0"/>
                    <w:bottom w:val="single" w:color="000000" w:sz="4" w:space="0"/>
                    <w:right w:val="single" w:color="000000" w:sz="4" w:space="0"/>
                  </w:tcBorders>
                  <w:vAlign w:val="center"/>
                </w:tcPr>
                <w:p w14:paraId="15C80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hAnsi="宋体" w:eastAsia="宋体"/>
                      <w:color w:val="auto"/>
                      <w:szCs w:val="21"/>
                      <w:lang w:val="en-US" w:eastAsia="zh-CN"/>
                    </w:rPr>
                  </w:pPr>
                  <w:r>
                    <w:rPr>
                      <w:rFonts w:hint="eastAsia" w:hAnsi="宋体"/>
                      <w:color w:val="auto"/>
                      <w:szCs w:val="21"/>
                      <w:lang w:val="en-US" w:eastAsia="zh-CN"/>
                    </w:rPr>
                    <w:t>危化品仓库</w:t>
                  </w:r>
                </w:p>
              </w:tc>
            </w:tr>
            <w:tr w14:paraId="3AD74EA4">
              <w:tblPrEx>
                <w:tblCellMar>
                  <w:top w:w="0" w:type="dxa"/>
                  <w:left w:w="108" w:type="dxa"/>
                  <w:bottom w:w="0" w:type="dxa"/>
                  <w:right w:w="108" w:type="dxa"/>
                </w:tblCellMar>
              </w:tblPrEx>
              <w:trPr>
                <w:trHeight w:val="23" w:hRule="atLeast"/>
                <w:jc w:val="center"/>
              </w:trPr>
              <w:tc>
                <w:tcPr>
                  <w:tcW w:w="4226" w:type="dxa"/>
                  <w:tcBorders>
                    <w:top w:val="single" w:color="000000" w:sz="4" w:space="0"/>
                    <w:left w:val="single" w:color="000000" w:sz="4" w:space="0"/>
                    <w:bottom w:val="single" w:color="000000" w:sz="4" w:space="0"/>
                    <w:right w:val="single" w:color="000000" w:sz="4" w:space="0"/>
                  </w:tcBorders>
                  <w:vAlign w:val="center"/>
                </w:tcPr>
                <w:p w14:paraId="45907156">
                  <w:pPr>
                    <w:keepNext w:val="0"/>
                    <w:keepLines w:val="0"/>
                    <w:suppressLineNumbers w:val="0"/>
                    <w:spacing w:before="0" w:beforeAutospacing="0" w:after="0" w:afterAutospacing="0" w:line="200" w:lineRule="atLeast"/>
                    <w:ind w:left="0" w:leftChars="0" w:right="0" w:firstLine="0" w:firstLineChars="0"/>
                    <w:jc w:val="both"/>
                    <w:rPr>
                      <w:rFonts w:hint="eastAsia" w:ascii="Times New Roman" w:hAnsi="Times New Roman" w:eastAsia="宋体" w:cs="Times New Roman"/>
                      <w:b/>
                      <w:color w:val="auto"/>
                      <w:sz w:val="20"/>
                      <w:szCs w:val="20"/>
                      <w:highlight w:val="none"/>
                      <w:lang w:eastAsia="zh-CN"/>
                    </w:rPr>
                  </w:pPr>
                  <w:r>
                    <w:rPr>
                      <w:rFonts w:hint="eastAsia" w:hAnsi="宋体" w:eastAsia="宋体"/>
                      <w:color w:val="auto"/>
                      <w:szCs w:val="21"/>
                      <w:lang w:val="en-US" w:eastAsia="zh-CN"/>
                    </w:rPr>
                    <w:drawing>
                      <wp:inline distT="0" distB="0" distL="114300" distR="114300">
                        <wp:extent cx="2665730" cy="3356610"/>
                        <wp:effectExtent l="0" t="0" r="1270" b="15240"/>
                        <wp:docPr id="106" name="图片 4" descr="6076cec2446f872793890466eed8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 descr="6076cec2446f872793890466eed89f5"/>
                                <pic:cNvPicPr>
                                  <a:picLocks noChangeAspect="1"/>
                                </pic:cNvPicPr>
                              </pic:nvPicPr>
                              <pic:blipFill>
                                <a:blip r:embed="rId16"/>
                                <a:stretch>
                                  <a:fillRect/>
                                </a:stretch>
                              </pic:blipFill>
                              <pic:spPr>
                                <a:xfrm>
                                  <a:off x="0" y="0"/>
                                  <a:ext cx="2665730" cy="3356610"/>
                                </a:xfrm>
                                <a:prstGeom prst="rect">
                                  <a:avLst/>
                                </a:prstGeom>
                                <a:noFill/>
                                <a:ln>
                                  <a:noFill/>
                                </a:ln>
                              </pic:spPr>
                            </pic:pic>
                          </a:graphicData>
                        </a:graphic>
                      </wp:inline>
                    </w:drawing>
                  </w:r>
                </w:p>
              </w:tc>
              <w:tc>
                <w:tcPr>
                  <w:tcW w:w="4226" w:type="dxa"/>
                  <w:tcBorders>
                    <w:top w:val="single" w:color="000000" w:sz="4" w:space="0"/>
                    <w:left w:val="single" w:color="000000" w:sz="4" w:space="0"/>
                    <w:bottom w:val="single" w:color="000000" w:sz="4" w:space="0"/>
                    <w:right w:val="single" w:color="000000" w:sz="4" w:space="0"/>
                  </w:tcBorders>
                  <w:vAlign w:val="center"/>
                </w:tcPr>
                <w:p w14:paraId="574FD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Times New Roman" w:hAnsi="Times New Roman" w:eastAsia="宋体" w:cs="Times New Roman"/>
                      <w:b/>
                      <w:color w:val="auto"/>
                      <w:sz w:val="20"/>
                      <w:szCs w:val="20"/>
                      <w:highlight w:val="none"/>
                      <w:lang w:eastAsia="zh-CN"/>
                    </w:rPr>
                  </w:pPr>
                  <w:r>
                    <w:rPr>
                      <w:rFonts w:hint="eastAsia" w:hAnsi="宋体" w:eastAsia="宋体"/>
                      <w:color w:val="auto"/>
                      <w:szCs w:val="21"/>
                      <w:lang w:val="en-US" w:eastAsia="zh-CN"/>
                    </w:rPr>
                    <w:drawing>
                      <wp:inline distT="0" distB="0" distL="114300" distR="114300">
                        <wp:extent cx="2570480" cy="3332480"/>
                        <wp:effectExtent l="0" t="0" r="1270" b="1270"/>
                        <wp:docPr id="108" name="图片 6" descr="7201e77653ca6d417c16a4254e8d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 descr="7201e77653ca6d417c16a4254e8d806"/>
                                <pic:cNvPicPr>
                                  <a:picLocks noChangeAspect="1"/>
                                </pic:cNvPicPr>
                              </pic:nvPicPr>
                              <pic:blipFill>
                                <a:blip r:embed="rId17"/>
                                <a:stretch>
                                  <a:fillRect/>
                                </a:stretch>
                              </pic:blipFill>
                              <pic:spPr>
                                <a:xfrm>
                                  <a:off x="0" y="0"/>
                                  <a:ext cx="2570480" cy="3332480"/>
                                </a:xfrm>
                                <a:prstGeom prst="rect">
                                  <a:avLst/>
                                </a:prstGeom>
                                <a:noFill/>
                                <a:ln>
                                  <a:noFill/>
                                </a:ln>
                              </pic:spPr>
                            </pic:pic>
                          </a:graphicData>
                        </a:graphic>
                      </wp:inline>
                    </w:drawing>
                  </w:r>
                </w:p>
              </w:tc>
            </w:tr>
          </w:tbl>
          <w:p w14:paraId="35804283">
            <w:pPr>
              <w:keepNext w:val="0"/>
              <w:keepLines w:val="0"/>
              <w:numPr>
                <w:ilvl w:val="0"/>
                <w:numId w:val="7"/>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p w14:paraId="6090297A">
            <w:pPr>
              <w:pStyle w:val="59"/>
              <w:keepNext w:val="0"/>
              <w:keepLines w:val="0"/>
              <w:suppressLineNumbers w:val="0"/>
              <w:spacing w:before="0" w:beforeAutospacing="0" w:after="0" w:afterAutospacing="0" w:line="360" w:lineRule="auto"/>
              <w:ind w:left="0" w:right="0" w:firstLine="420"/>
              <w:rPr>
                <w:rFonts w:hint="default" w:eastAsiaTheme="minorEastAsia"/>
                <w:color w:val="auto"/>
                <w:szCs w:val="21"/>
              </w:rPr>
            </w:pPr>
            <w:r>
              <w:rPr>
                <w:rFonts w:hint="eastAsia" w:eastAsiaTheme="minorEastAsia"/>
                <w:color w:val="auto"/>
                <w:szCs w:val="21"/>
                <w:lang w:val="en-US" w:eastAsia="zh-CN"/>
              </w:rPr>
              <w:t>根据项目急诊楼改造项目验收情况：</w:t>
            </w:r>
          </w:p>
          <w:p w14:paraId="31AC26CB">
            <w:pPr>
              <w:pStyle w:val="5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厂</w:t>
            </w:r>
            <w:r>
              <w:rPr>
                <w:rFonts w:hint="eastAsia" w:cs="Times New Roman"/>
                <w:color w:val="auto"/>
                <w:highlight w:val="none"/>
                <w:lang w:val="en-US" w:eastAsia="zh-CN"/>
              </w:rPr>
              <w:t>界</w:t>
            </w:r>
            <w:r>
              <w:rPr>
                <w:rFonts w:hint="default" w:ascii="Times New Roman" w:hAnsi="Times New Roman" w:eastAsia="宋体" w:cs="Times New Roman"/>
                <w:color w:val="auto"/>
                <w:highlight w:val="none"/>
              </w:rPr>
              <w:t>噪声监测情况</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01"/>
              <w:gridCol w:w="1639"/>
              <w:gridCol w:w="1640"/>
              <w:gridCol w:w="1639"/>
              <w:gridCol w:w="1640"/>
            </w:tblGrid>
            <w:tr w14:paraId="18D4C9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vMerge w:val="restart"/>
                  <w:tcBorders>
                    <w:tl2br w:val="nil"/>
                    <w:tr2bl w:val="nil"/>
                  </w:tcBorders>
                  <w:noWrap w:val="0"/>
                  <w:vAlign w:val="center"/>
                </w:tcPr>
                <w:p w14:paraId="4B5380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测点编号</w:t>
                  </w:r>
                </w:p>
              </w:tc>
              <w:tc>
                <w:tcPr>
                  <w:tcW w:w="1961" w:type="pct"/>
                  <w:gridSpan w:val="2"/>
                  <w:tcBorders>
                    <w:tl2br w:val="nil"/>
                    <w:tr2bl w:val="nil"/>
                  </w:tcBorders>
                  <w:noWrap w:val="0"/>
                  <w:vAlign w:val="center"/>
                </w:tcPr>
                <w:p w14:paraId="735013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2021.5.28</w:t>
                  </w:r>
                </w:p>
              </w:tc>
              <w:tc>
                <w:tcPr>
                  <w:tcW w:w="1961" w:type="pct"/>
                  <w:gridSpan w:val="2"/>
                  <w:tcBorders>
                    <w:tl2br w:val="nil"/>
                    <w:tr2bl w:val="nil"/>
                  </w:tcBorders>
                  <w:noWrap w:val="0"/>
                  <w:vAlign w:val="center"/>
                </w:tcPr>
                <w:p w14:paraId="04E102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eastAsia="zh-CN"/>
                    </w:rPr>
                    <w:t>2021.5.29</w:t>
                  </w:r>
                </w:p>
              </w:tc>
            </w:tr>
            <w:tr w14:paraId="00B45C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vMerge w:val="continue"/>
                  <w:tcBorders>
                    <w:tl2br w:val="nil"/>
                    <w:tr2bl w:val="nil"/>
                  </w:tcBorders>
                  <w:noWrap w:val="0"/>
                  <w:vAlign w:val="center"/>
                </w:tcPr>
                <w:p w14:paraId="1741D2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p>
              </w:tc>
              <w:tc>
                <w:tcPr>
                  <w:tcW w:w="980" w:type="pct"/>
                  <w:tcBorders>
                    <w:tl2br w:val="nil"/>
                    <w:tr2bl w:val="nil"/>
                  </w:tcBorders>
                  <w:noWrap w:val="0"/>
                  <w:vAlign w:val="center"/>
                </w:tcPr>
                <w:p w14:paraId="678BE7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昼间</w:t>
                  </w:r>
                </w:p>
              </w:tc>
              <w:tc>
                <w:tcPr>
                  <w:tcW w:w="981" w:type="pct"/>
                  <w:tcBorders>
                    <w:tl2br w:val="nil"/>
                    <w:tr2bl w:val="nil"/>
                  </w:tcBorders>
                  <w:noWrap w:val="0"/>
                  <w:vAlign w:val="center"/>
                </w:tcPr>
                <w:p w14:paraId="75592C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夜间</w:t>
                  </w:r>
                </w:p>
              </w:tc>
              <w:tc>
                <w:tcPr>
                  <w:tcW w:w="980" w:type="pct"/>
                  <w:tcBorders>
                    <w:tl2br w:val="nil"/>
                    <w:tr2bl w:val="nil"/>
                  </w:tcBorders>
                  <w:noWrap w:val="0"/>
                  <w:vAlign w:val="center"/>
                </w:tcPr>
                <w:p w14:paraId="0F2E23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昼间</w:t>
                  </w:r>
                </w:p>
              </w:tc>
              <w:tc>
                <w:tcPr>
                  <w:tcW w:w="980" w:type="pct"/>
                  <w:tcBorders>
                    <w:tl2br w:val="nil"/>
                    <w:tr2bl w:val="nil"/>
                  </w:tcBorders>
                  <w:noWrap w:val="0"/>
                  <w:vAlign w:val="center"/>
                </w:tcPr>
                <w:p w14:paraId="27DEF1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eastAsia="zh-CN"/>
                    </w:rPr>
                    <w:t>夜间</w:t>
                  </w:r>
                </w:p>
              </w:tc>
            </w:tr>
            <w:tr w14:paraId="1DD653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tcBorders>
                    <w:tl2br w:val="nil"/>
                    <w:tr2bl w:val="nil"/>
                  </w:tcBorders>
                  <w:noWrap w:val="0"/>
                  <w:vAlign w:val="center"/>
                </w:tcPr>
                <w:p w14:paraId="58C7766A">
                  <w:pPr>
                    <w:keepNext w:val="0"/>
                    <w:keepLines w:val="0"/>
                    <w:pageBreakBefore w:val="0"/>
                    <w:widowControl w:val="0"/>
                    <w:suppressLineNumbers w:val="0"/>
                    <w:tabs>
                      <w:tab w:val="left" w:pos="48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N1东厂界外1m</w:t>
                  </w:r>
                </w:p>
              </w:tc>
              <w:tc>
                <w:tcPr>
                  <w:tcW w:w="980" w:type="pct"/>
                  <w:tcBorders>
                    <w:tl2br w:val="nil"/>
                    <w:tr2bl w:val="nil"/>
                  </w:tcBorders>
                  <w:noWrap w:val="0"/>
                  <w:vAlign w:val="center"/>
                </w:tcPr>
                <w:p w14:paraId="1C7EFF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56.6</w:t>
                  </w:r>
                </w:p>
              </w:tc>
              <w:tc>
                <w:tcPr>
                  <w:tcW w:w="981" w:type="pct"/>
                  <w:tcBorders>
                    <w:tl2br w:val="nil"/>
                    <w:tr2bl w:val="nil"/>
                  </w:tcBorders>
                  <w:noWrap w:val="0"/>
                  <w:vAlign w:val="center"/>
                </w:tcPr>
                <w:p w14:paraId="529328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48.3</w:t>
                  </w:r>
                </w:p>
              </w:tc>
              <w:tc>
                <w:tcPr>
                  <w:tcW w:w="980" w:type="pct"/>
                  <w:tcBorders>
                    <w:tl2br w:val="nil"/>
                    <w:tr2bl w:val="nil"/>
                  </w:tcBorders>
                  <w:noWrap w:val="0"/>
                  <w:vAlign w:val="center"/>
                </w:tcPr>
                <w:p w14:paraId="1B4585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56.0</w:t>
                  </w:r>
                </w:p>
              </w:tc>
              <w:tc>
                <w:tcPr>
                  <w:tcW w:w="980" w:type="pct"/>
                  <w:tcBorders>
                    <w:tl2br w:val="nil"/>
                    <w:tr2bl w:val="nil"/>
                  </w:tcBorders>
                  <w:noWrap w:val="0"/>
                  <w:vAlign w:val="center"/>
                </w:tcPr>
                <w:p w14:paraId="441C9E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47.9</w:t>
                  </w:r>
                </w:p>
              </w:tc>
            </w:tr>
            <w:tr w14:paraId="7C436D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tcBorders>
                    <w:tl2br w:val="nil"/>
                    <w:tr2bl w:val="nil"/>
                  </w:tcBorders>
                  <w:noWrap w:val="0"/>
                  <w:vAlign w:val="center"/>
                </w:tcPr>
                <w:p w14:paraId="0945DA74">
                  <w:pPr>
                    <w:keepNext w:val="0"/>
                    <w:keepLines w:val="0"/>
                    <w:pageBreakBefore w:val="0"/>
                    <w:widowControl w:val="0"/>
                    <w:suppressLineNumbers w:val="0"/>
                    <w:tabs>
                      <w:tab w:val="left" w:pos="48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东厂界外1m</w:t>
                  </w:r>
                </w:p>
              </w:tc>
              <w:tc>
                <w:tcPr>
                  <w:tcW w:w="980" w:type="pct"/>
                  <w:tcBorders>
                    <w:tl2br w:val="nil"/>
                    <w:tr2bl w:val="nil"/>
                  </w:tcBorders>
                  <w:noWrap w:val="0"/>
                  <w:vAlign w:val="center"/>
                </w:tcPr>
                <w:p w14:paraId="14B626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56.0</w:t>
                  </w:r>
                </w:p>
              </w:tc>
              <w:tc>
                <w:tcPr>
                  <w:tcW w:w="981" w:type="pct"/>
                  <w:tcBorders>
                    <w:tl2br w:val="nil"/>
                    <w:tr2bl w:val="nil"/>
                  </w:tcBorders>
                  <w:noWrap w:val="0"/>
                  <w:vAlign w:val="center"/>
                </w:tcPr>
                <w:p w14:paraId="75E1FA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48.4</w:t>
                  </w:r>
                </w:p>
              </w:tc>
              <w:tc>
                <w:tcPr>
                  <w:tcW w:w="980" w:type="pct"/>
                  <w:tcBorders>
                    <w:tl2br w:val="nil"/>
                    <w:tr2bl w:val="nil"/>
                  </w:tcBorders>
                  <w:noWrap w:val="0"/>
                  <w:vAlign w:val="center"/>
                </w:tcPr>
                <w:p w14:paraId="500283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54.7</w:t>
                  </w:r>
                </w:p>
              </w:tc>
              <w:tc>
                <w:tcPr>
                  <w:tcW w:w="980" w:type="pct"/>
                  <w:tcBorders>
                    <w:tl2br w:val="nil"/>
                    <w:tr2bl w:val="nil"/>
                  </w:tcBorders>
                  <w:noWrap w:val="0"/>
                  <w:vAlign w:val="center"/>
                </w:tcPr>
                <w:p w14:paraId="20964B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47.5</w:t>
                  </w:r>
                </w:p>
              </w:tc>
            </w:tr>
            <w:tr w14:paraId="7F1D40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tcBorders>
                    <w:tl2br w:val="nil"/>
                    <w:tr2bl w:val="nil"/>
                  </w:tcBorders>
                  <w:noWrap w:val="0"/>
                  <w:vAlign w:val="center"/>
                </w:tcPr>
                <w:p w14:paraId="3EB02C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N5</w:t>
                  </w:r>
                  <w:r>
                    <w:rPr>
                      <w:rFonts w:hint="default" w:ascii="Times New Roman" w:hAnsi="Times New Roman" w:eastAsia="宋体" w:cs="Times New Roman"/>
                      <w:color w:val="auto"/>
                      <w:sz w:val="18"/>
                      <w:szCs w:val="18"/>
                    </w:rPr>
                    <w:t>西厂界外1m</w:t>
                  </w:r>
                </w:p>
              </w:tc>
              <w:tc>
                <w:tcPr>
                  <w:tcW w:w="980" w:type="pct"/>
                  <w:tcBorders>
                    <w:tl2br w:val="nil"/>
                    <w:tr2bl w:val="nil"/>
                  </w:tcBorders>
                  <w:noWrap w:val="0"/>
                  <w:vAlign w:val="center"/>
                </w:tcPr>
                <w:p w14:paraId="05D9F0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55.2</w:t>
                  </w:r>
                </w:p>
              </w:tc>
              <w:tc>
                <w:tcPr>
                  <w:tcW w:w="981" w:type="pct"/>
                  <w:tcBorders>
                    <w:tl2br w:val="nil"/>
                    <w:tr2bl w:val="nil"/>
                  </w:tcBorders>
                  <w:noWrap w:val="0"/>
                  <w:vAlign w:val="center"/>
                </w:tcPr>
                <w:p w14:paraId="20C23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47.7</w:t>
                  </w:r>
                </w:p>
              </w:tc>
              <w:tc>
                <w:tcPr>
                  <w:tcW w:w="980" w:type="pct"/>
                  <w:tcBorders>
                    <w:tl2br w:val="nil"/>
                    <w:tr2bl w:val="nil"/>
                  </w:tcBorders>
                  <w:noWrap w:val="0"/>
                  <w:vAlign w:val="center"/>
                </w:tcPr>
                <w:p w14:paraId="73657B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54.3</w:t>
                  </w:r>
                </w:p>
              </w:tc>
              <w:tc>
                <w:tcPr>
                  <w:tcW w:w="980" w:type="pct"/>
                  <w:tcBorders>
                    <w:tl2br w:val="nil"/>
                    <w:tr2bl w:val="nil"/>
                  </w:tcBorders>
                  <w:noWrap w:val="0"/>
                  <w:vAlign w:val="center"/>
                </w:tcPr>
                <w:p w14:paraId="15A916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47.4</w:t>
                  </w:r>
                </w:p>
              </w:tc>
            </w:tr>
            <w:tr w14:paraId="1EF9AE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tcBorders>
                    <w:tl2br w:val="nil"/>
                    <w:tr2bl w:val="nil"/>
                  </w:tcBorders>
                  <w:noWrap w:val="0"/>
                  <w:vAlign w:val="center"/>
                </w:tcPr>
                <w:p w14:paraId="02FF3B6D">
                  <w:pPr>
                    <w:keepNext w:val="0"/>
                    <w:keepLines w:val="0"/>
                    <w:pageBreakBefore w:val="0"/>
                    <w:widowControl w:val="0"/>
                    <w:suppressLineNumbers w:val="0"/>
                    <w:tabs>
                      <w:tab w:val="left" w:pos="48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N6</w:t>
                  </w:r>
                  <w:r>
                    <w:rPr>
                      <w:rFonts w:hint="default" w:ascii="Times New Roman" w:hAnsi="Times New Roman" w:eastAsia="宋体" w:cs="Times New Roman"/>
                      <w:color w:val="auto"/>
                      <w:sz w:val="18"/>
                      <w:szCs w:val="18"/>
                    </w:rPr>
                    <w:t>西厂界外1m</w:t>
                  </w:r>
                </w:p>
              </w:tc>
              <w:tc>
                <w:tcPr>
                  <w:tcW w:w="980" w:type="pct"/>
                  <w:tcBorders>
                    <w:tl2br w:val="nil"/>
                    <w:tr2bl w:val="nil"/>
                  </w:tcBorders>
                  <w:noWrap w:val="0"/>
                  <w:vAlign w:val="center"/>
                </w:tcPr>
                <w:p w14:paraId="1E402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54.5</w:t>
                  </w:r>
                </w:p>
              </w:tc>
              <w:tc>
                <w:tcPr>
                  <w:tcW w:w="981" w:type="pct"/>
                  <w:tcBorders>
                    <w:tl2br w:val="nil"/>
                    <w:tr2bl w:val="nil"/>
                  </w:tcBorders>
                  <w:noWrap w:val="0"/>
                  <w:vAlign w:val="center"/>
                </w:tcPr>
                <w:p w14:paraId="1BC30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46.9</w:t>
                  </w:r>
                </w:p>
              </w:tc>
              <w:tc>
                <w:tcPr>
                  <w:tcW w:w="980" w:type="pct"/>
                  <w:tcBorders>
                    <w:tl2br w:val="nil"/>
                    <w:tr2bl w:val="nil"/>
                  </w:tcBorders>
                  <w:noWrap w:val="0"/>
                  <w:vAlign w:val="center"/>
                </w:tcPr>
                <w:p w14:paraId="15F428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54.4</w:t>
                  </w:r>
                </w:p>
              </w:tc>
              <w:tc>
                <w:tcPr>
                  <w:tcW w:w="980" w:type="pct"/>
                  <w:tcBorders>
                    <w:tl2br w:val="nil"/>
                    <w:tr2bl w:val="nil"/>
                  </w:tcBorders>
                  <w:noWrap w:val="0"/>
                  <w:vAlign w:val="center"/>
                </w:tcPr>
                <w:p w14:paraId="22A669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47.3</w:t>
                  </w:r>
                </w:p>
              </w:tc>
            </w:tr>
            <w:tr w14:paraId="57A677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tcBorders>
                    <w:tl2br w:val="nil"/>
                    <w:tr2bl w:val="nil"/>
                  </w:tcBorders>
                  <w:noWrap w:val="0"/>
                  <w:vAlign w:val="center"/>
                </w:tcPr>
                <w:p w14:paraId="4E187F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N7</w:t>
                  </w:r>
                  <w:r>
                    <w:rPr>
                      <w:rFonts w:hint="default" w:ascii="Times New Roman" w:hAnsi="Times New Roman" w:eastAsia="宋体" w:cs="Times New Roman"/>
                      <w:color w:val="auto"/>
                      <w:sz w:val="18"/>
                      <w:szCs w:val="18"/>
                    </w:rPr>
                    <w:t>北厂界外1m</w:t>
                  </w:r>
                </w:p>
              </w:tc>
              <w:tc>
                <w:tcPr>
                  <w:tcW w:w="980" w:type="pct"/>
                  <w:tcBorders>
                    <w:tl2br w:val="nil"/>
                    <w:tr2bl w:val="nil"/>
                  </w:tcBorders>
                  <w:noWrap w:val="0"/>
                  <w:vAlign w:val="center"/>
                </w:tcPr>
                <w:p w14:paraId="513FA4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54.7</w:t>
                  </w:r>
                </w:p>
              </w:tc>
              <w:tc>
                <w:tcPr>
                  <w:tcW w:w="981" w:type="pct"/>
                  <w:tcBorders>
                    <w:tl2br w:val="nil"/>
                    <w:tr2bl w:val="nil"/>
                  </w:tcBorders>
                  <w:noWrap w:val="0"/>
                  <w:vAlign w:val="center"/>
                </w:tcPr>
                <w:p w14:paraId="76BB73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47.3</w:t>
                  </w:r>
                </w:p>
              </w:tc>
              <w:tc>
                <w:tcPr>
                  <w:tcW w:w="980" w:type="pct"/>
                  <w:tcBorders>
                    <w:tl2br w:val="nil"/>
                    <w:tr2bl w:val="nil"/>
                  </w:tcBorders>
                  <w:noWrap w:val="0"/>
                  <w:vAlign w:val="center"/>
                </w:tcPr>
                <w:p w14:paraId="5D5A4C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54.7</w:t>
                  </w:r>
                </w:p>
              </w:tc>
              <w:tc>
                <w:tcPr>
                  <w:tcW w:w="980" w:type="pct"/>
                  <w:tcBorders>
                    <w:tl2br w:val="nil"/>
                    <w:tr2bl w:val="nil"/>
                  </w:tcBorders>
                  <w:noWrap w:val="0"/>
                  <w:vAlign w:val="center"/>
                </w:tcPr>
                <w:p w14:paraId="3D3BF4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47.0</w:t>
                  </w:r>
                </w:p>
              </w:tc>
            </w:tr>
            <w:tr w14:paraId="13347C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tcBorders>
                    <w:tl2br w:val="nil"/>
                    <w:tr2bl w:val="nil"/>
                  </w:tcBorders>
                  <w:noWrap w:val="0"/>
                  <w:vAlign w:val="center"/>
                </w:tcPr>
                <w:p w14:paraId="518244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N</w:t>
                  </w:r>
                  <w:r>
                    <w:rPr>
                      <w:rFonts w:hint="default" w:ascii="Times New Roman" w:hAnsi="Times New Roman" w:eastAsia="宋体" w:cs="Times New Roman"/>
                      <w:color w:val="auto"/>
                      <w:sz w:val="18"/>
                      <w:szCs w:val="18"/>
                      <w:lang w:val="en-US" w:eastAsia="zh-CN"/>
                    </w:rPr>
                    <w:t>8</w:t>
                  </w:r>
                  <w:r>
                    <w:rPr>
                      <w:rFonts w:hint="default" w:ascii="Times New Roman" w:hAnsi="Times New Roman" w:eastAsia="宋体" w:cs="Times New Roman"/>
                      <w:color w:val="auto"/>
                      <w:sz w:val="18"/>
                      <w:szCs w:val="18"/>
                    </w:rPr>
                    <w:t>北厂界外1m</w:t>
                  </w:r>
                </w:p>
              </w:tc>
              <w:tc>
                <w:tcPr>
                  <w:tcW w:w="980" w:type="pct"/>
                  <w:tcBorders>
                    <w:tl2br w:val="nil"/>
                    <w:tr2bl w:val="nil"/>
                  </w:tcBorders>
                  <w:noWrap w:val="0"/>
                  <w:vAlign w:val="center"/>
                </w:tcPr>
                <w:p w14:paraId="33134E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54.6</w:t>
                  </w:r>
                </w:p>
              </w:tc>
              <w:tc>
                <w:tcPr>
                  <w:tcW w:w="981" w:type="pct"/>
                  <w:tcBorders>
                    <w:tl2br w:val="nil"/>
                    <w:tr2bl w:val="nil"/>
                  </w:tcBorders>
                  <w:noWrap w:val="0"/>
                  <w:vAlign w:val="center"/>
                </w:tcPr>
                <w:p w14:paraId="295FF7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47.2</w:t>
                  </w:r>
                </w:p>
              </w:tc>
              <w:tc>
                <w:tcPr>
                  <w:tcW w:w="980" w:type="pct"/>
                  <w:tcBorders>
                    <w:tl2br w:val="nil"/>
                    <w:tr2bl w:val="nil"/>
                  </w:tcBorders>
                  <w:noWrap w:val="0"/>
                  <w:vAlign w:val="center"/>
                </w:tcPr>
                <w:p w14:paraId="3DA0E5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54.4</w:t>
                  </w:r>
                </w:p>
              </w:tc>
              <w:tc>
                <w:tcPr>
                  <w:tcW w:w="980" w:type="pct"/>
                  <w:tcBorders>
                    <w:tl2br w:val="nil"/>
                    <w:tr2bl w:val="nil"/>
                  </w:tcBorders>
                  <w:noWrap w:val="0"/>
                  <w:vAlign w:val="center"/>
                </w:tcPr>
                <w:p w14:paraId="2020D9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47.4</w:t>
                  </w:r>
                </w:p>
              </w:tc>
            </w:tr>
            <w:tr w14:paraId="6ACCDA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tcBorders>
                    <w:tl2br w:val="nil"/>
                    <w:tr2bl w:val="nil"/>
                  </w:tcBorders>
                  <w:noWrap w:val="0"/>
                  <w:vAlign w:val="center"/>
                </w:tcPr>
                <w:p w14:paraId="5AB4B5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lang w:bidi="ar"/>
                    </w:rPr>
                    <w:t>标准限值</w:t>
                  </w:r>
                </w:p>
              </w:tc>
              <w:tc>
                <w:tcPr>
                  <w:tcW w:w="980" w:type="pct"/>
                  <w:tcBorders>
                    <w:tl2br w:val="nil"/>
                    <w:tr2bl w:val="nil"/>
                  </w:tcBorders>
                  <w:noWrap w:val="0"/>
                  <w:vAlign w:val="center"/>
                </w:tcPr>
                <w:p w14:paraId="0B8AD9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60</w:t>
                  </w:r>
                </w:p>
              </w:tc>
              <w:tc>
                <w:tcPr>
                  <w:tcW w:w="981" w:type="pct"/>
                  <w:tcBorders>
                    <w:tl2br w:val="nil"/>
                    <w:tr2bl w:val="nil"/>
                  </w:tcBorders>
                  <w:noWrap w:val="0"/>
                  <w:vAlign w:val="center"/>
                </w:tcPr>
                <w:p w14:paraId="51F85D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50</w:t>
                  </w:r>
                </w:p>
              </w:tc>
              <w:tc>
                <w:tcPr>
                  <w:tcW w:w="980" w:type="pct"/>
                  <w:tcBorders>
                    <w:tl2br w:val="nil"/>
                    <w:tr2bl w:val="nil"/>
                  </w:tcBorders>
                  <w:noWrap w:val="0"/>
                  <w:vAlign w:val="center"/>
                </w:tcPr>
                <w:p w14:paraId="46E968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60</w:t>
                  </w:r>
                </w:p>
              </w:tc>
              <w:tc>
                <w:tcPr>
                  <w:tcW w:w="980" w:type="pct"/>
                  <w:tcBorders>
                    <w:tl2br w:val="nil"/>
                    <w:tr2bl w:val="nil"/>
                  </w:tcBorders>
                  <w:noWrap w:val="0"/>
                  <w:vAlign w:val="center"/>
                </w:tcPr>
                <w:p w14:paraId="4EA57C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50</w:t>
                  </w:r>
                </w:p>
              </w:tc>
            </w:tr>
            <w:tr w14:paraId="056F26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tcBorders>
                    <w:tl2br w:val="nil"/>
                    <w:tr2bl w:val="nil"/>
                  </w:tcBorders>
                  <w:noWrap w:val="0"/>
                  <w:vAlign w:val="center"/>
                </w:tcPr>
                <w:p w14:paraId="601EB5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eastAsia="宋体" w:cs="Times New Roman"/>
                      <w:b/>
                      <w:bCs/>
                      <w:color w:val="auto"/>
                      <w:sz w:val="18"/>
                      <w:szCs w:val="18"/>
                      <w:lang w:bidi="ar"/>
                    </w:rPr>
                    <w:t>是否达标</w:t>
                  </w:r>
                </w:p>
              </w:tc>
              <w:tc>
                <w:tcPr>
                  <w:tcW w:w="980" w:type="pct"/>
                  <w:tcBorders>
                    <w:tl2br w:val="nil"/>
                    <w:tr2bl w:val="nil"/>
                  </w:tcBorders>
                  <w:noWrap w:val="0"/>
                  <w:vAlign w:val="center"/>
                </w:tcPr>
                <w:p w14:paraId="6B8DDB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eastAsia="宋体" w:cs="Times New Roman"/>
                      <w:b/>
                      <w:bCs/>
                      <w:color w:val="auto"/>
                      <w:sz w:val="18"/>
                      <w:szCs w:val="18"/>
                      <w:lang w:eastAsia="zh-CN" w:bidi="ar"/>
                    </w:rPr>
                    <w:t>达标</w:t>
                  </w:r>
                </w:p>
              </w:tc>
              <w:tc>
                <w:tcPr>
                  <w:tcW w:w="981" w:type="pct"/>
                  <w:tcBorders>
                    <w:tl2br w:val="nil"/>
                    <w:tr2bl w:val="nil"/>
                  </w:tcBorders>
                  <w:noWrap w:val="0"/>
                  <w:vAlign w:val="center"/>
                </w:tcPr>
                <w:p w14:paraId="1F81E4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eastAsia="宋体" w:cs="Times New Roman"/>
                      <w:b/>
                      <w:bCs/>
                      <w:color w:val="auto"/>
                      <w:sz w:val="18"/>
                      <w:szCs w:val="18"/>
                      <w:lang w:eastAsia="zh-CN" w:bidi="ar"/>
                    </w:rPr>
                    <w:t>达标</w:t>
                  </w:r>
                </w:p>
              </w:tc>
              <w:tc>
                <w:tcPr>
                  <w:tcW w:w="980" w:type="pct"/>
                  <w:tcBorders>
                    <w:tl2br w:val="nil"/>
                    <w:tr2bl w:val="nil"/>
                  </w:tcBorders>
                  <w:noWrap w:val="0"/>
                  <w:vAlign w:val="center"/>
                </w:tcPr>
                <w:p w14:paraId="1B6B0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eastAsia="宋体" w:cs="Times New Roman"/>
                      <w:b/>
                      <w:bCs/>
                      <w:color w:val="auto"/>
                      <w:sz w:val="18"/>
                      <w:szCs w:val="18"/>
                      <w:lang w:eastAsia="zh-CN" w:bidi="ar"/>
                    </w:rPr>
                    <w:t>达标</w:t>
                  </w:r>
                </w:p>
              </w:tc>
              <w:tc>
                <w:tcPr>
                  <w:tcW w:w="980" w:type="pct"/>
                  <w:tcBorders>
                    <w:tl2br w:val="nil"/>
                    <w:tr2bl w:val="nil"/>
                  </w:tcBorders>
                  <w:noWrap w:val="0"/>
                  <w:vAlign w:val="center"/>
                </w:tcPr>
                <w:p w14:paraId="0467BC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eastAsia="宋体" w:cs="Times New Roman"/>
                      <w:b/>
                      <w:bCs/>
                      <w:color w:val="auto"/>
                      <w:sz w:val="18"/>
                      <w:szCs w:val="18"/>
                      <w:lang w:eastAsia="zh-CN" w:bidi="ar"/>
                    </w:rPr>
                    <w:t>达标</w:t>
                  </w:r>
                </w:p>
              </w:tc>
            </w:tr>
            <w:tr w14:paraId="08F63A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tcBorders>
                    <w:tl2br w:val="nil"/>
                    <w:tr2bl w:val="nil"/>
                  </w:tcBorders>
                  <w:noWrap w:val="0"/>
                  <w:vAlign w:val="center"/>
                </w:tcPr>
                <w:p w14:paraId="34BFCD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N3</w:t>
                  </w:r>
                  <w:r>
                    <w:rPr>
                      <w:rFonts w:hint="default" w:ascii="Times New Roman" w:hAnsi="Times New Roman" w:eastAsia="宋体" w:cs="Times New Roman"/>
                      <w:color w:val="auto"/>
                      <w:sz w:val="18"/>
                      <w:szCs w:val="18"/>
                    </w:rPr>
                    <w:t>南厂界外1m</w:t>
                  </w:r>
                </w:p>
              </w:tc>
              <w:tc>
                <w:tcPr>
                  <w:tcW w:w="980" w:type="pct"/>
                  <w:tcBorders>
                    <w:tl2br w:val="nil"/>
                    <w:tr2bl w:val="nil"/>
                  </w:tcBorders>
                  <w:noWrap w:val="0"/>
                  <w:vAlign w:val="center"/>
                </w:tcPr>
                <w:p w14:paraId="50129F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55.8</w:t>
                  </w:r>
                </w:p>
              </w:tc>
              <w:tc>
                <w:tcPr>
                  <w:tcW w:w="981" w:type="pct"/>
                  <w:tcBorders>
                    <w:tl2br w:val="nil"/>
                    <w:tr2bl w:val="nil"/>
                  </w:tcBorders>
                  <w:noWrap w:val="0"/>
                  <w:vAlign w:val="center"/>
                </w:tcPr>
                <w:p w14:paraId="344A12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46.9</w:t>
                  </w:r>
                </w:p>
              </w:tc>
              <w:tc>
                <w:tcPr>
                  <w:tcW w:w="980" w:type="pct"/>
                  <w:tcBorders>
                    <w:tl2br w:val="nil"/>
                    <w:tr2bl w:val="nil"/>
                  </w:tcBorders>
                  <w:noWrap w:val="0"/>
                  <w:vAlign w:val="center"/>
                </w:tcPr>
                <w:p w14:paraId="55F44D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54.4</w:t>
                  </w:r>
                </w:p>
              </w:tc>
              <w:tc>
                <w:tcPr>
                  <w:tcW w:w="980" w:type="pct"/>
                  <w:tcBorders>
                    <w:tl2br w:val="nil"/>
                    <w:tr2bl w:val="nil"/>
                  </w:tcBorders>
                  <w:noWrap w:val="0"/>
                  <w:vAlign w:val="center"/>
                </w:tcPr>
                <w:p w14:paraId="022A42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47.2</w:t>
                  </w:r>
                </w:p>
              </w:tc>
            </w:tr>
            <w:tr w14:paraId="5F2656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077" w:type="pct"/>
                  <w:tcBorders>
                    <w:tl2br w:val="nil"/>
                    <w:tr2bl w:val="nil"/>
                  </w:tcBorders>
                  <w:noWrap w:val="0"/>
                  <w:vAlign w:val="center"/>
                </w:tcPr>
                <w:p w14:paraId="25F71F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N4</w:t>
                  </w:r>
                  <w:r>
                    <w:rPr>
                      <w:rFonts w:hint="default" w:ascii="Times New Roman" w:hAnsi="Times New Roman" w:eastAsia="宋体" w:cs="Times New Roman"/>
                      <w:color w:val="auto"/>
                      <w:sz w:val="18"/>
                      <w:szCs w:val="18"/>
                    </w:rPr>
                    <w:t>南厂界外1m</w:t>
                  </w:r>
                </w:p>
              </w:tc>
              <w:tc>
                <w:tcPr>
                  <w:tcW w:w="980" w:type="pct"/>
                  <w:tcBorders>
                    <w:tl2br w:val="nil"/>
                    <w:tr2bl w:val="nil"/>
                  </w:tcBorders>
                  <w:noWrap w:val="0"/>
                  <w:vAlign w:val="center"/>
                </w:tcPr>
                <w:p w14:paraId="4B902C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54.3</w:t>
                  </w:r>
                </w:p>
              </w:tc>
              <w:tc>
                <w:tcPr>
                  <w:tcW w:w="981" w:type="pct"/>
                  <w:tcBorders>
                    <w:tl2br w:val="nil"/>
                    <w:tr2bl w:val="nil"/>
                  </w:tcBorders>
                  <w:noWrap w:val="0"/>
                  <w:vAlign w:val="center"/>
                </w:tcPr>
                <w:p w14:paraId="598E01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47.3</w:t>
                  </w:r>
                </w:p>
              </w:tc>
              <w:tc>
                <w:tcPr>
                  <w:tcW w:w="980" w:type="pct"/>
                  <w:tcBorders>
                    <w:tl2br w:val="nil"/>
                    <w:tr2bl w:val="nil"/>
                  </w:tcBorders>
                  <w:noWrap w:val="0"/>
                  <w:vAlign w:val="center"/>
                </w:tcPr>
                <w:p w14:paraId="799F16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54.0</w:t>
                  </w:r>
                </w:p>
              </w:tc>
              <w:tc>
                <w:tcPr>
                  <w:tcW w:w="980" w:type="pct"/>
                  <w:tcBorders>
                    <w:tl2br w:val="nil"/>
                    <w:tr2bl w:val="nil"/>
                  </w:tcBorders>
                  <w:noWrap w:val="0"/>
                  <w:vAlign w:val="center"/>
                </w:tcPr>
                <w:p w14:paraId="033BDD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47.2</w:t>
                  </w:r>
                </w:p>
              </w:tc>
            </w:tr>
            <w:tr w14:paraId="78B188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814" w:type="dxa"/>
                  <w:tcBorders>
                    <w:tl2br w:val="nil"/>
                    <w:tr2bl w:val="nil"/>
                  </w:tcBorders>
                  <w:noWrap w:val="0"/>
                  <w:vAlign w:val="center"/>
                </w:tcPr>
                <w:p w14:paraId="715FC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lang w:bidi="ar"/>
                    </w:rPr>
                    <w:t>标准限值</w:t>
                  </w:r>
                </w:p>
              </w:tc>
              <w:tc>
                <w:tcPr>
                  <w:tcW w:w="1650" w:type="dxa"/>
                  <w:tcBorders>
                    <w:tl2br w:val="nil"/>
                    <w:tr2bl w:val="nil"/>
                  </w:tcBorders>
                  <w:noWrap w:val="0"/>
                  <w:vAlign w:val="center"/>
                </w:tcPr>
                <w:p w14:paraId="1E1013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70</w:t>
                  </w:r>
                </w:p>
              </w:tc>
              <w:tc>
                <w:tcPr>
                  <w:tcW w:w="1652" w:type="dxa"/>
                  <w:tcBorders>
                    <w:tl2br w:val="nil"/>
                    <w:tr2bl w:val="nil"/>
                  </w:tcBorders>
                  <w:noWrap w:val="0"/>
                  <w:vAlign w:val="center"/>
                </w:tcPr>
                <w:p w14:paraId="6166BD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55</w:t>
                  </w:r>
                </w:p>
              </w:tc>
              <w:tc>
                <w:tcPr>
                  <w:tcW w:w="1650" w:type="dxa"/>
                  <w:tcBorders>
                    <w:tl2br w:val="nil"/>
                    <w:tr2bl w:val="nil"/>
                  </w:tcBorders>
                  <w:noWrap w:val="0"/>
                  <w:vAlign w:val="center"/>
                </w:tcPr>
                <w:p w14:paraId="72C564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70</w:t>
                  </w:r>
                </w:p>
              </w:tc>
              <w:tc>
                <w:tcPr>
                  <w:tcW w:w="1652" w:type="dxa"/>
                  <w:tcBorders>
                    <w:tl2br w:val="nil"/>
                    <w:tr2bl w:val="nil"/>
                  </w:tcBorders>
                  <w:noWrap w:val="0"/>
                  <w:vAlign w:val="center"/>
                </w:tcPr>
                <w:p w14:paraId="4A79BD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55</w:t>
                  </w:r>
                </w:p>
              </w:tc>
            </w:tr>
            <w:tr w14:paraId="067817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3" w:hRule="atLeast"/>
                <w:jc w:val="center"/>
              </w:trPr>
              <w:tc>
                <w:tcPr>
                  <w:tcW w:w="1814" w:type="dxa"/>
                  <w:tcBorders>
                    <w:tl2br w:val="nil"/>
                    <w:tr2bl w:val="nil"/>
                  </w:tcBorders>
                  <w:noWrap w:val="0"/>
                  <w:vAlign w:val="center"/>
                </w:tcPr>
                <w:p w14:paraId="31BD30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lang w:bidi="ar"/>
                    </w:rPr>
                    <w:t>是否达标</w:t>
                  </w:r>
                </w:p>
              </w:tc>
              <w:tc>
                <w:tcPr>
                  <w:tcW w:w="1650" w:type="dxa"/>
                  <w:tcBorders>
                    <w:tl2br w:val="nil"/>
                    <w:tr2bl w:val="nil"/>
                  </w:tcBorders>
                  <w:noWrap w:val="0"/>
                  <w:vAlign w:val="center"/>
                </w:tcPr>
                <w:p w14:paraId="50D7B2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lang w:eastAsia="zh-CN" w:bidi="ar"/>
                    </w:rPr>
                    <w:t>达标</w:t>
                  </w:r>
                </w:p>
              </w:tc>
              <w:tc>
                <w:tcPr>
                  <w:tcW w:w="1652" w:type="dxa"/>
                  <w:tcBorders>
                    <w:tl2br w:val="nil"/>
                    <w:tr2bl w:val="nil"/>
                  </w:tcBorders>
                  <w:noWrap w:val="0"/>
                  <w:vAlign w:val="center"/>
                </w:tcPr>
                <w:p w14:paraId="3CD35D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lang w:eastAsia="zh-CN" w:bidi="ar"/>
                    </w:rPr>
                    <w:t>达标</w:t>
                  </w:r>
                </w:p>
              </w:tc>
              <w:tc>
                <w:tcPr>
                  <w:tcW w:w="1650" w:type="dxa"/>
                  <w:tcBorders>
                    <w:tl2br w:val="nil"/>
                    <w:tr2bl w:val="nil"/>
                  </w:tcBorders>
                  <w:noWrap w:val="0"/>
                  <w:vAlign w:val="center"/>
                </w:tcPr>
                <w:p w14:paraId="2032B2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lang w:eastAsia="zh-CN" w:bidi="ar"/>
                    </w:rPr>
                    <w:t>达标</w:t>
                  </w:r>
                </w:p>
              </w:tc>
              <w:tc>
                <w:tcPr>
                  <w:tcW w:w="1652" w:type="dxa"/>
                  <w:tcBorders>
                    <w:tl2br w:val="nil"/>
                    <w:tr2bl w:val="nil"/>
                  </w:tcBorders>
                  <w:noWrap w:val="0"/>
                  <w:vAlign w:val="center"/>
                </w:tcPr>
                <w:p w14:paraId="066014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lang w:eastAsia="zh-CN" w:bidi="ar"/>
                    </w:rPr>
                    <w:t>达标</w:t>
                  </w:r>
                </w:p>
              </w:tc>
            </w:tr>
          </w:tbl>
          <w:p w14:paraId="79519BE4">
            <w:pPr>
              <w:keepNext w:val="0"/>
              <w:keepLines w:val="0"/>
              <w:suppressLineNumbers w:val="0"/>
              <w:spacing w:before="0" w:beforeAutospacing="0" w:after="0" w:afterAutospacing="0" w:line="360" w:lineRule="auto"/>
              <w:ind w:left="0" w:right="0" w:firstLine="482" w:firstLineChars="200"/>
              <w:jc w:val="left"/>
              <w:rPr>
                <w:rFonts w:hint="default" w:eastAsiaTheme="minorEastAsia"/>
                <w:b/>
                <w:bCs/>
                <w:color w:val="auto"/>
                <w:szCs w:val="21"/>
                <w:lang w:val="en-US" w:eastAsia="zh-CN"/>
              </w:rPr>
            </w:pPr>
            <w:r>
              <w:rPr>
                <w:rFonts w:hint="eastAsia" w:eastAsiaTheme="minorEastAsia"/>
                <w:b/>
                <w:bCs/>
                <w:color w:val="auto"/>
                <w:szCs w:val="21"/>
                <w:lang w:val="en-US" w:eastAsia="zh-CN"/>
              </w:rPr>
              <w:t>4、</w:t>
            </w:r>
            <w:r>
              <w:rPr>
                <w:rFonts w:hint="default" w:eastAsiaTheme="minorEastAsia"/>
                <w:b/>
                <w:bCs/>
                <w:color w:val="auto"/>
                <w:szCs w:val="21"/>
                <w:lang w:val="en-US" w:eastAsia="zh-CN"/>
              </w:rPr>
              <w:t>现有项目污染物排放总量</w:t>
            </w:r>
          </w:p>
          <w:p w14:paraId="43CAA329">
            <w:pPr>
              <w:keepNext w:val="0"/>
              <w:keepLines w:val="0"/>
              <w:suppressLineNumbers w:val="0"/>
              <w:spacing w:before="0" w:beforeAutospacing="0" w:after="0" w:afterAutospacing="0" w:line="360" w:lineRule="auto"/>
              <w:ind w:left="0" w:right="0" w:firstLine="480" w:firstLineChars="200"/>
              <w:jc w:val="left"/>
              <w:rPr>
                <w:rFonts w:hint="default" w:eastAsiaTheme="minorEastAsia"/>
                <w:color w:val="auto"/>
                <w:szCs w:val="21"/>
                <w:lang w:val="en-US" w:eastAsia="zh-CN"/>
              </w:rPr>
            </w:pPr>
            <w:r>
              <w:rPr>
                <w:rFonts w:hint="eastAsia" w:eastAsiaTheme="minorEastAsia"/>
                <w:color w:val="auto"/>
                <w:szCs w:val="21"/>
                <w:lang w:val="en-US" w:eastAsia="zh-CN"/>
              </w:rPr>
              <w:t>根据现有项目环评、验收文件以及2023年1月17日下发的排污许可证，编号</w:t>
            </w:r>
            <w:r>
              <w:rPr>
                <w:rFonts w:hint="eastAsia" w:eastAsiaTheme="minorEastAsia"/>
                <w:color w:val="auto"/>
                <w:szCs w:val="21"/>
              </w:rPr>
              <w:t>hb320800500000021K001V</w:t>
            </w:r>
            <w:r>
              <w:rPr>
                <w:rFonts w:hint="eastAsia" w:eastAsiaTheme="minorEastAsia"/>
                <w:color w:val="auto"/>
                <w:szCs w:val="21"/>
                <w:lang w:eastAsia="zh-CN"/>
              </w:rPr>
              <w:t>，</w:t>
            </w:r>
            <w:r>
              <w:rPr>
                <w:rFonts w:hint="eastAsia" w:eastAsiaTheme="minorEastAsia"/>
                <w:color w:val="auto"/>
                <w:szCs w:val="21"/>
                <w:lang w:val="en-US" w:eastAsia="zh-CN"/>
              </w:rPr>
              <w:t>现有项目污染物排放情况见下表。</w:t>
            </w:r>
          </w:p>
          <w:p w14:paraId="7A2C8A7A">
            <w:pPr>
              <w:pStyle w:val="5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eastAsia" w:cs="Times New Roman"/>
                <w:color w:val="auto"/>
                <w:highlight w:val="none"/>
                <w:lang w:val="en-US" w:eastAsia="zh-CN"/>
              </w:rPr>
              <w:t>2.2-9</w:t>
            </w:r>
            <w:r>
              <w:rPr>
                <w:rFonts w:hint="default" w:ascii="Times New Roman" w:hAnsi="Times New Roman" w:eastAsia="宋体" w:cs="Times New Roman"/>
                <w:color w:val="auto"/>
                <w:highlight w:val="none"/>
              </w:rPr>
              <w:t>现有项目污染</w:t>
            </w:r>
            <w:r>
              <w:rPr>
                <w:rFonts w:hint="eastAsia" w:cs="Times New Roman"/>
                <w:color w:val="auto"/>
                <w:highlight w:val="none"/>
                <w:lang w:eastAsia="zh-CN"/>
              </w:rPr>
              <w:t>物排放</w:t>
            </w:r>
            <w:r>
              <w:rPr>
                <w:rFonts w:hint="default" w:ascii="Times New Roman" w:hAnsi="Times New Roman" w:eastAsia="宋体" w:cs="Times New Roman"/>
                <w:color w:val="auto"/>
                <w:highlight w:val="none"/>
              </w:rPr>
              <w:t>总量单位：</w:t>
            </w:r>
            <w:r>
              <w:rPr>
                <w:rFonts w:hint="default" w:ascii="Times New Roman" w:hAnsi="Times New Roman" w:eastAsia="宋体" w:cs="Times New Roman"/>
                <w:color w:val="auto"/>
                <w:sz w:val="18"/>
                <w:szCs w:val="18"/>
                <w:highlight w:val="none"/>
              </w:rPr>
              <w:t>t/a</w:t>
            </w:r>
          </w:p>
          <w:tbl>
            <w:tblPr>
              <w:tblStyle w:val="24"/>
              <w:tblW w:w="492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18"/>
              <w:gridCol w:w="720"/>
              <w:gridCol w:w="997"/>
              <w:gridCol w:w="1784"/>
              <w:gridCol w:w="4118"/>
            </w:tblGrid>
            <w:tr w14:paraId="1040B4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48" w:hRule="atLeast"/>
                <w:tblHeader/>
                <w:jc w:val="center"/>
              </w:trPr>
              <w:tc>
                <w:tcPr>
                  <w:tcW w:w="375" w:type="pct"/>
                  <w:tcBorders>
                    <w:tl2br w:val="nil"/>
                    <w:tr2bl w:val="nil"/>
                  </w:tcBorders>
                  <w:shd w:val="clear" w:color="auto" w:fill="auto"/>
                  <w:vAlign w:val="center"/>
                </w:tcPr>
                <w:p w14:paraId="2E4306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种类</w:t>
                  </w:r>
                </w:p>
              </w:tc>
              <w:tc>
                <w:tcPr>
                  <w:tcW w:w="1042" w:type="pct"/>
                  <w:gridSpan w:val="2"/>
                  <w:tcBorders>
                    <w:tl2br w:val="nil"/>
                    <w:tr2bl w:val="nil"/>
                  </w:tcBorders>
                  <w:shd w:val="clear" w:color="auto" w:fill="auto"/>
                  <w:vAlign w:val="center"/>
                </w:tcPr>
                <w:p w14:paraId="5F492E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污染物名称</w:t>
                  </w:r>
                </w:p>
              </w:tc>
              <w:tc>
                <w:tcPr>
                  <w:tcW w:w="1082" w:type="pct"/>
                  <w:tcBorders>
                    <w:tl2br w:val="nil"/>
                    <w:tr2bl w:val="nil"/>
                  </w:tcBorders>
                  <w:shd w:val="clear" w:color="auto" w:fill="auto"/>
                  <w:noWrap/>
                  <w:vAlign w:val="center"/>
                </w:tcPr>
                <w:p w14:paraId="6ED59C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全院批复总量</w:t>
                  </w:r>
                </w:p>
              </w:tc>
              <w:tc>
                <w:tcPr>
                  <w:tcW w:w="2499" w:type="pct"/>
                  <w:tcBorders>
                    <w:tl2br w:val="nil"/>
                    <w:tr2bl w:val="nil"/>
                  </w:tcBorders>
                  <w:shd w:val="clear" w:color="auto" w:fill="auto"/>
                  <w:noWrap/>
                  <w:vAlign w:val="center"/>
                </w:tcPr>
                <w:p w14:paraId="0148C7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许可排放量</w:t>
                  </w:r>
                </w:p>
              </w:tc>
            </w:tr>
            <w:tr w14:paraId="49E14E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restart"/>
                  <w:tcBorders>
                    <w:tl2br w:val="nil"/>
                    <w:tr2bl w:val="nil"/>
                  </w:tcBorders>
                  <w:shd w:val="clear" w:color="auto" w:fill="auto"/>
                  <w:vAlign w:val="center"/>
                </w:tcPr>
                <w:p w14:paraId="0FC034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废气</w:t>
                  </w:r>
                </w:p>
              </w:tc>
              <w:tc>
                <w:tcPr>
                  <w:tcW w:w="437" w:type="pct"/>
                  <w:vMerge w:val="restart"/>
                  <w:tcBorders>
                    <w:tl2br w:val="nil"/>
                    <w:tr2bl w:val="nil"/>
                  </w:tcBorders>
                  <w:shd w:val="clear" w:color="auto" w:fill="auto"/>
                  <w:vAlign w:val="center"/>
                </w:tcPr>
                <w:p w14:paraId="46E7E3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有组织</w:t>
                  </w:r>
                </w:p>
              </w:tc>
              <w:tc>
                <w:tcPr>
                  <w:tcW w:w="605" w:type="pct"/>
                  <w:tcBorders>
                    <w:tl2br w:val="nil"/>
                    <w:tr2bl w:val="nil"/>
                  </w:tcBorders>
                  <w:shd w:val="clear" w:color="auto" w:fill="auto"/>
                  <w:vAlign w:val="center"/>
                </w:tcPr>
                <w:p w14:paraId="46B847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油烟</w:t>
                  </w:r>
                </w:p>
              </w:tc>
              <w:tc>
                <w:tcPr>
                  <w:tcW w:w="1082" w:type="pct"/>
                  <w:tcBorders>
                    <w:tl2br w:val="nil"/>
                    <w:tr2bl w:val="nil"/>
                  </w:tcBorders>
                  <w:shd w:val="clear" w:color="auto" w:fill="auto"/>
                  <w:noWrap/>
                  <w:vAlign w:val="center"/>
                </w:tcPr>
                <w:p w14:paraId="0FBCD4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rPr>
                    <w:t>0.0118</w:t>
                  </w:r>
                </w:p>
              </w:tc>
              <w:tc>
                <w:tcPr>
                  <w:tcW w:w="2499" w:type="pct"/>
                  <w:tcBorders>
                    <w:tl2br w:val="nil"/>
                    <w:tr2bl w:val="nil"/>
                  </w:tcBorders>
                  <w:shd w:val="clear" w:color="auto" w:fill="auto"/>
                  <w:noWrap/>
                  <w:vAlign w:val="center"/>
                </w:tcPr>
                <w:p w14:paraId="1DB6FD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rPr>
                    <w:t>0.0118</w:t>
                  </w:r>
                </w:p>
              </w:tc>
            </w:tr>
            <w:tr w14:paraId="0A6ED6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375" w:type="pct"/>
                  <w:vMerge w:val="continue"/>
                  <w:tcBorders>
                    <w:tl2br w:val="nil"/>
                    <w:tr2bl w:val="nil"/>
                  </w:tcBorders>
                  <w:shd w:val="clear" w:color="auto" w:fill="auto"/>
                  <w:vAlign w:val="center"/>
                </w:tcPr>
                <w:p w14:paraId="395A6E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437" w:type="pct"/>
                  <w:vMerge w:val="continue"/>
                  <w:tcBorders>
                    <w:tl2br w:val="nil"/>
                    <w:tr2bl w:val="nil"/>
                  </w:tcBorders>
                  <w:shd w:val="clear" w:color="auto" w:fill="auto"/>
                  <w:vAlign w:val="center"/>
                </w:tcPr>
                <w:p w14:paraId="282C77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rPr>
                  </w:pPr>
                </w:p>
              </w:tc>
              <w:tc>
                <w:tcPr>
                  <w:tcW w:w="605" w:type="pct"/>
                  <w:tcBorders>
                    <w:tl2br w:val="nil"/>
                    <w:tr2bl w:val="nil"/>
                  </w:tcBorders>
                  <w:shd w:val="clear" w:color="auto" w:fill="auto"/>
                  <w:vAlign w:val="center"/>
                </w:tcPr>
                <w:p w14:paraId="2BE503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二氧化硫</w:t>
                  </w:r>
                </w:p>
              </w:tc>
              <w:tc>
                <w:tcPr>
                  <w:tcW w:w="1082" w:type="pct"/>
                  <w:tcBorders>
                    <w:tl2br w:val="nil"/>
                    <w:tr2bl w:val="nil"/>
                  </w:tcBorders>
                  <w:shd w:val="clear" w:color="auto" w:fill="auto"/>
                  <w:noWrap/>
                  <w:vAlign w:val="center"/>
                </w:tcPr>
                <w:p w14:paraId="168831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0.138</w:t>
                  </w:r>
                </w:p>
              </w:tc>
              <w:tc>
                <w:tcPr>
                  <w:tcW w:w="2499" w:type="pct"/>
                  <w:tcBorders>
                    <w:tl2br w:val="nil"/>
                    <w:tr2bl w:val="nil"/>
                  </w:tcBorders>
                  <w:shd w:val="clear" w:color="auto" w:fill="auto"/>
                  <w:noWrap/>
                  <w:vAlign w:val="center"/>
                </w:tcPr>
                <w:p w14:paraId="23BC1D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0.138</w:t>
                  </w:r>
                </w:p>
              </w:tc>
            </w:tr>
            <w:tr w14:paraId="533917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7C0675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437" w:type="pct"/>
                  <w:vMerge w:val="continue"/>
                  <w:tcBorders>
                    <w:tl2br w:val="nil"/>
                    <w:tr2bl w:val="nil"/>
                  </w:tcBorders>
                  <w:shd w:val="clear" w:color="auto" w:fill="auto"/>
                  <w:vAlign w:val="center"/>
                </w:tcPr>
                <w:p w14:paraId="3638DC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rPr>
                  </w:pPr>
                </w:p>
              </w:tc>
              <w:tc>
                <w:tcPr>
                  <w:tcW w:w="605" w:type="pct"/>
                  <w:tcBorders>
                    <w:tl2br w:val="nil"/>
                    <w:tr2bl w:val="nil"/>
                  </w:tcBorders>
                  <w:shd w:val="clear" w:color="auto" w:fill="auto"/>
                  <w:vAlign w:val="center"/>
                </w:tcPr>
                <w:p w14:paraId="57D8A7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氮氧化物</w:t>
                  </w:r>
                </w:p>
              </w:tc>
              <w:tc>
                <w:tcPr>
                  <w:tcW w:w="1082" w:type="pct"/>
                  <w:tcBorders>
                    <w:tl2br w:val="nil"/>
                    <w:tr2bl w:val="nil"/>
                  </w:tcBorders>
                  <w:shd w:val="clear" w:color="auto" w:fill="auto"/>
                  <w:noWrap/>
                  <w:vAlign w:val="center"/>
                </w:tcPr>
                <w:p w14:paraId="18C220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0.046</w:t>
                  </w:r>
                </w:p>
              </w:tc>
              <w:tc>
                <w:tcPr>
                  <w:tcW w:w="2499" w:type="pct"/>
                  <w:tcBorders>
                    <w:tl2br w:val="nil"/>
                    <w:tr2bl w:val="nil"/>
                  </w:tcBorders>
                  <w:shd w:val="clear" w:color="auto" w:fill="auto"/>
                  <w:noWrap/>
                  <w:vAlign w:val="center"/>
                </w:tcPr>
                <w:p w14:paraId="737BCD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0.046</w:t>
                  </w:r>
                </w:p>
              </w:tc>
            </w:tr>
            <w:tr w14:paraId="62C3FE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9" w:hRule="atLeast"/>
                <w:jc w:val="center"/>
              </w:trPr>
              <w:tc>
                <w:tcPr>
                  <w:tcW w:w="375" w:type="pct"/>
                  <w:vMerge w:val="continue"/>
                  <w:tcBorders>
                    <w:tl2br w:val="nil"/>
                    <w:tr2bl w:val="nil"/>
                  </w:tcBorders>
                  <w:shd w:val="clear" w:color="auto" w:fill="auto"/>
                  <w:vAlign w:val="center"/>
                </w:tcPr>
                <w:p w14:paraId="31EFEE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437" w:type="pct"/>
                  <w:vMerge w:val="continue"/>
                  <w:tcBorders>
                    <w:tl2br w:val="nil"/>
                    <w:tr2bl w:val="nil"/>
                  </w:tcBorders>
                  <w:shd w:val="clear" w:color="auto" w:fill="auto"/>
                  <w:vAlign w:val="center"/>
                </w:tcPr>
                <w:p w14:paraId="55810C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05" w:type="pct"/>
                  <w:tcBorders>
                    <w:tl2br w:val="nil"/>
                    <w:tr2bl w:val="nil"/>
                  </w:tcBorders>
                  <w:shd w:val="clear" w:color="auto" w:fill="auto"/>
                  <w:vAlign w:val="center"/>
                </w:tcPr>
                <w:p w14:paraId="4B378F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烟尘</w:t>
                  </w:r>
                </w:p>
              </w:tc>
              <w:tc>
                <w:tcPr>
                  <w:tcW w:w="1082" w:type="pct"/>
                  <w:tcBorders>
                    <w:tl2br w:val="nil"/>
                    <w:tr2bl w:val="nil"/>
                  </w:tcBorders>
                  <w:shd w:val="clear" w:color="auto" w:fill="auto"/>
                  <w:noWrap/>
                  <w:vAlign w:val="center"/>
                </w:tcPr>
                <w:p w14:paraId="23F7EF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0.108</w:t>
                  </w:r>
                </w:p>
              </w:tc>
              <w:tc>
                <w:tcPr>
                  <w:tcW w:w="2499" w:type="pct"/>
                  <w:tcBorders>
                    <w:tl2br w:val="nil"/>
                    <w:tr2bl w:val="nil"/>
                  </w:tcBorders>
                  <w:shd w:val="clear" w:color="auto" w:fill="auto"/>
                  <w:noWrap/>
                  <w:vAlign w:val="center"/>
                </w:tcPr>
                <w:p w14:paraId="3C4CFD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0.108</w:t>
                  </w:r>
                </w:p>
              </w:tc>
            </w:tr>
            <w:tr w14:paraId="5F4E58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44B553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437" w:type="pct"/>
                  <w:vMerge w:val="restart"/>
                  <w:tcBorders>
                    <w:tl2br w:val="nil"/>
                    <w:tr2bl w:val="nil"/>
                  </w:tcBorders>
                  <w:shd w:val="clear" w:color="auto" w:fill="auto"/>
                  <w:vAlign w:val="center"/>
                </w:tcPr>
                <w:p w14:paraId="1412D6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无组织</w:t>
                  </w:r>
                </w:p>
              </w:tc>
              <w:tc>
                <w:tcPr>
                  <w:tcW w:w="605" w:type="pct"/>
                  <w:tcBorders>
                    <w:tl2br w:val="nil"/>
                    <w:tr2bl w:val="nil"/>
                  </w:tcBorders>
                  <w:shd w:val="clear" w:color="auto" w:fill="auto"/>
                  <w:vAlign w:val="center"/>
                </w:tcPr>
                <w:p w14:paraId="683CB8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氨</w:t>
                  </w:r>
                </w:p>
              </w:tc>
              <w:tc>
                <w:tcPr>
                  <w:tcW w:w="1082" w:type="pct"/>
                  <w:tcBorders>
                    <w:tl2br w:val="nil"/>
                    <w:tr2bl w:val="nil"/>
                  </w:tcBorders>
                  <w:shd w:val="clear" w:color="auto" w:fill="auto"/>
                  <w:noWrap/>
                  <w:vAlign w:val="center"/>
                </w:tcPr>
                <w:p w14:paraId="4198BF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0.010546</w:t>
                  </w:r>
                </w:p>
              </w:tc>
              <w:tc>
                <w:tcPr>
                  <w:tcW w:w="2499" w:type="pct"/>
                  <w:tcBorders>
                    <w:tl2br w:val="nil"/>
                    <w:tr2bl w:val="nil"/>
                  </w:tcBorders>
                  <w:shd w:val="clear" w:color="auto" w:fill="auto"/>
                  <w:noWrap/>
                  <w:vAlign w:val="center"/>
                </w:tcPr>
                <w:p w14:paraId="3D9E83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0.010546</w:t>
                  </w:r>
                </w:p>
              </w:tc>
            </w:tr>
            <w:tr w14:paraId="75FD76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17CD7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437" w:type="pct"/>
                  <w:vMerge w:val="continue"/>
                  <w:tcBorders>
                    <w:tl2br w:val="nil"/>
                    <w:tr2bl w:val="nil"/>
                  </w:tcBorders>
                  <w:shd w:val="clear" w:color="auto" w:fill="auto"/>
                  <w:vAlign w:val="center"/>
                </w:tcPr>
                <w:p w14:paraId="24174F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05" w:type="pct"/>
                  <w:tcBorders>
                    <w:tl2br w:val="nil"/>
                    <w:tr2bl w:val="nil"/>
                  </w:tcBorders>
                  <w:shd w:val="clear" w:color="auto" w:fill="auto"/>
                  <w:vAlign w:val="center"/>
                </w:tcPr>
                <w:p w14:paraId="4FB46E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硫化氢</w:t>
                  </w:r>
                </w:p>
              </w:tc>
              <w:tc>
                <w:tcPr>
                  <w:tcW w:w="1082" w:type="pct"/>
                  <w:tcBorders>
                    <w:tl2br w:val="nil"/>
                    <w:tr2bl w:val="nil"/>
                  </w:tcBorders>
                  <w:shd w:val="clear" w:color="auto" w:fill="auto"/>
                  <w:noWrap/>
                  <w:vAlign w:val="center"/>
                </w:tcPr>
                <w:p w14:paraId="02B319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0.0010212</w:t>
                  </w:r>
                </w:p>
              </w:tc>
              <w:tc>
                <w:tcPr>
                  <w:tcW w:w="2499" w:type="pct"/>
                  <w:tcBorders>
                    <w:tl2br w:val="nil"/>
                    <w:tr2bl w:val="nil"/>
                  </w:tcBorders>
                  <w:shd w:val="clear" w:color="auto" w:fill="auto"/>
                  <w:noWrap/>
                  <w:vAlign w:val="center"/>
                </w:tcPr>
                <w:p w14:paraId="5C4FA4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0.0010212</w:t>
                  </w:r>
                </w:p>
              </w:tc>
            </w:tr>
            <w:tr w14:paraId="1974ED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41B352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437" w:type="pct"/>
                  <w:vMerge w:val="continue"/>
                  <w:tcBorders>
                    <w:tl2br w:val="nil"/>
                    <w:tr2bl w:val="nil"/>
                  </w:tcBorders>
                  <w:shd w:val="clear" w:color="auto" w:fill="auto"/>
                  <w:vAlign w:val="center"/>
                </w:tcPr>
                <w:p w14:paraId="1C44BE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605" w:type="pct"/>
                  <w:tcBorders>
                    <w:tl2br w:val="nil"/>
                    <w:tr2bl w:val="nil"/>
                  </w:tcBorders>
                  <w:shd w:val="clear" w:color="auto" w:fill="auto"/>
                  <w:vAlign w:val="center"/>
                </w:tcPr>
                <w:p w14:paraId="276B13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VOCs</w:t>
                  </w:r>
                </w:p>
              </w:tc>
              <w:tc>
                <w:tcPr>
                  <w:tcW w:w="1082" w:type="pct"/>
                  <w:tcBorders>
                    <w:tl2br w:val="nil"/>
                    <w:tr2bl w:val="nil"/>
                  </w:tcBorders>
                  <w:shd w:val="clear" w:color="auto" w:fill="auto"/>
                  <w:noWrap/>
                  <w:vAlign w:val="center"/>
                </w:tcPr>
                <w:p w14:paraId="3F841B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cs="Times New Roman"/>
                      <w:color w:val="auto"/>
                      <w:kern w:val="0"/>
                      <w:sz w:val="18"/>
                      <w:szCs w:val="18"/>
                      <w:highlight w:val="none"/>
                      <w:lang w:val="en-US" w:eastAsia="zh-CN"/>
                    </w:rPr>
                    <w:t>0.00095</w:t>
                  </w:r>
                </w:p>
              </w:tc>
              <w:tc>
                <w:tcPr>
                  <w:tcW w:w="2499" w:type="pct"/>
                  <w:tcBorders>
                    <w:tl2br w:val="nil"/>
                    <w:tr2bl w:val="nil"/>
                  </w:tcBorders>
                  <w:shd w:val="clear" w:color="auto" w:fill="auto"/>
                  <w:noWrap/>
                  <w:vAlign w:val="center"/>
                </w:tcPr>
                <w:p w14:paraId="0BA7D0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cs="Times New Roman"/>
                      <w:color w:val="auto"/>
                      <w:kern w:val="0"/>
                      <w:sz w:val="18"/>
                      <w:szCs w:val="18"/>
                      <w:highlight w:val="none"/>
                      <w:lang w:val="en-US" w:eastAsia="zh-CN"/>
                    </w:rPr>
                    <w:t>0.00095</w:t>
                  </w:r>
                </w:p>
              </w:tc>
            </w:tr>
            <w:tr w14:paraId="0E7500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restart"/>
                  <w:tcBorders>
                    <w:tl2br w:val="nil"/>
                    <w:tr2bl w:val="nil"/>
                  </w:tcBorders>
                  <w:shd w:val="clear" w:color="auto" w:fill="auto"/>
                  <w:vAlign w:val="center"/>
                </w:tcPr>
                <w:p w14:paraId="7ED917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w:t>
                  </w:r>
                </w:p>
              </w:tc>
              <w:tc>
                <w:tcPr>
                  <w:tcW w:w="1042" w:type="pct"/>
                  <w:gridSpan w:val="2"/>
                  <w:tcBorders>
                    <w:tl2br w:val="nil"/>
                    <w:tr2bl w:val="nil"/>
                  </w:tcBorders>
                  <w:shd w:val="clear" w:color="auto" w:fill="auto"/>
                  <w:vAlign w:val="center"/>
                </w:tcPr>
                <w:p w14:paraId="328F26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废水量</w:t>
                  </w:r>
                </w:p>
              </w:tc>
              <w:tc>
                <w:tcPr>
                  <w:tcW w:w="1082" w:type="pct"/>
                  <w:tcBorders>
                    <w:tl2br w:val="nil"/>
                    <w:tr2bl w:val="nil"/>
                  </w:tcBorders>
                  <w:shd w:val="clear" w:color="auto" w:fill="auto"/>
                  <w:noWrap/>
                  <w:vAlign w:val="center"/>
                </w:tcPr>
                <w:p w14:paraId="3CC414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261920.1</w:t>
                  </w:r>
                </w:p>
              </w:tc>
              <w:tc>
                <w:tcPr>
                  <w:tcW w:w="2499" w:type="pct"/>
                  <w:tcBorders>
                    <w:tl2br w:val="nil"/>
                    <w:tr2bl w:val="nil"/>
                  </w:tcBorders>
                  <w:shd w:val="clear" w:color="auto" w:fill="auto"/>
                  <w:noWrap/>
                  <w:vAlign w:val="center"/>
                </w:tcPr>
                <w:p w14:paraId="5A2F68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261920.1</w:t>
                  </w:r>
                </w:p>
              </w:tc>
            </w:tr>
            <w:tr w14:paraId="77B6E7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375" w:type="pct"/>
                  <w:vMerge w:val="continue"/>
                  <w:tcBorders>
                    <w:tl2br w:val="nil"/>
                    <w:tr2bl w:val="nil"/>
                  </w:tcBorders>
                  <w:shd w:val="clear" w:color="auto" w:fill="auto"/>
                  <w:vAlign w:val="center"/>
                </w:tcPr>
                <w:p w14:paraId="132BD3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73F2D6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COD</w:t>
                  </w:r>
                </w:p>
              </w:tc>
              <w:tc>
                <w:tcPr>
                  <w:tcW w:w="1082" w:type="pct"/>
                  <w:tcBorders>
                    <w:tl2br w:val="nil"/>
                    <w:tr2bl w:val="nil"/>
                  </w:tcBorders>
                  <w:shd w:val="clear" w:color="auto" w:fill="auto"/>
                  <w:noWrap/>
                  <w:vAlign w:val="center"/>
                </w:tcPr>
                <w:p w14:paraId="095E47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50.862</w:t>
                  </w:r>
                </w:p>
              </w:tc>
              <w:tc>
                <w:tcPr>
                  <w:tcW w:w="2499" w:type="pct"/>
                  <w:tcBorders>
                    <w:tl2br w:val="nil"/>
                    <w:tr2bl w:val="nil"/>
                  </w:tcBorders>
                  <w:shd w:val="clear" w:color="auto" w:fill="auto"/>
                  <w:noWrap/>
                  <w:vAlign w:val="center"/>
                </w:tcPr>
                <w:p w14:paraId="26E9AC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50.862</w:t>
                  </w:r>
                </w:p>
              </w:tc>
            </w:tr>
            <w:tr w14:paraId="54E72E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6B2E74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042B19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氨氮</w:t>
                  </w:r>
                </w:p>
              </w:tc>
              <w:tc>
                <w:tcPr>
                  <w:tcW w:w="1082" w:type="pct"/>
                  <w:tcBorders>
                    <w:tl2br w:val="nil"/>
                    <w:tr2bl w:val="nil"/>
                  </w:tcBorders>
                  <w:shd w:val="clear" w:color="auto" w:fill="auto"/>
                  <w:noWrap/>
                  <w:vAlign w:val="center"/>
                </w:tcPr>
                <w:p w14:paraId="286AEF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7.6552</w:t>
                  </w:r>
                </w:p>
              </w:tc>
              <w:tc>
                <w:tcPr>
                  <w:tcW w:w="2499" w:type="pct"/>
                  <w:tcBorders>
                    <w:tl2br w:val="nil"/>
                    <w:tr2bl w:val="nil"/>
                  </w:tcBorders>
                  <w:shd w:val="clear" w:color="auto" w:fill="auto"/>
                  <w:noWrap/>
                  <w:vAlign w:val="center"/>
                </w:tcPr>
                <w:p w14:paraId="112E0C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7.6552</w:t>
                  </w:r>
                </w:p>
              </w:tc>
            </w:tr>
            <w:tr w14:paraId="0AC912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6E2977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328A3D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总磷</w:t>
                  </w:r>
                </w:p>
              </w:tc>
              <w:tc>
                <w:tcPr>
                  <w:tcW w:w="1082" w:type="pct"/>
                  <w:tcBorders>
                    <w:tl2br w:val="nil"/>
                    <w:tr2bl w:val="nil"/>
                  </w:tcBorders>
                  <w:shd w:val="clear" w:color="auto" w:fill="auto"/>
                  <w:noWrap/>
                  <w:vAlign w:val="center"/>
                </w:tcPr>
                <w:p w14:paraId="0390C8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0.0532</w:t>
                  </w:r>
                </w:p>
              </w:tc>
              <w:tc>
                <w:tcPr>
                  <w:tcW w:w="2499" w:type="pct"/>
                  <w:tcBorders>
                    <w:tl2br w:val="nil"/>
                    <w:tr2bl w:val="nil"/>
                  </w:tcBorders>
                  <w:shd w:val="clear" w:color="auto" w:fill="auto"/>
                  <w:noWrap/>
                  <w:vAlign w:val="center"/>
                </w:tcPr>
                <w:p w14:paraId="0421FB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0.0532</w:t>
                  </w:r>
                </w:p>
              </w:tc>
            </w:tr>
            <w:tr w14:paraId="40CC1A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63E54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67732F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SS</w:t>
                  </w:r>
                </w:p>
              </w:tc>
              <w:tc>
                <w:tcPr>
                  <w:tcW w:w="1082" w:type="pct"/>
                  <w:tcBorders>
                    <w:tl2br w:val="nil"/>
                    <w:tr2bl w:val="nil"/>
                  </w:tcBorders>
                  <w:shd w:val="clear" w:color="auto" w:fill="auto"/>
                  <w:noWrap/>
                  <w:vAlign w:val="center"/>
                </w:tcPr>
                <w:p w14:paraId="0BFDA8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33.5104</w:t>
                  </w:r>
                </w:p>
              </w:tc>
              <w:tc>
                <w:tcPr>
                  <w:tcW w:w="2499" w:type="pct"/>
                  <w:tcBorders>
                    <w:tl2br w:val="nil"/>
                    <w:tr2bl w:val="nil"/>
                  </w:tcBorders>
                  <w:shd w:val="clear" w:color="auto" w:fill="auto"/>
                  <w:noWrap/>
                  <w:vAlign w:val="center"/>
                </w:tcPr>
                <w:p w14:paraId="504463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33.5104</w:t>
                  </w:r>
                </w:p>
              </w:tc>
            </w:tr>
            <w:tr w14:paraId="2875BD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11B53F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3E7113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动植物油</w:t>
                  </w:r>
                </w:p>
              </w:tc>
              <w:tc>
                <w:tcPr>
                  <w:tcW w:w="1082" w:type="pct"/>
                  <w:tcBorders>
                    <w:tl2br w:val="nil"/>
                    <w:tr2bl w:val="nil"/>
                  </w:tcBorders>
                  <w:shd w:val="clear" w:color="auto" w:fill="auto"/>
                  <w:noWrap/>
                  <w:vAlign w:val="center"/>
                </w:tcPr>
                <w:p w14:paraId="487A29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4.7225</w:t>
                  </w:r>
                </w:p>
              </w:tc>
              <w:tc>
                <w:tcPr>
                  <w:tcW w:w="2499" w:type="pct"/>
                  <w:tcBorders>
                    <w:tl2br w:val="nil"/>
                    <w:tr2bl w:val="nil"/>
                  </w:tcBorders>
                  <w:shd w:val="clear" w:color="auto" w:fill="auto"/>
                  <w:noWrap/>
                  <w:vAlign w:val="center"/>
                </w:tcPr>
                <w:p w14:paraId="58BCDE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4.7225</w:t>
                  </w:r>
                </w:p>
              </w:tc>
            </w:tr>
            <w:tr w14:paraId="5755C2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5B528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2A6602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eastAsiaTheme="minorEastAsia"/>
                      <w:color w:val="auto"/>
                      <w:kern w:val="0"/>
                      <w:sz w:val="18"/>
                      <w:szCs w:val="18"/>
                      <w:lang w:bidi="ar"/>
                    </w:rPr>
                    <w:t>BOD</w:t>
                  </w:r>
                  <w:r>
                    <w:rPr>
                      <w:rFonts w:hint="eastAsia" w:eastAsiaTheme="minorEastAsia"/>
                      <w:color w:val="auto"/>
                      <w:kern w:val="0"/>
                      <w:sz w:val="18"/>
                      <w:szCs w:val="18"/>
                      <w:vertAlign w:val="subscript"/>
                      <w:lang w:bidi="ar"/>
                    </w:rPr>
                    <w:t>5</w:t>
                  </w:r>
                </w:p>
              </w:tc>
              <w:tc>
                <w:tcPr>
                  <w:tcW w:w="1082" w:type="pct"/>
                  <w:tcBorders>
                    <w:tl2br w:val="nil"/>
                    <w:tr2bl w:val="nil"/>
                  </w:tcBorders>
                  <w:shd w:val="clear" w:color="auto" w:fill="auto"/>
                  <w:noWrap/>
                  <w:vAlign w:val="center"/>
                </w:tcPr>
                <w:p w14:paraId="1ED0C2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0.282</w:t>
                  </w:r>
                </w:p>
              </w:tc>
              <w:tc>
                <w:tcPr>
                  <w:tcW w:w="2499" w:type="pct"/>
                  <w:tcBorders>
                    <w:tl2br w:val="nil"/>
                    <w:tr2bl w:val="nil"/>
                  </w:tcBorders>
                  <w:shd w:val="clear" w:color="auto" w:fill="auto"/>
                  <w:noWrap/>
                  <w:vAlign w:val="center"/>
                </w:tcPr>
                <w:p w14:paraId="06F142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0.282</w:t>
                  </w:r>
                </w:p>
              </w:tc>
            </w:tr>
            <w:tr w14:paraId="4BA72D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027828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093644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eastAsiaTheme="minorEastAsia"/>
                      <w:color w:val="auto"/>
                      <w:kern w:val="0"/>
                      <w:sz w:val="18"/>
                      <w:szCs w:val="18"/>
                      <w:lang w:bidi="ar"/>
                    </w:rPr>
                    <w:t>LAS</w:t>
                  </w:r>
                </w:p>
              </w:tc>
              <w:tc>
                <w:tcPr>
                  <w:tcW w:w="1082" w:type="pct"/>
                  <w:tcBorders>
                    <w:tl2br w:val="nil"/>
                    <w:tr2bl w:val="nil"/>
                  </w:tcBorders>
                  <w:shd w:val="clear" w:color="auto" w:fill="auto"/>
                  <w:noWrap/>
                  <w:vAlign w:val="center"/>
                </w:tcPr>
                <w:p w14:paraId="294F33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0.06</w:t>
                  </w:r>
                </w:p>
              </w:tc>
              <w:tc>
                <w:tcPr>
                  <w:tcW w:w="2499" w:type="pct"/>
                  <w:tcBorders>
                    <w:tl2br w:val="nil"/>
                    <w:tr2bl w:val="nil"/>
                  </w:tcBorders>
                  <w:shd w:val="clear" w:color="auto" w:fill="auto"/>
                  <w:noWrap/>
                  <w:vAlign w:val="center"/>
                </w:tcPr>
                <w:p w14:paraId="65B77A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0.06</w:t>
                  </w:r>
                </w:p>
              </w:tc>
            </w:tr>
            <w:tr w14:paraId="7A3EA8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3A8598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614E6A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eastAsiaTheme="minorEastAsia"/>
                      <w:color w:val="auto"/>
                      <w:kern w:val="0"/>
                      <w:sz w:val="18"/>
                      <w:szCs w:val="18"/>
                      <w:lang w:bidi="ar"/>
                    </w:rPr>
                    <w:t>TN</w:t>
                  </w:r>
                </w:p>
              </w:tc>
              <w:tc>
                <w:tcPr>
                  <w:tcW w:w="1082" w:type="pct"/>
                  <w:tcBorders>
                    <w:tl2br w:val="nil"/>
                    <w:tr2bl w:val="nil"/>
                  </w:tcBorders>
                  <w:shd w:val="clear" w:color="auto" w:fill="auto"/>
                  <w:noWrap/>
                  <w:vAlign w:val="center"/>
                </w:tcPr>
                <w:p w14:paraId="38565A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0.396</w:t>
                  </w:r>
                </w:p>
              </w:tc>
              <w:tc>
                <w:tcPr>
                  <w:tcW w:w="2499" w:type="pct"/>
                  <w:tcBorders>
                    <w:tl2br w:val="nil"/>
                    <w:tr2bl w:val="nil"/>
                  </w:tcBorders>
                  <w:shd w:val="clear" w:color="auto" w:fill="auto"/>
                  <w:noWrap/>
                  <w:vAlign w:val="center"/>
                </w:tcPr>
                <w:p w14:paraId="0C5E94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0.396</w:t>
                  </w:r>
                </w:p>
              </w:tc>
            </w:tr>
            <w:tr w14:paraId="5B2625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35099A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357D80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eastAsiaTheme="minorEastAsia"/>
                      <w:color w:val="auto"/>
                      <w:kern w:val="0"/>
                      <w:sz w:val="18"/>
                      <w:szCs w:val="18"/>
                      <w:lang w:val="en-US" w:eastAsia="zh-CN" w:bidi="ar"/>
                    </w:rPr>
                    <w:t>总余氯</w:t>
                  </w:r>
                </w:p>
              </w:tc>
              <w:tc>
                <w:tcPr>
                  <w:tcW w:w="1082" w:type="pct"/>
                  <w:tcBorders>
                    <w:tl2br w:val="nil"/>
                    <w:tr2bl w:val="nil"/>
                  </w:tcBorders>
                  <w:shd w:val="clear" w:color="auto" w:fill="auto"/>
                  <w:noWrap/>
                  <w:vAlign w:val="center"/>
                </w:tcPr>
                <w:p w14:paraId="18472A0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0.023</w:t>
                  </w:r>
                </w:p>
              </w:tc>
              <w:tc>
                <w:tcPr>
                  <w:tcW w:w="2499" w:type="pct"/>
                  <w:tcBorders>
                    <w:tl2br w:val="nil"/>
                    <w:tr2bl w:val="nil"/>
                  </w:tcBorders>
                  <w:shd w:val="clear" w:color="auto" w:fill="auto"/>
                  <w:noWrap/>
                  <w:vAlign w:val="center"/>
                </w:tcPr>
                <w:p w14:paraId="2E75E6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0.023</w:t>
                  </w:r>
                </w:p>
              </w:tc>
            </w:tr>
            <w:tr w14:paraId="7AAE1D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375" w:type="pct"/>
                  <w:vMerge w:val="continue"/>
                  <w:tcBorders>
                    <w:tl2br w:val="nil"/>
                    <w:tr2bl w:val="nil"/>
                  </w:tcBorders>
                  <w:shd w:val="clear" w:color="auto" w:fill="auto"/>
                  <w:vAlign w:val="center"/>
                </w:tcPr>
                <w:p w14:paraId="7CF57C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52F667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eastAsiaTheme="minorEastAsia"/>
                      <w:color w:val="auto"/>
                      <w:kern w:val="0"/>
                      <w:sz w:val="18"/>
                      <w:szCs w:val="18"/>
                      <w:lang w:bidi="ar"/>
                    </w:rPr>
                    <w:t>粪大肠菌群数</w:t>
                  </w:r>
                </w:p>
              </w:tc>
              <w:tc>
                <w:tcPr>
                  <w:tcW w:w="1082" w:type="pct"/>
                  <w:tcBorders>
                    <w:tl2br w:val="nil"/>
                    <w:tr2bl w:val="nil"/>
                  </w:tcBorders>
                  <w:shd w:val="clear" w:color="auto" w:fill="auto"/>
                  <w:noWrap/>
                  <w:vAlign w:val="center"/>
                </w:tcPr>
                <w:p w14:paraId="4F1DD3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eastAsiaTheme="minorEastAsia"/>
                      <w:color w:val="auto"/>
                      <w:sz w:val="18"/>
                      <w:szCs w:val="18"/>
                      <w:lang w:val="en-US" w:eastAsia="zh-CN"/>
                    </w:rPr>
                    <w:t>/</w:t>
                  </w:r>
                </w:p>
              </w:tc>
              <w:tc>
                <w:tcPr>
                  <w:tcW w:w="2499" w:type="pct"/>
                  <w:tcBorders>
                    <w:tl2br w:val="nil"/>
                    <w:tr2bl w:val="nil"/>
                  </w:tcBorders>
                  <w:shd w:val="clear" w:color="auto" w:fill="auto"/>
                  <w:noWrap/>
                  <w:vAlign w:val="center"/>
                </w:tcPr>
                <w:p w14:paraId="2348F5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eastAsiaTheme="minorEastAsia"/>
                      <w:color w:val="auto"/>
                      <w:sz w:val="18"/>
                      <w:szCs w:val="18"/>
                      <w:lang w:val="en-US" w:eastAsia="zh-CN"/>
                    </w:rPr>
                    <w:t>/</w:t>
                  </w:r>
                </w:p>
              </w:tc>
            </w:tr>
            <w:tr w14:paraId="01A867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28" w:hRule="atLeast"/>
                <w:jc w:val="center"/>
              </w:trPr>
              <w:tc>
                <w:tcPr>
                  <w:tcW w:w="375" w:type="pct"/>
                  <w:vMerge w:val="restart"/>
                  <w:tcBorders>
                    <w:tl2br w:val="nil"/>
                    <w:tr2bl w:val="nil"/>
                  </w:tcBorders>
                  <w:shd w:val="clear" w:color="auto" w:fill="auto"/>
                  <w:vAlign w:val="center"/>
                </w:tcPr>
                <w:p w14:paraId="37C7E2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固废</w:t>
                  </w:r>
                </w:p>
              </w:tc>
              <w:tc>
                <w:tcPr>
                  <w:tcW w:w="1042" w:type="pct"/>
                  <w:gridSpan w:val="2"/>
                  <w:tcBorders>
                    <w:tl2br w:val="nil"/>
                    <w:tr2bl w:val="nil"/>
                  </w:tcBorders>
                  <w:shd w:val="clear" w:color="auto" w:fill="auto"/>
                  <w:vAlign w:val="center"/>
                </w:tcPr>
                <w:p w14:paraId="7AB9E0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危险固废</w:t>
                  </w:r>
                </w:p>
              </w:tc>
              <w:tc>
                <w:tcPr>
                  <w:tcW w:w="1082" w:type="pct"/>
                  <w:tcBorders>
                    <w:tl2br w:val="nil"/>
                    <w:tr2bl w:val="nil"/>
                  </w:tcBorders>
                  <w:shd w:val="clear" w:color="auto" w:fill="auto"/>
                  <w:vAlign w:val="center"/>
                </w:tcPr>
                <w:p w14:paraId="70ACEF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2499" w:type="pct"/>
                  <w:tcBorders>
                    <w:tl2br w:val="nil"/>
                    <w:tr2bl w:val="nil"/>
                  </w:tcBorders>
                  <w:shd w:val="clear" w:color="auto" w:fill="auto"/>
                  <w:vAlign w:val="center"/>
                </w:tcPr>
                <w:p w14:paraId="279FB4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olor w:val="auto"/>
                      <w:sz w:val="18"/>
                      <w:szCs w:val="18"/>
                    </w:rPr>
                  </w:pPr>
                  <w:r>
                    <w:rPr>
                      <w:rFonts w:hint="eastAsia" w:cs="Times New Roman"/>
                      <w:color w:val="auto"/>
                      <w:sz w:val="18"/>
                      <w:szCs w:val="18"/>
                      <w:highlight w:val="none"/>
                      <w:lang w:val="en-US" w:eastAsia="zh-CN"/>
                    </w:rPr>
                    <w:t>0</w:t>
                  </w:r>
                </w:p>
              </w:tc>
            </w:tr>
            <w:tr w14:paraId="3947E4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375" w:type="pct"/>
                  <w:vMerge w:val="continue"/>
                  <w:tcBorders>
                    <w:tl2br w:val="nil"/>
                    <w:tr2bl w:val="nil"/>
                  </w:tcBorders>
                  <w:shd w:val="clear" w:color="auto" w:fill="auto"/>
                  <w:vAlign w:val="center"/>
                </w:tcPr>
                <w:p w14:paraId="34157F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042" w:type="pct"/>
                  <w:gridSpan w:val="2"/>
                  <w:tcBorders>
                    <w:tl2br w:val="nil"/>
                    <w:tr2bl w:val="nil"/>
                  </w:tcBorders>
                  <w:shd w:val="clear" w:color="auto" w:fill="auto"/>
                  <w:vAlign w:val="center"/>
                </w:tcPr>
                <w:p w14:paraId="38F99F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一般固废</w:t>
                  </w:r>
                </w:p>
              </w:tc>
              <w:tc>
                <w:tcPr>
                  <w:tcW w:w="1082" w:type="pct"/>
                  <w:tcBorders>
                    <w:tl2br w:val="nil"/>
                    <w:tr2bl w:val="nil"/>
                  </w:tcBorders>
                  <w:shd w:val="clear" w:color="auto" w:fill="auto"/>
                  <w:vAlign w:val="center"/>
                </w:tcPr>
                <w:p w14:paraId="61CD06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eastAsia" w:cs="Times New Roman"/>
                      <w:color w:val="auto"/>
                      <w:sz w:val="18"/>
                      <w:szCs w:val="18"/>
                      <w:highlight w:val="none"/>
                      <w:lang w:val="en-US" w:eastAsia="zh-CN"/>
                    </w:rPr>
                    <w:t>0</w:t>
                  </w:r>
                </w:p>
              </w:tc>
              <w:tc>
                <w:tcPr>
                  <w:tcW w:w="2499" w:type="pct"/>
                  <w:tcBorders>
                    <w:tl2br w:val="nil"/>
                    <w:tr2bl w:val="nil"/>
                  </w:tcBorders>
                  <w:shd w:val="clear" w:color="auto" w:fill="auto"/>
                  <w:vAlign w:val="center"/>
                </w:tcPr>
                <w:p w14:paraId="6956A5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olor w:val="auto"/>
                      <w:sz w:val="18"/>
                      <w:szCs w:val="18"/>
                    </w:rPr>
                  </w:pPr>
                  <w:r>
                    <w:rPr>
                      <w:rFonts w:hint="eastAsia" w:cs="Times New Roman"/>
                      <w:color w:val="auto"/>
                      <w:sz w:val="18"/>
                      <w:szCs w:val="18"/>
                      <w:highlight w:val="none"/>
                      <w:lang w:val="en-US" w:eastAsia="zh-CN"/>
                    </w:rPr>
                    <w:t>0</w:t>
                  </w:r>
                </w:p>
              </w:tc>
            </w:tr>
          </w:tbl>
          <w:p w14:paraId="0B169889">
            <w:pPr>
              <w:pStyle w:val="59"/>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b/>
                <w:bCs/>
                <w:color w:val="auto"/>
                <w:szCs w:val="21"/>
                <w:highlight w:val="none"/>
              </w:rPr>
            </w:pPr>
            <w:r>
              <w:rPr>
                <w:rFonts w:hint="eastAsia" w:cs="Times New Roman"/>
                <w:b/>
                <w:bCs/>
                <w:color w:val="auto"/>
                <w:szCs w:val="21"/>
                <w:highlight w:val="none"/>
                <w:lang w:val="en-US" w:eastAsia="zh-CN"/>
              </w:rPr>
              <w:t>5、现有环境问题及</w:t>
            </w:r>
            <w:r>
              <w:rPr>
                <w:rFonts w:hint="default" w:ascii="Times New Roman" w:hAnsi="Times New Roman" w:eastAsia="宋体" w:cs="Times New Roman"/>
                <w:b/>
                <w:bCs/>
                <w:color w:val="auto"/>
                <w:szCs w:val="21"/>
                <w:highlight w:val="none"/>
              </w:rPr>
              <w:t>以新带老措施</w:t>
            </w:r>
          </w:p>
          <w:p w14:paraId="40233D7C">
            <w:pPr>
              <w:pStyle w:val="10"/>
              <w:keepNext w:val="0"/>
              <w:keepLines w:val="0"/>
              <w:suppressLineNumbers w:val="0"/>
              <w:spacing w:beforeAutospacing="0" w:afterAutospacing="0"/>
              <w:ind w:left="0" w:firstLine="480"/>
              <w:rPr>
                <w:rFonts w:hint="eastAsia"/>
                <w:color w:val="auto"/>
                <w:sz w:val="24"/>
                <w:szCs w:val="24"/>
              </w:rPr>
            </w:pPr>
            <w:r>
              <w:rPr>
                <w:rFonts w:hint="eastAsia"/>
                <w:color w:val="auto"/>
                <w:sz w:val="24"/>
                <w:szCs w:val="24"/>
                <w:lang w:val="en-US" w:eastAsia="zh-CN"/>
              </w:rPr>
              <w:t>《涟水县人民医院门诊住院一体化感染楼建设项目》尚未完成竣工环保验收工作，建设单位应尽快完成竣工环保验收工作。</w:t>
            </w:r>
          </w:p>
          <w:p w14:paraId="5ECCE5BA">
            <w:pPr>
              <w:pStyle w:val="10"/>
              <w:keepNext w:val="0"/>
              <w:keepLines w:val="0"/>
              <w:suppressLineNumbers w:val="0"/>
              <w:spacing w:beforeAutospacing="0" w:afterAutospacing="0"/>
              <w:ind w:left="0" w:firstLine="480"/>
              <w:rPr>
                <w:rFonts w:hint="eastAsia"/>
                <w:color w:val="auto"/>
                <w:sz w:val="24"/>
                <w:szCs w:val="24"/>
              </w:rPr>
            </w:pPr>
          </w:p>
          <w:p w14:paraId="6B4ED219">
            <w:pPr>
              <w:pStyle w:val="10"/>
              <w:keepNext w:val="0"/>
              <w:keepLines w:val="0"/>
              <w:suppressLineNumbers w:val="0"/>
              <w:spacing w:beforeAutospacing="0" w:afterAutospacing="0"/>
              <w:ind w:left="0" w:firstLine="480"/>
              <w:rPr>
                <w:rFonts w:hint="eastAsia"/>
                <w:color w:val="auto"/>
                <w:sz w:val="24"/>
                <w:szCs w:val="24"/>
              </w:rPr>
            </w:pPr>
          </w:p>
          <w:p w14:paraId="21B3A19B">
            <w:pPr>
              <w:pStyle w:val="10"/>
              <w:keepNext w:val="0"/>
              <w:keepLines w:val="0"/>
              <w:suppressLineNumbers w:val="0"/>
              <w:spacing w:beforeAutospacing="0" w:afterAutospacing="0"/>
              <w:ind w:left="0" w:firstLine="480"/>
              <w:rPr>
                <w:rFonts w:hint="eastAsia"/>
                <w:color w:val="auto"/>
                <w:sz w:val="24"/>
                <w:szCs w:val="24"/>
              </w:rPr>
            </w:pPr>
          </w:p>
          <w:p w14:paraId="5EB12C91">
            <w:pPr>
              <w:pStyle w:val="10"/>
              <w:keepNext w:val="0"/>
              <w:keepLines w:val="0"/>
              <w:suppressLineNumbers w:val="0"/>
              <w:spacing w:beforeAutospacing="0" w:afterAutospacing="0"/>
              <w:ind w:left="0" w:leftChars="0" w:firstLine="0" w:firstLineChars="0"/>
              <w:rPr>
                <w:rFonts w:hint="eastAsia"/>
                <w:color w:val="auto"/>
                <w:sz w:val="24"/>
                <w:szCs w:val="24"/>
              </w:rPr>
            </w:pPr>
          </w:p>
          <w:p w14:paraId="3EDBD5C5">
            <w:pPr>
              <w:pStyle w:val="10"/>
              <w:keepNext w:val="0"/>
              <w:keepLines w:val="0"/>
              <w:suppressLineNumbers w:val="0"/>
              <w:spacing w:beforeAutospacing="0" w:afterAutospacing="0"/>
              <w:ind w:left="0" w:firstLine="480"/>
              <w:rPr>
                <w:rFonts w:hint="eastAsia"/>
                <w:color w:val="auto"/>
                <w:sz w:val="24"/>
                <w:szCs w:val="24"/>
              </w:rPr>
            </w:pPr>
          </w:p>
          <w:p w14:paraId="1818A709">
            <w:pPr>
              <w:pStyle w:val="10"/>
              <w:keepNext w:val="0"/>
              <w:keepLines w:val="0"/>
              <w:suppressLineNumbers w:val="0"/>
              <w:spacing w:beforeAutospacing="0" w:afterAutospacing="0"/>
              <w:ind w:left="0" w:firstLine="480"/>
              <w:rPr>
                <w:rFonts w:hint="eastAsia"/>
                <w:color w:val="auto"/>
                <w:sz w:val="24"/>
                <w:szCs w:val="24"/>
              </w:rPr>
            </w:pPr>
          </w:p>
          <w:p w14:paraId="6526E83F">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color w:val="auto"/>
                <w:lang w:val="en-US" w:eastAsia="zh-CN"/>
              </w:rPr>
            </w:pPr>
          </w:p>
        </w:tc>
      </w:tr>
    </w:tbl>
    <w:p w14:paraId="15F2BB96">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D62FC90">
      <w:pPr>
        <w:numPr>
          <w:ilvl w:val="0"/>
          <w:numId w:val="0"/>
        </w:numPr>
        <w:spacing w:line="240" w:lineRule="auto"/>
        <w:ind w:firstLine="0" w:firstLineChars="0"/>
        <w:jc w:val="center"/>
        <w:outlineLvl w:val="0"/>
        <w:rPr>
          <w:b/>
          <w:bCs/>
          <w:color w:val="auto"/>
          <w:sz w:val="28"/>
          <w:szCs w:val="28"/>
        </w:rPr>
      </w:pPr>
      <w:bookmarkStart w:id="10" w:name="_Toc16299"/>
      <w:bookmarkStart w:id="11" w:name="_Toc11504"/>
      <w:r>
        <w:rPr>
          <w:rFonts w:hint="eastAsia" w:cstheme="minorBidi"/>
          <w:b/>
          <w:bCs/>
          <w:color w:val="auto"/>
          <w:kern w:val="2"/>
          <w:sz w:val="28"/>
          <w:szCs w:val="28"/>
          <w:lang w:val="en-US" w:eastAsia="zh-CN" w:bidi="ar-SA"/>
        </w:rPr>
        <w:t>三</w:t>
      </w:r>
      <w:r>
        <w:rPr>
          <w:rFonts w:hint="eastAsia" w:ascii="Times New Roman" w:hAnsi="Times New Roman" w:eastAsia="宋体" w:cstheme="minorBidi"/>
          <w:b/>
          <w:bCs/>
          <w:color w:val="auto"/>
          <w:kern w:val="2"/>
          <w:sz w:val="28"/>
          <w:szCs w:val="28"/>
          <w:lang w:val="en-US" w:eastAsia="zh-CN" w:bidi="ar-SA"/>
        </w:rPr>
        <w:t>、</w:t>
      </w:r>
      <w:r>
        <w:rPr>
          <w:rFonts w:hint="eastAsia"/>
          <w:b/>
          <w:bCs/>
          <w:color w:val="auto"/>
          <w:sz w:val="28"/>
          <w:szCs w:val="28"/>
          <w:lang w:val="en-US" w:eastAsia="zh-CN"/>
        </w:rPr>
        <w:t>区域环境质量现状、环境保护目标及评价标准</w:t>
      </w:r>
      <w:bookmarkEnd w:id="10"/>
      <w:bookmarkEnd w:id="11"/>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070"/>
      </w:tblGrid>
      <w:tr w14:paraId="20BD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14:paraId="2CBA7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auto"/>
                <w:vertAlign w:val="baseline"/>
                <w:lang w:val="en-US" w:eastAsia="zh-CN"/>
              </w:rPr>
            </w:pPr>
            <w:r>
              <w:rPr>
                <w:rFonts w:hint="eastAsia"/>
                <w:b/>
                <w:bCs/>
                <w:color w:val="auto"/>
                <w:vertAlign w:val="baseline"/>
                <w:lang w:val="en-US" w:eastAsia="zh-CN"/>
              </w:rPr>
              <w:t>区域环境质量现状</w:t>
            </w:r>
          </w:p>
        </w:tc>
        <w:tc>
          <w:tcPr>
            <w:tcW w:w="8062" w:type="dxa"/>
          </w:tcPr>
          <w:p w14:paraId="2A9C6B94">
            <w:pPr>
              <w:keepNext w:val="0"/>
              <w:keepLines w:val="0"/>
              <w:numPr>
                <w:ilvl w:val="0"/>
                <w:numId w:val="8"/>
              </w:numPr>
              <w:suppressLineNumbers w:val="0"/>
              <w:bidi w:val="0"/>
              <w:spacing w:before="0" w:beforeAutospacing="0" w:after="0" w:afterAutospacing="0"/>
              <w:ind w:left="0" w:right="0"/>
              <w:rPr>
                <w:rFonts w:hint="default" w:eastAsia="宋体"/>
                <w:b/>
                <w:bCs/>
                <w:color w:val="auto"/>
                <w:lang w:val="en-US" w:eastAsia="zh-CN"/>
              </w:rPr>
            </w:pPr>
            <w:r>
              <w:rPr>
                <w:rFonts w:hint="eastAsia"/>
                <w:b/>
                <w:bCs/>
                <w:color w:val="auto"/>
                <w:lang w:val="en-US" w:eastAsia="zh-CN"/>
              </w:rPr>
              <w:t>大气环境质量现状</w:t>
            </w:r>
          </w:p>
          <w:p w14:paraId="4193DAA6">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（1）基本污染物环境质量现状</w:t>
            </w:r>
          </w:p>
          <w:p w14:paraId="12A620D0">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根据淮安市生态环境局2024年6月5日发布的《2023年淮安市生态环境状况公报》，2023年，全市细颗粒物（PM</w:t>
            </w:r>
            <w:r>
              <w:rPr>
                <w:rFonts w:hint="eastAsia" w:cs="Times New Roman"/>
                <w:color w:val="auto"/>
                <w:kern w:val="0"/>
                <w:sz w:val="24"/>
                <w:vertAlign w:val="subscript"/>
                <w:lang w:val="en-US" w:eastAsia="zh-CN"/>
              </w:rPr>
              <w:t>2.5）</w:t>
            </w:r>
            <w:r>
              <w:rPr>
                <w:rFonts w:hint="default" w:ascii="Times New Roman" w:hAnsi="Times New Roman" w:eastAsia="宋体" w:cs="Times New Roman"/>
                <w:color w:val="auto"/>
                <w:kern w:val="0"/>
                <w:sz w:val="24"/>
              </w:rPr>
              <w:t>可吸入颗粒物（PM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）、二氧化硫（SO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）、二氧化氮（NO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）、一氧化碳（CO）和臭氧（O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）浓度年均浓度分别为36微克/立方米、58微克/立方米、8微克/立方米、25微克/立方米、1.0毫克立方米、158微克/立方米。与2022年相比，O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污染有所改善，O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为首要污染物的超标天减少3天，PM</w:t>
            </w:r>
            <w:r>
              <w:rPr>
                <w:rFonts w:hint="default" w:ascii="Times New Roman" w:hAnsi="Times New Roman" w:eastAsia="宋体" w:cs="Times New Roman"/>
                <w:color w:val="auto"/>
                <w:kern w:val="0"/>
                <w:sz w:val="24"/>
                <w:vertAlign w:val="subscript"/>
              </w:rPr>
              <w:t>2.5</w:t>
            </w:r>
            <w:r>
              <w:rPr>
                <w:rFonts w:hint="default" w:ascii="Times New Roman" w:hAnsi="Times New Roman" w:eastAsia="宋体" w:cs="Times New Roman"/>
                <w:color w:val="auto"/>
                <w:kern w:val="0"/>
                <w:sz w:val="24"/>
              </w:rPr>
              <w:t>浓度有所反弹，PM</w:t>
            </w:r>
            <w:r>
              <w:rPr>
                <w:rFonts w:hint="default" w:ascii="Times New Roman" w:hAnsi="Times New Roman" w:eastAsia="宋体" w:cs="Times New Roman"/>
                <w:color w:val="auto"/>
                <w:kern w:val="0"/>
                <w:sz w:val="24"/>
                <w:vertAlign w:val="subscript"/>
              </w:rPr>
              <w:t>2.5</w:t>
            </w:r>
            <w:r>
              <w:rPr>
                <w:rFonts w:hint="default" w:ascii="Times New Roman" w:hAnsi="Times New Roman" w:eastAsia="宋体" w:cs="Times New Roman"/>
                <w:color w:val="auto"/>
                <w:kern w:val="0"/>
                <w:sz w:val="24"/>
              </w:rPr>
              <w:t>为首要污染物的超标天增加7天。PM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降幅分别为3.3%、11.1%、0.6%。可吸入颗粒物（PM</w:t>
            </w:r>
            <w:r>
              <w:rPr>
                <w:rFonts w:hint="default" w:ascii="Times New Roman" w:hAnsi="Times New Roman" w:eastAsia="宋体" w:cs="Times New Roman"/>
                <w:color w:val="auto"/>
                <w:kern w:val="0"/>
                <w:sz w:val="24"/>
                <w:vertAlign w:val="subscript"/>
              </w:rPr>
              <w:t>10</w:t>
            </w:r>
            <w:r>
              <w:rPr>
                <w:rFonts w:hint="default" w:ascii="Times New Roman" w:hAnsi="Times New Roman" w:eastAsia="宋体" w:cs="Times New Roman"/>
                <w:color w:val="auto"/>
                <w:kern w:val="0"/>
                <w:sz w:val="24"/>
              </w:rPr>
              <w:t>）、二氧化硫（SO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）、二氧化氮（NO</w:t>
            </w:r>
            <w:r>
              <w:rPr>
                <w:rFonts w:hint="default" w:ascii="Times New Roman" w:hAnsi="Times New Roman" w:eastAsia="宋体" w:cs="Times New Roman"/>
                <w:color w:val="auto"/>
                <w:kern w:val="0"/>
                <w:sz w:val="24"/>
                <w:vertAlign w:val="subscript"/>
              </w:rPr>
              <w:t>2</w:t>
            </w:r>
            <w:r>
              <w:rPr>
                <w:rFonts w:hint="default" w:ascii="Times New Roman" w:hAnsi="Times New Roman" w:eastAsia="宋体" w:cs="Times New Roman"/>
                <w:color w:val="auto"/>
                <w:kern w:val="0"/>
                <w:sz w:val="24"/>
              </w:rPr>
              <w:t>）、一氧化碳（CO）和臭氧（O</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）污染物浓度达到国家二级标准。</w:t>
            </w:r>
            <w:r>
              <w:rPr>
                <w:rFonts w:hint="eastAsia" w:ascii="Times New Roman" w:hAnsi="Times New Roman" w:eastAsia="宋体" w:cs="Times New Roman"/>
                <w:color w:val="auto"/>
                <w:lang w:val="en-US" w:eastAsia="zh-CN"/>
              </w:rPr>
              <w:t>根据</w:t>
            </w:r>
            <w:r>
              <w:rPr>
                <w:rFonts w:hint="default" w:ascii="Times New Roman" w:hAnsi="Times New Roman" w:eastAsia="宋体" w:cs="Times New Roman"/>
                <w:color w:val="auto"/>
                <w:lang w:eastAsia="zh-CN"/>
              </w:rPr>
              <w:t>《环境影响评价技术导则</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eastAsia="zh-CN"/>
              </w:rPr>
              <w:t>大气环境》（HJ2.2</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eastAsia="zh-CN"/>
              </w:rPr>
              <w:t>2018）</w:t>
            </w:r>
            <w:r>
              <w:rPr>
                <w:rFonts w:hint="default" w:ascii="Times New Roman" w:hAnsi="Times New Roman" w:eastAsia="宋体" w:cs="Times New Roman"/>
                <w:color w:val="auto"/>
              </w:rPr>
              <w:t>，判定</w:t>
            </w:r>
            <w:r>
              <w:rPr>
                <w:rFonts w:hint="eastAsia" w:ascii="Times New Roman" w:hAnsi="Times New Roman" w:eastAsia="宋体" w:cs="Times New Roman"/>
                <w:color w:val="auto"/>
                <w:lang w:val="en-US" w:eastAsia="zh-CN"/>
              </w:rPr>
              <w:t>项目所在区域</w:t>
            </w:r>
            <w:r>
              <w:rPr>
                <w:rFonts w:hint="default" w:ascii="Times New Roman" w:hAnsi="Times New Roman" w:eastAsia="宋体" w:cs="Times New Roman"/>
                <w:color w:val="auto"/>
              </w:rPr>
              <w:t>为</w:t>
            </w:r>
            <w:r>
              <w:rPr>
                <w:rFonts w:hint="eastAsia" w:cs="Times New Roman"/>
                <w:color w:val="auto"/>
                <w:lang w:eastAsia="zh-CN"/>
              </w:rPr>
              <w:t>大气环境</w:t>
            </w:r>
            <w:r>
              <w:rPr>
                <w:rFonts w:hint="default" w:ascii="Times New Roman" w:hAnsi="Times New Roman" w:eastAsia="宋体" w:cs="Times New Roman"/>
                <w:color w:val="auto"/>
              </w:rPr>
              <w:t>不达标区</w:t>
            </w:r>
            <w:r>
              <w:rPr>
                <w:rFonts w:hint="default" w:ascii="Times New Roman" w:hAnsi="Times New Roman" w:eastAsia="宋体" w:cs="Times New Roman"/>
                <w:color w:val="auto"/>
                <w:lang w:eastAsia="zh-CN"/>
              </w:rPr>
              <w:t>。</w:t>
            </w:r>
          </w:p>
          <w:p w14:paraId="2DC2348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随着《淮安市2024年大气污染防治工作计划》</w:t>
            </w:r>
            <w:r>
              <w:rPr>
                <w:rFonts w:hint="eastAsia"/>
                <w:color w:val="auto"/>
                <w:kern w:val="0"/>
                <w:sz w:val="24"/>
              </w:rPr>
              <w:t>（淮污防攻坚指办</w:t>
            </w:r>
            <w:r>
              <w:rPr>
                <w:rFonts w:hint="eastAsia"/>
                <w:color w:val="auto"/>
                <w:kern w:val="0"/>
                <w:sz w:val="24"/>
                <w:lang w:eastAsia="zh-CN"/>
              </w:rPr>
              <w:t>〔2024〕50号</w:t>
            </w:r>
            <w:r>
              <w:rPr>
                <w:rFonts w:hint="eastAsia"/>
                <w:color w:val="auto"/>
                <w:kern w:val="0"/>
                <w:sz w:val="24"/>
              </w:rPr>
              <w:t>）</w:t>
            </w:r>
            <w:r>
              <w:rPr>
                <w:rFonts w:hint="default" w:ascii="Times New Roman" w:hAnsi="Times New Roman" w:eastAsia="宋体" w:cs="Times New Roman"/>
                <w:color w:val="auto"/>
                <w:kern w:val="0"/>
                <w:sz w:val="24"/>
              </w:rPr>
              <w:t>、《市生态环境局“十四五”主要污染物减排实施方案》（淮环发</w:t>
            </w:r>
            <w:r>
              <w:rPr>
                <w:rFonts w:hint="eastAsia" w:cs="Times New Roman"/>
                <w:color w:val="auto"/>
                <w:kern w:val="0"/>
                <w:sz w:val="24"/>
                <w:lang w:eastAsia="zh-CN"/>
              </w:rPr>
              <w:t>〔2023〕150号</w:t>
            </w:r>
            <w:r>
              <w:rPr>
                <w:rFonts w:hint="default" w:ascii="Times New Roman" w:hAnsi="Times New Roman" w:eastAsia="宋体" w:cs="Times New Roman"/>
                <w:color w:val="auto"/>
                <w:kern w:val="0"/>
                <w:sz w:val="24"/>
              </w:rPr>
              <w:t>）等防治计划的落实，淮安市持续开展空气质量改善行动以及“开展三源整治、留住蓝天白云”扬尘管控集中整治行动，深入推进“48小时+12天”大气环境质量改善专项攻坚，预期淮安市环境空气质量状况会进一步改善。</w:t>
            </w:r>
          </w:p>
          <w:p w14:paraId="2048CC78">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color w:val="auto"/>
                <w:lang w:eastAsia="zh-CN"/>
              </w:rPr>
            </w:pPr>
            <w:r>
              <w:rPr>
                <w:rFonts w:hint="eastAsia"/>
                <w:color w:val="auto"/>
              </w:rPr>
              <w:t>（2）</w:t>
            </w:r>
            <w:r>
              <w:rPr>
                <w:rFonts w:hint="eastAsia"/>
                <w:color w:val="auto"/>
                <w:lang w:eastAsia="zh-CN"/>
              </w:rPr>
              <w:t>其他污染物情况说明</w:t>
            </w:r>
          </w:p>
          <w:p w14:paraId="270D5D3D">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宋体" w:eastAsia="宋体" w:cs="Times New Roman"/>
                <w:color w:val="auto"/>
                <w:sz w:val="24"/>
                <w:lang w:val="en-US" w:eastAsia="zh-CN"/>
              </w:rPr>
            </w:pPr>
            <w:r>
              <w:rPr>
                <w:rFonts w:hint="eastAsia" w:cs="Times New Roman"/>
                <w:color w:val="auto"/>
                <w:kern w:val="0"/>
                <w:sz w:val="24"/>
                <w:szCs w:val="20"/>
                <w:lang w:eastAsia="zh-CN"/>
              </w:rPr>
              <w:t>根据《建设项目环境影响报告表编制技术指南（污染影响类）（试行）》要求，排放国家、地方环境空气质量标准中有标准限值要求的特征污染物时，引用建设项目周边5千米范围内近3年的现有监测数据，无相关数据的选择当季主导风向下风向1个点位补充不少于3天的监测数据，由于本项目排放的特征污染物NMHC无国家、地方环境空气质量标准，故不对其进行现状评价。</w:t>
            </w:r>
          </w:p>
          <w:p w14:paraId="4C056028">
            <w:pPr>
              <w:keepNext w:val="0"/>
              <w:keepLines w:val="0"/>
              <w:numPr>
                <w:ilvl w:val="0"/>
                <w:numId w:val="8"/>
              </w:numPr>
              <w:suppressLineNumbers w:val="0"/>
              <w:bidi w:val="0"/>
              <w:spacing w:before="0" w:beforeAutospacing="0" w:after="0" w:afterAutospacing="0"/>
              <w:ind w:left="0" w:leftChars="0" w:right="0" w:firstLine="482" w:firstLineChars="200"/>
              <w:rPr>
                <w:rFonts w:hint="default"/>
                <w:b/>
                <w:bCs/>
                <w:color w:val="auto"/>
                <w:lang w:val="en-US" w:eastAsia="zh-CN"/>
              </w:rPr>
            </w:pPr>
            <w:r>
              <w:rPr>
                <w:rFonts w:hint="eastAsia"/>
                <w:b/>
                <w:bCs/>
                <w:color w:val="auto"/>
                <w:lang w:val="en-US" w:eastAsia="zh-CN"/>
              </w:rPr>
              <w:t>地表水环境质量现状</w:t>
            </w:r>
          </w:p>
          <w:p w14:paraId="0666887F">
            <w:pPr>
              <w:keepNext w:val="0"/>
              <w:keepLines w:val="0"/>
              <w:suppressLineNumbers w:val="0"/>
              <w:bidi w:val="0"/>
              <w:spacing w:before="0" w:beforeAutospacing="0" w:after="0" w:afterAutospacing="0"/>
              <w:ind w:left="0" w:right="0"/>
              <w:rPr>
                <w:rFonts w:hint="default"/>
                <w:color w:val="auto"/>
                <w:lang w:val="en-US" w:eastAsia="zh-CN"/>
              </w:rPr>
            </w:pPr>
            <w:r>
              <w:rPr>
                <w:rFonts w:hint="default" w:ascii="Times New Roman" w:hAnsi="Times New Roman" w:eastAsia="宋体" w:cs="Times New Roman"/>
                <w:bCs/>
                <w:color w:val="auto"/>
                <w:sz w:val="24"/>
              </w:rPr>
              <w:t>建设项目污水受纳水体为</w:t>
            </w:r>
            <w:r>
              <w:rPr>
                <w:rFonts w:hint="default" w:ascii="Times New Roman" w:hAnsi="Times New Roman" w:eastAsia="宋体" w:cs="Times New Roman"/>
                <w:bCs/>
                <w:color w:val="auto"/>
                <w:sz w:val="24"/>
                <w:lang w:val="en-US" w:eastAsia="zh-CN"/>
              </w:rPr>
              <w:t>涟中总干渠</w:t>
            </w:r>
            <w:r>
              <w:rPr>
                <w:rFonts w:hint="default" w:ascii="Times New Roman" w:hAnsi="Times New Roman" w:eastAsia="宋体" w:cs="Times New Roman"/>
                <w:bCs/>
                <w:color w:val="auto"/>
                <w:sz w:val="24"/>
              </w:rPr>
              <w:t>。根据《2023年淮安市环境状况公报》，</w:t>
            </w:r>
            <w:r>
              <w:rPr>
                <w:rFonts w:hint="default" w:ascii="Times New Roman" w:hAnsi="Times New Roman" w:eastAsia="宋体" w:cs="Times New Roman"/>
                <w:bCs/>
                <w:color w:val="auto"/>
                <w:sz w:val="24"/>
                <w:lang w:val="en-US" w:eastAsia="zh-CN"/>
              </w:rPr>
              <w:t>涟中总干渠</w:t>
            </w:r>
            <w:r>
              <w:rPr>
                <w:rFonts w:hint="default" w:ascii="Times New Roman" w:hAnsi="Times New Roman" w:eastAsia="宋体" w:cs="Times New Roman"/>
                <w:bCs/>
                <w:color w:val="auto"/>
                <w:sz w:val="24"/>
              </w:rPr>
              <w:t>水质状况属于良好，达到功能区划Ⅲ类要求。根据《2023年淮安市生态环境状况公报》：纳入“十四五”国家地表水环境质量考核的11个国考断面中，年均水质达到或好于Ⅲ类标准的断面9个（Ⅱ类断面4个），优Ⅲ比例81.8%，达标率100%，无V类和劣V类断面。纳入江苏省“十四五”水环境质量目标考核的57个断面中水质达到或好于</w:t>
            </w:r>
            <w:r>
              <w:rPr>
                <w:rFonts w:hint="eastAsia" w:cs="Times New Roman"/>
                <w:bCs/>
                <w:color w:val="auto"/>
                <w:sz w:val="24"/>
                <w:lang w:eastAsia="zh-CN"/>
              </w:rPr>
              <w:t>Ⅲ</w:t>
            </w:r>
            <w:r>
              <w:rPr>
                <w:rFonts w:hint="default" w:ascii="Times New Roman" w:hAnsi="Times New Roman" w:eastAsia="宋体" w:cs="Times New Roman"/>
                <w:bCs/>
                <w:color w:val="auto"/>
                <w:sz w:val="24"/>
              </w:rPr>
              <w:t>类标准的断面有53个，优Ⅲ比例93%，达标率100%，无V类和劣V类断面</w:t>
            </w:r>
            <w:r>
              <w:rPr>
                <w:rFonts w:hint="default"/>
                <w:color w:val="auto"/>
              </w:rPr>
              <w:t>。</w:t>
            </w:r>
          </w:p>
          <w:p w14:paraId="5E5B304F">
            <w:pPr>
              <w:keepNext w:val="0"/>
              <w:keepLines w:val="0"/>
              <w:numPr>
                <w:ilvl w:val="0"/>
                <w:numId w:val="8"/>
              </w:numPr>
              <w:suppressLineNumbers w:val="0"/>
              <w:bidi w:val="0"/>
              <w:spacing w:before="0" w:beforeAutospacing="0" w:after="0" w:afterAutospacing="0"/>
              <w:ind w:left="0" w:leftChars="0" w:right="0" w:firstLine="482" w:firstLineChars="200"/>
              <w:rPr>
                <w:rFonts w:hint="default"/>
                <w:b/>
                <w:bCs/>
                <w:color w:val="auto"/>
                <w:lang w:val="en-US" w:eastAsia="zh-CN"/>
              </w:rPr>
            </w:pPr>
            <w:r>
              <w:rPr>
                <w:rFonts w:hint="eastAsia"/>
                <w:b/>
                <w:bCs/>
                <w:color w:val="auto"/>
                <w:lang w:val="en-US" w:eastAsia="zh-CN"/>
              </w:rPr>
              <w:t>声环境质量现状</w:t>
            </w:r>
          </w:p>
          <w:p w14:paraId="70CFC927">
            <w:pPr>
              <w:keepNext w:val="0"/>
              <w:keepLines w:val="0"/>
              <w:suppressLineNumbers w:val="0"/>
              <w:spacing w:before="0" w:beforeAutospacing="0" w:after="0" w:afterAutospacing="0"/>
              <w:ind w:left="0" w:right="0"/>
              <w:rPr>
                <w:rFonts w:hint="default" w:ascii="Times New Roman" w:hAnsi="Times New Roman" w:eastAsia="宋体"/>
                <w:color w:val="auto"/>
                <w:lang w:val="en-US" w:eastAsia="zh-CN"/>
              </w:rPr>
            </w:pPr>
            <w:r>
              <w:rPr>
                <w:rFonts w:hint="eastAsia"/>
                <w:color w:val="auto"/>
                <w:lang w:val="en-US" w:eastAsia="zh-CN"/>
              </w:rPr>
              <w:t>（1）区域声环境质量现状</w:t>
            </w:r>
          </w:p>
          <w:p w14:paraId="3ABFBD2D">
            <w:pPr>
              <w:keepNext w:val="0"/>
              <w:keepLines w:val="0"/>
              <w:suppressLineNumbers w:val="0"/>
              <w:spacing w:before="0" w:beforeAutospacing="0" w:after="0" w:afterAutospacing="0"/>
              <w:ind w:left="0" w:right="0"/>
              <w:rPr>
                <w:rFonts w:hint="eastAsia" w:ascii="Times New Roman" w:hAnsi="Times New Roman" w:eastAsia="宋体"/>
                <w:color w:val="auto"/>
                <w:lang w:val="en-US" w:eastAsia="zh-CN"/>
              </w:rPr>
            </w:pPr>
            <w:r>
              <w:rPr>
                <w:rFonts w:hint="default" w:ascii="Times New Roman" w:hAnsi="Times New Roman" w:eastAsia="宋体"/>
                <w:color w:val="auto"/>
                <w:lang w:val="en-US" w:eastAsia="zh-CN"/>
              </w:rPr>
              <w:t>根据《2023年淮安市生态环境状况公报》，2023年，淮安市声环境总体较好，全市各功能区昼夜噪声均达标。全市区域环境昼间噪声均值为55.1dB（A），夜间均值为45.3dB（A），同比均有所改善；全市昼间交通噪声均值为65.4dB（A），夜间交通噪声均值为55.4dB（A），均保持稳定，处于“好”水平</w:t>
            </w:r>
            <w:r>
              <w:rPr>
                <w:rFonts w:hint="eastAsia" w:ascii="Times New Roman" w:hAnsi="Times New Roman" w:eastAsia="宋体"/>
                <w:color w:val="auto"/>
                <w:lang w:val="en-US" w:eastAsia="zh-CN"/>
              </w:rPr>
              <w:t>。</w:t>
            </w:r>
          </w:p>
          <w:p w14:paraId="2736B60F">
            <w:pPr>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（2）补充监测</w:t>
            </w:r>
          </w:p>
          <w:p w14:paraId="37FB3DFE">
            <w:pPr>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建设项目</w:t>
            </w:r>
            <w:r>
              <w:rPr>
                <w:rFonts w:hint="default"/>
                <w:color w:val="auto"/>
              </w:rPr>
              <w:t>厂界外50米范围内涉及声环境保护目标。</w:t>
            </w:r>
          </w:p>
          <w:p w14:paraId="744D2A16">
            <w:pPr>
              <w:keepNext w:val="0"/>
              <w:keepLines w:val="0"/>
              <w:suppressLineNumbers w:val="0"/>
              <w:spacing w:before="0" w:beforeAutospacing="0" w:after="0" w:afterAutospacing="0"/>
              <w:ind w:left="0" w:right="0"/>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为了解项目所在地声环境现状，</w:t>
            </w:r>
            <w:r>
              <w:rPr>
                <w:rFonts w:hint="eastAsia" w:ascii="Times New Roman" w:hAnsi="Times New Roman" w:cstheme="minorBidi"/>
                <w:color w:val="auto"/>
                <w:kern w:val="2"/>
                <w:sz w:val="24"/>
                <w:szCs w:val="24"/>
                <w:lang w:val="en-US" w:eastAsia="zh-CN" w:bidi="ar-SA"/>
              </w:rPr>
              <w:t>根</w:t>
            </w:r>
            <w:r>
              <w:rPr>
                <w:rFonts w:hint="eastAsia" w:ascii="Times New Roman" w:hAnsi="Times New Roman" w:eastAsia="宋体" w:cstheme="minorBidi"/>
                <w:color w:val="auto"/>
                <w:kern w:val="2"/>
                <w:sz w:val="24"/>
                <w:szCs w:val="24"/>
                <w:lang w:val="en-US" w:eastAsia="zh-CN" w:bidi="ar-SA"/>
              </w:rPr>
              <w:t>据《建设项目环境影响报告表编制技术指南（污染影响类）》</w:t>
            </w:r>
            <w:r>
              <w:rPr>
                <w:rFonts w:hint="eastAsia" w:ascii="Times New Roman" w:hAnsi="Times New Roman" w:cstheme="minorBidi"/>
                <w:color w:val="auto"/>
                <w:kern w:val="2"/>
                <w:sz w:val="24"/>
                <w:szCs w:val="24"/>
                <w:lang w:val="en-US" w:eastAsia="zh-CN" w:bidi="ar-SA"/>
              </w:rPr>
              <w:t>的要求</w:t>
            </w:r>
            <w:r>
              <w:rPr>
                <w:rFonts w:hint="eastAsia" w:ascii="Times New Roman" w:hAnsi="Times New Roman" w:eastAsia="宋体" w:cstheme="minorBidi"/>
                <w:color w:val="auto"/>
                <w:kern w:val="2"/>
                <w:sz w:val="24"/>
                <w:szCs w:val="24"/>
                <w:lang w:val="en-US" w:eastAsia="zh-CN" w:bidi="ar-SA"/>
              </w:rPr>
              <w:t>，本</w:t>
            </w:r>
            <w:r>
              <w:rPr>
                <w:rFonts w:hint="eastAsia" w:cstheme="minorBidi"/>
                <w:color w:val="auto"/>
                <w:kern w:val="2"/>
                <w:sz w:val="24"/>
                <w:szCs w:val="24"/>
                <w:lang w:val="en-US" w:eastAsia="zh-CN" w:bidi="ar-SA"/>
              </w:rPr>
              <w:t>次</w:t>
            </w:r>
            <w:r>
              <w:rPr>
                <w:rFonts w:hint="eastAsia" w:ascii="Times New Roman" w:hAnsi="Times New Roman" w:eastAsia="宋体" w:cstheme="minorBidi"/>
                <w:color w:val="auto"/>
                <w:kern w:val="2"/>
                <w:sz w:val="24"/>
                <w:szCs w:val="24"/>
                <w:lang w:val="en-US" w:eastAsia="zh-CN" w:bidi="ar-SA"/>
              </w:rPr>
              <w:t>评价委托</w:t>
            </w:r>
            <w:r>
              <w:rPr>
                <w:rFonts w:hint="eastAsia" w:cstheme="minorBidi"/>
                <w:color w:val="auto"/>
                <w:kern w:val="2"/>
                <w:sz w:val="24"/>
                <w:szCs w:val="24"/>
                <w:lang w:val="en-US" w:eastAsia="zh-CN" w:bidi="ar-SA"/>
              </w:rPr>
              <w:t>江苏高研环境检测有限公司</w:t>
            </w:r>
            <w:r>
              <w:rPr>
                <w:rFonts w:hint="eastAsia" w:ascii="Times New Roman" w:hAnsi="Times New Roman" w:eastAsia="宋体" w:cstheme="minorBidi"/>
                <w:color w:val="auto"/>
                <w:kern w:val="2"/>
                <w:sz w:val="24"/>
                <w:szCs w:val="24"/>
                <w:lang w:val="en-US" w:eastAsia="zh-CN" w:bidi="ar-SA"/>
              </w:rPr>
              <w:t>对项目</w:t>
            </w:r>
            <w:r>
              <w:rPr>
                <w:rFonts w:hint="eastAsia" w:ascii="Times New Roman" w:hAnsi="Times New Roman" w:cstheme="minorBidi"/>
                <w:color w:val="auto"/>
                <w:kern w:val="2"/>
                <w:sz w:val="24"/>
                <w:szCs w:val="24"/>
                <w:lang w:val="en-US" w:eastAsia="zh-CN" w:bidi="ar-SA"/>
              </w:rPr>
              <w:t>周边</w:t>
            </w:r>
            <w:r>
              <w:rPr>
                <w:rFonts w:hint="eastAsia" w:cstheme="minorBidi"/>
                <w:color w:val="auto"/>
                <w:kern w:val="2"/>
                <w:sz w:val="24"/>
                <w:szCs w:val="24"/>
                <w:lang w:val="en-US" w:eastAsia="zh-CN" w:bidi="ar-SA"/>
              </w:rPr>
              <w:t>声</w:t>
            </w:r>
            <w:r>
              <w:rPr>
                <w:rFonts w:hint="eastAsia" w:ascii="Times New Roman" w:hAnsi="Times New Roman" w:eastAsia="宋体" w:cstheme="minorBidi"/>
                <w:color w:val="auto"/>
                <w:kern w:val="2"/>
                <w:sz w:val="24"/>
                <w:szCs w:val="24"/>
                <w:lang w:val="en-US" w:eastAsia="zh-CN" w:bidi="ar-SA"/>
              </w:rPr>
              <w:t>敏感点位进行监测</w:t>
            </w:r>
            <w:r>
              <w:rPr>
                <w:rFonts w:hint="eastAsia" w:cstheme="minorBidi"/>
                <w:color w:val="auto"/>
                <w:kern w:val="2"/>
                <w:sz w:val="24"/>
                <w:szCs w:val="24"/>
                <w:lang w:val="en-US" w:eastAsia="zh-CN" w:bidi="ar-SA"/>
              </w:rPr>
              <w:t>（检测报告编号GYJC（环）字第2024122701号）</w:t>
            </w:r>
            <w:r>
              <w:rPr>
                <w:rFonts w:hint="eastAsia" w:ascii="Times New Roman" w:hAnsi="Times New Roman" w:eastAsia="宋体" w:cstheme="minorBidi"/>
                <w:color w:val="auto"/>
                <w:kern w:val="2"/>
                <w:sz w:val="24"/>
                <w:szCs w:val="24"/>
                <w:lang w:val="en-US" w:eastAsia="zh-CN" w:bidi="ar-SA"/>
              </w:rPr>
              <w:t>。</w:t>
            </w:r>
          </w:p>
          <w:p w14:paraId="6D920A24">
            <w:pPr>
              <w:pStyle w:val="50"/>
              <w:keepNext w:val="0"/>
              <w:keepLines w:val="0"/>
              <w:suppressLineNumbers w:val="0"/>
              <w:spacing w:before="0" w:beforeAutospacing="0" w:after="0" w:afterAutospacing="0"/>
              <w:ind w:left="0" w:right="0" w:firstLine="420"/>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1）监测布点</w:t>
            </w:r>
            <w:r>
              <w:rPr>
                <w:rFonts w:hint="eastAsia" w:ascii="Times New Roman" w:hAnsi="Times New Roman" w:cstheme="minorBidi"/>
                <w:color w:val="auto"/>
                <w:kern w:val="2"/>
                <w:sz w:val="24"/>
                <w:szCs w:val="24"/>
                <w:lang w:val="en-US" w:eastAsia="zh-CN" w:bidi="ar-SA"/>
              </w:rPr>
              <w:t>及频次</w:t>
            </w:r>
            <w:r>
              <w:rPr>
                <w:rFonts w:hint="eastAsia" w:ascii="Times New Roman" w:hAnsi="Times New Roman" w:eastAsia="宋体" w:cstheme="minorBidi"/>
                <w:color w:val="auto"/>
                <w:kern w:val="2"/>
                <w:sz w:val="24"/>
                <w:szCs w:val="24"/>
                <w:lang w:val="en-US" w:eastAsia="zh-CN" w:bidi="ar-SA"/>
              </w:rPr>
              <w:t>：在项目</w:t>
            </w:r>
            <w:r>
              <w:rPr>
                <w:rFonts w:hint="eastAsia" w:ascii="Times New Roman" w:hAnsi="Times New Roman" w:cstheme="minorBidi"/>
                <w:color w:val="auto"/>
                <w:kern w:val="2"/>
                <w:sz w:val="24"/>
                <w:szCs w:val="24"/>
                <w:lang w:val="en-US" w:eastAsia="zh-CN" w:bidi="ar-SA"/>
              </w:rPr>
              <w:t>地东侧及南侧幸福家园</w:t>
            </w:r>
            <w:r>
              <w:rPr>
                <w:rFonts w:hint="eastAsia" w:ascii="Times New Roman" w:hAnsi="Times New Roman" w:eastAsia="宋体" w:cstheme="minorBidi"/>
                <w:color w:val="auto"/>
                <w:kern w:val="2"/>
                <w:sz w:val="24"/>
                <w:szCs w:val="24"/>
                <w:lang w:val="en-US" w:eastAsia="zh-CN" w:bidi="ar-SA"/>
              </w:rPr>
              <w:t>、金安玫瑰园设置</w:t>
            </w:r>
            <w:r>
              <w:rPr>
                <w:rFonts w:hint="eastAsia" w:ascii="Times New Roman" w:hAnsi="Times New Roman" w:cstheme="minorBidi"/>
                <w:color w:val="auto"/>
                <w:kern w:val="2"/>
                <w:sz w:val="24"/>
                <w:szCs w:val="24"/>
                <w:lang w:val="en-US" w:eastAsia="zh-CN" w:bidi="ar-SA"/>
              </w:rPr>
              <w:t>2</w:t>
            </w:r>
            <w:r>
              <w:rPr>
                <w:rFonts w:hint="eastAsia" w:ascii="Times New Roman" w:hAnsi="Times New Roman" w:eastAsia="宋体" w:cstheme="minorBidi"/>
                <w:color w:val="auto"/>
                <w:kern w:val="2"/>
                <w:sz w:val="24"/>
                <w:szCs w:val="24"/>
                <w:lang w:val="en-US" w:eastAsia="zh-CN" w:bidi="ar-SA"/>
              </w:rPr>
              <w:t>个监测点位。</w:t>
            </w:r>
          </w:p>
          <w:p w14:paraId="18A7DF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z w:val="24"/>
                <w:szCs w:val="24"/>
                <w:lang w:eastAsia="zh-CN"/>
              </w:rPr>
              <w:t>表</w:t>
            </w:r>
            <w:r>
              <w:rPr>
                <w:rFonts w:hint="default" w:ascii="Times New Roman" w:hAnsi="Times New Roman" w:eastAsia="宋体" w:cs="Times New Roman"/>
                <w:b/>
                <w:bCs/>
                <w:color w:val="auto"/>
                <w:sz w:val="24"/>
                <w:szCs w:val="24"/>
                <w:lang w:val="en-US" w:eastAsia="zh-CN"/>
              </w:rPr>
              <w:t xml:space="preserve">3.1-1 </w:t>
            </w:r>
            <w:r>
              <w:rPr>
                <w:rFonts w:hint="default" w:ascii="Times New Roman" w:hAnsi="Times New Roman" w:eastAsia="宋体" w:cs="Times New Roman"/>
                <w:b/>
                <w:bCs/>
                <w:color w:val="auto"/>
                <w:sz w:val="24"/>
                <w:szCs w:val="24"/>
                <w:lang w:eastAsia="zh-CN"/>
              </w:rPr>
              <w:t>环境噪声</w:t>
            </w:r>
            <w:r>
              <w:rPr>
                <w:rFonts w:hint="default" w:ascii="Times New Roman" w:hAnsi="Times New Roman" w:eastAsia="宋体" w:cs="Times New Roman"/>
                <w:b/>
                <w:bCs/>
                <w:color w:val="auto"/>
                <w:sz w:val="24"/>
                <w:szCs w:val="24"/>
              </w:rPr>
              <w:t>现状监测</w:t>
            </w:r>
            <w:r>
              <w:rPr>
                <w:rFonts w:hint="default" w:ascii="Times New Roman" w:hAnsi="Times New Roman" w:eastAsia="宋体" w:cs="Times New Roman"/>
                <w:b/>
                <w:bCs/>
                <w:color w:val="auto"/>
                <w:sz w:val="24"/>
                <w:szCs w:val="24"/>
                <w:lang w:eastAsia="zh-CN"/>
              </w:rPr>
              <w:t>布点方案及频次</w:t>
            </w:r>
          </w:p>
          <w:tbl>
            <w:tblPr>
              <w:tblStyle w:val="24"/>
              <w:tblpPr w:leftFromText="180" w:rightFromText="180" w:vertAnchor="text" w:horzAnchor="page" w:tblpXSpec="center" w:tblpY="80"/>
              <w:tblOverlap w:val="never"/>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1151"/>
              <w:gridCol w:w="1162"/>
              <w:gridCol w:w="1371"/>
              <w:gridCol w:w="2666"/>
            </w:tblGrid>
            <w:tr w14:paraId="25245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56" w:type="pct"/>
                  <w:noWrap w:val="0"/>
                  <w:vAlign w:val="center"/>
                </w:tcPr>
                <w:p w14:paraId="1EC19829">
                  <w:pPr>
                    <w:pStyle w:val="10"/>
                    <w:keepNext w:val="0"/>
                    <w:keepLines w:val="0"/>
                    <w:pageBreakBefore w:val="0"/>
                    <w:suppressLineNumbers w:val="0"/>
                    <w:kinsoku/>
                    <w:wordWrap/>
                    <w:overflowPunct/>
                    <w:topLinePunct w:val="0"/>
                    <w:autoSpaceDE/>
                    <w:autoSpaceDN/>
                    <w:bidi w:val="0"/>
                    <w:adjustRightInd w:val="0"/>
                    <w:snapToGrid w:val="0"/>
                    <w:spacing w:beforeAutospacing="0" w:afterAutospacing="0" w:line="240" w:lineRule="auto"/>
                    <w:ind w:lef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监测点位置</w:t>
                  </w:r>
                </w:p>
              </w:tc>
              <w:tc>
                <w:tcPr>
                  <w:tcW w:w="733" w:type="pct"/>
                  <w:noWrap w:val="0"/>
                  <w:vAlign w:val="center"/>
                </w:tcPr>
                <w:p w14:paraId="005400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测点符号</w:t>
                  </w:r>
                </w:p>
              </w:tc>
              <w:tc>
                <w:tcPr>
                  <w:tcW w:w="740" w:type="pct"/>
                  <w:noWrap w:val="0"/>
                  <w:vAlign w:val="center"/>
                </w:tcPr>
                <w:p w14:paraId="1EE00E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Style w:val="52"/>
                      <w:rFonts w:hint="default" w:ascii="Times New Roman" w:hAnsi="Times New Roman" w:eastAsia="宋体" w:cs="Times New Roman"/>
                      <w:b/>
                      <w:bCs/>
                      <w:color w:val="auto"/>
                      <w:sz w:val="18"/>
                      <w:szCs w:val="18"/>
                      <w:lang w:val="en-US" w:eastAsia="zh-CN"/>
                    </w:rPr>
                    <w:t>方位及距离（m）</w:t>
                  </w:r>
                </w:p>
              </w:tc>
              <w:tc>
                <w:tcPr>
                  <w:tcW w:w="873" w:type="pct"/>
                  <w:noWrap w:val="0"/>
                  <w:vAlign w:val="center"/>
                </w:tcPr>
                <w:p w14:paraId="2AA79B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监测</w:t>
                  </w:r>
                  <w:r>
                    <w:rPr>
                      <w:rFonts w:hint="default" w:ascii="Times New Roman" w:hAnsi="Times New Roman" w:eastAsia="宋体" w:cs="Times New Roman"/>
                      <w:b/>
                      <w:bCs/>
                      <w:color w:val="auto"/>
                      <w:sz w:val="18"/>
                      <w:szCs w:val="18"/>
                      <w:lang w:eastAsia="zh-CN"/>
                    </w:rPr>
                    <w:t>频次</w:t>
                  </w:r>
                </w:p>
              </w:tc>
              <w:tc>
                <w:tcPr>
                  <w:tcW w:w="1697" w:type="pct"/>
                  <w:noWrap w:val="0"/>
                  <w:vAlign w:val="center"/>
                </w:tcPr>
                <w:p w14:paraId="44A347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执行标准</w:t>
                  </w:r>
                </w:p>
              </w:tc>
            </w:tr>
            <w:tr w14:paraId="421C9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56" w:type="pct"/>
                  <w:noWrap w:val="0"/>
                  <w:vAlign w:val="center"/>
                </w:tcPr>
                <w:p w14:paraId="64C852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幸福家园</w:t>
                  </w:r>
                </w:p>
              </w:tc>
              <w:tc>
                <w:tcPr>
                  <w:tcW w:w="733" w:type="pct"/>
                  <w:noWrap w:val="0"/>
                  <w:vAlign w:val="center"/>
                </w:tcPr>
                <w:p w14:paraId="6B1B8A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N1</w:t>
                  </w:r>
                </w:p>
              </w:tc>
              <w:tc>
                <w:tcPr>
                  <w:tcW w:w="740" w:type="pct"/>
                  <w:noWrap w:val="0"/>
                  <w:vAlign w:val="center"/>
                </w:tcPr>
                <w:p w14:paraId="56D6B6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E/40</w:t>
                  </w:r>
                </w:p>
              </w:tc>
              <w:tc>
                <w:tcPr>
                  <w:tcW w:w="873" w:type="pct"/>
                  <w:vMerge w:val="restart"/>
                  <w:noWrap w:val="0"/>
                  <w:vAlign w:val="center"/>
                </w:tcPr>
                <w:p w14:paraId="2BE006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监测</w:t>
                  </w:r>
                  <w:r>
                    <w:rPr>
                      <w:rFonts w:hint="default" w:ascii="Times New Roman" w:hAnsi="Times New Roman" w:eastAsia="宋体" w:cs="Times New Roman"/>
                      <w:b w:val="0"/>
                      <w:bCs w:val="0"/>
                      <w:color w:val="auto"/>
                      <w:sz w:val="18"/>
                      <w:szCs w:val="18"/>
                      <w:lang w:val="en-US" w:eastAsia="zh-CN"/>
                    </w:rPr>
                    <w:t>1</w:t>
                  </w:r>
                  <w:r>
                    <w:rPr>
                      <w:rFonts w:hint="default" w:ascii="Times New Roman" w:hAnsi="Times New Roman" w:eastAsia="宋体" w:cs="Times New Roman"/>
                      <w:b w:val="0"/>
                      <w:bCs w:val="0"/>
                      <w:color w:val="auto"/>
                      <w:sz w:val="18"/>
                      <w:szCs w:val="18"/>
                    </w:rPr>
                    <w:t>天，昼</w:t>
                  </w:r>
                  <w:r>
                    <w:rPr>
                      <w:rFonts w:hint="default" w:ascii="Times New Roman" w:hAnsi="Times New Roman" w:eastAsia="宋体" w:cs="Times New Roman"/>
                      <w:b w:val="0"/>
                      <w:bCs w:val="0"/>
                      <w:color w:val="auto"/>
                      <w:sz w:val="18"/>
                      <w:szCs w:val="18"/>
                      <w:lang w:eastAsia="zh-CN"/>
                    </w:rPr>
                    <w:t>、夜各</w:t>
                  </w:r>
                  <w:r>
                    <w:rPr>
                      <w:rFonts w:hint="default" w:ascii="Times New Roman" w:hAnsi="Times New Roman" w:eastAsia="宋体" w:cs="Times New Roman"/>
                      <w:b w:val="0"/>
                      <w:bCs w:val="0"/>
                      <w:color w:val="auto"/>
                      <w:sz w:val="18"/>
                      <w:szCs w:val="18"/>
                    </w:rPr>
                    <w:t>1次</w:t>
                  </w:r>
                </w:p>
              </w:tc>
              <w:tc>
                <w:tcPr>
                  <w:tcW w:w="1697" w:type="pct"/>
                  <w:vMerge w:val="restart"/>
                  <w:noWrap w:val="0"/>
                  <w:vAlign w:val="center"/>
                </w:tcPr>
                <w:p w14:paraId="4E8036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《声环境质量标准》（GB3096-2008）中</w:t>
                  </w:r>
                  <w:r>
                    <w:rPr>
                      <w:rFonts w:hint="eastAsia" w:cs="Times New Roman"/>
                      <w:b w:val="0"/>
                      <w:bCs w:val="0"/>
                      <w:color w:val="auto"/>
                      <w:sz w:val="18"/>
                      <w:szCs w:val="18"/>
                      <w:lang w:val="en-US" w:eastAsia="zh-CN"/>
                    </w:rPr>
                    <w:t>2</w:t>
                  </w:r>
                  <w:r>
                    <w:rPr>
                      <w:rFonts w:hint="default" w:ascii="Times New Roman" w:hAnsi="Times New Roman" w:eastAsia="宋体" w:cs="Times New Roman"/>
                      <w:b w:val="0"/>
                      <w:bCs w:val="0"/>
                      <w:color w:val="auto"/>
                      <w:sz w:val="18"/>
                      <w:szCs w:val="18"/>
                    </w:rPr>
                    <w:t>类标准</w:t>
                  </w:r>
                </w:p>
              </w:tc>
            </w:tr>
            <w:tr w14:paraId="53A2E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56" w:type="pct"/>
                  <w:noWrap w:val="0"/>
                  <w:vAlign w:val="center"/>
                </w:tcPr>
                <w:p w14:paraId="6DF367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金安玫瑰园</w:t>
                  </w:r>
                </w:p>
              </w:tc>
              <w:tc>
                <w:tcPr>
                  <w:tcW w:w="733" w:type="pct"/>
                  <w:noWrap w:val="0"/>
                  <w:vAlign w:val="center"/>
                </w:tcPr>
                <w:p w14:paraId="278FEE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lang w:eastAsia="zh-CN"/>
                    </w:rPr>
                  </w:pPr>
                  <w:r>
                    <w:rPr>
                      <w:rFonts w:hint="default" w:ascii="Times New Roman" w:hAnsi="Times New Roman" w:eastAsia="宋体" w:cs="Times New Roman"/>
                      <w:b w:val="0"/>
                      <w:bCs w:val="0"/>
                      <w:color w:val="auto"/>
                      <w:sz w:val="18"/>
                      <w:szCs w:val="18"/>
                    </w:rPr>
                    <w:t>N</w:t>
                  </w:r>
                  <w:r>
                    <w:rPr>
                      <w:rFonts w:hint="default" w:ascii="Times New Roman" w:hAnsi="Times New Roman" w:eastAsia="宋体" w:cs="Times New Roman"/>
                      <w:b w:val="0"/>
                      <w:bCs w:val="0"/>
                      <w:color w:val="auto"/>
                      <w:sz w:val="18"/>
                      <w:szCs w:val="18"/>
                      <w:lang w:val="en-US" w:eastAsia="zh-CN"/>
                    </w:rPr>
                    <w:t>2</w:t>
                  </w:r>
                </w:p>
              </w:tc>
              <w:tc>
                <w:tcPr>
                  <w:tcW w:w="740" w:type="pct"/>
                  <w:noWrap w:val="0"/>
                  <w:vAlign w:val="center"/>
                </w:tcPr>
                <w:p w14:paraId="721380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SE/</w:t>
                  </w:r>
                  <w:r>
                    <w:rPr>
                      <w:rFonts w:hint="eastAsia" w:cs="Times New Roman"/>
                      <w:b w:val="0"/>
                      <w:bCs w:val="0"/>
                      <w:color w:val="auto"/>
                      <w:sz w:val="18"/>
                      <w:szCs w:val="18"/>
                      <w:lang w:val="en-US" w:eastAsia="zh-CN"/>
                    </w:rPr>
                    <w:t>60</w:t>
                  </w:r>
                </w:p>
              </w:tc>
              <w:tc>
                <w:tcPr>
                  <w:tcW w:w="873" w:type="pct"/>
                  <w:vMerge w:val="continue"/>
                  <w:noWrap w:val="0"/>
                  <w:vAlign w:val="center"/>
                </w:tcPr>
                <w:p w14:paraId="34F746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rPr>
                  </w:pPr>
                </w:p>
              </w:tc>
              <w:tc>
                <w:tcPr>
                  <w:tcW w:w="1697" w:type="pct"/>
                  <w:vMerge w:val="continue"/>
                  <w:noWrap w:val="0"/>
                  <w:vAlign w:val="center"/>
                </w:tcPr>
                <w:p w14:paraId="11AE6F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rPr>
                  </w:pPr>
                </w:p>
              </w:tc>
            </w:tr>
          </w:tbl>
          <w:p w14:paraId="06F317DB">
            <w:pPr>
              <w:pStyle w:val="50"/>
              <w:keepNext w:val="0"/>
              <w:keepLines w:val="0"/>
              <w:suppressLineNumbers w:val="0"/>
              <w:spacing w:before="0" w:beforeAutospacing="0" w:after="0" w:afterAutospacing="0"/>
              <w:ind w:left="0" w:right="0" w:firstLine="420"/>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2）监测方法：</w:t>
            </w:r>
            <w:r>
              <w:rPr>
                <w:rFonts w:hint="eastAsia" w:cstheme="minorBidi"/>
                <w:color w:val="auto"/>
                <w:kern w:val="2"/>
                <w:sz w:val="24"/>
                <w:szCs w:val="24"/>
                <w:lang w:val="en-US" w:eastAsia="zh-CN" w:bidi="ar-SA"/>
              </w:rPr>
              <w:t>按照</w:t>
            </w:r>
            <w:r>
              <w:rPr>
                <w:rFonts w:hint="eastAsia" w:ascii="Times New Roman" w:hAnsi="Times New Roman" w:eastAsia="宋体" w:cstheme="minorBidi"/>
                <w:color w:val="auto"/>
                <w:kern w:val="2"/>
                <w:sz w:val="24"/>
                <w:szCs w:val="24"/>
                <w:lang w:val="en-US" w:eastAsia="zh-CN" w:bidi="ar-SA"/>
              </w:rPr>
              <w:t>《声环境质量标准》（GB3096-2008）执行。</w:t>
            </w:r>
          </w:p>
          <w:p w14:paraId="78C99665">
            <w:pPr>
              <w:pStyle w:val="50"/>
              <w:keepNext w:val="0"/>
              <w:keepLines w:val="0"/>
              <w:suppressLineNumbers w:val="0"/>
              <w:spacing w:before="0" w:beforeAutospacing="0" w:after="0" w:afterAutospacing="0"/>
              <w:ind w:left="0" w:right="0" w:firstLine="420"/>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cstheme="minorBidi"/>
                <w:color w:val="auto"/>
                <w:kern w:val="2"/>
                <w:sz w:val="24"/>
                <w:szCs w:val="24"/>
                <w:lang w:val="en-US" w:eastAsia="zh-CN" w:bidi="ar-SA"/>
              </w:rPr>
              <w:t>3</w:t>
            </w:r>
            <w:r>
              <w:rPr>
                <w:rFonts w:hint="eastAsia" w:ascii="Times New Roman" w:hAnsi="Times New Roman" w:eastAsia="宋体" w:cstheme="minorBidi"/>
                <w:color w:val="auto"/>
                <w:kern w:val="2"/>
                <w:sz w:val="24"/>
                <w:szCs w:val="24"/>
                <w:lang w:val="en-US" w:eastAsia="zh-CN" w:bidi="ar-SA"/>
              </w:rPr>
              <w:t>）监测结果：监测统计结果列于下表。</w:t>
            </w:r>
          </w:p>
          <w:p w14:paraId="2D4BE432">
            <w:pPr>
              <w:pStyle w:val="5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s="Times New Roman"/>
                <w:bCs/>
                <w:color w:val="auto"/>
              </w:rPr>
            </w:pPr>
            <w:r>
              <w:rPr>
                <w:rFonts w:hint="eastAsia" w:cs="Times New Roman"/>
                <w:bCs/>
                <w:color w:val="auto"/>
              </w:rPr>
              <w:t>表3.1-2环境噪声现状监测统计结果（单位：</w:t>
            </w:r>
            <w:r>
              <w:rPr>
                <w:rFonts w:hint="eastAsia"/>
                <w:bCs/>
                <w:color w:val="auto"/>
                <w:kern w:val="18"/>
                <w:szCs w:val="21"/>
              </w:rPr>
              <w:t>dB(A)</w:t>
            </w:r>
            <w:r>
              <w:rPr>
                <w:rFonts w:hint="eastAsia" w:cs="Times New Roman"/>
                <w:bCs/>
                <w:color w:val="auto"/>
              </w:rPr>
              <w:t>）</w:t>
            </w:r>
          </w:p>
          <w:tbl>
            <w:tblPr>
              <w:tblStyle w:val="24"/>
              <w:tblW w:w="49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657"/>
              <w:gridCol w:w="1555"/>
              <w:gridCol w:w="1502"/>
              <w:gridCol w:w="1044"/>
              <w:gridCol w:w="1040"/>
            </w:tblGrid>
            <w:tr w14:paraId="449C9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9" w:type="pct"/>
                  <w:gridSpan w:val="2"/>
                  <w:vMerge w:val="restart"/>
                  <w:tcBorders>
                    <w:tl2br w:val="nil"/>
                    <w:tr2bl w:val="nil"/>
                  </w:tcBorders>
                  <w:vAlign w:val="center"/>
                </w:tcPr>
                <w:p w14:paraId="4E6A78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kern w:val="18"/>
                      <w:sz w:val="18"/>
                      <w:szCs w:val="18"/>
                    </w:rPr>
                  </w:pPr>
                  <w:r>
                    <w:rPr>
                      <w:rFonts w:hint="eastAsia"/>
                      <w:b/>
                      <w:bCs/>
                      <w:color w:val="auto"/>
                      <w:kern w:val="18"/>
                      <w:sz w:val="18"/>
                      <w:szCs w:val="18"/>
                    </w:rPr>
                    <w:t>监测点</w:t>
                  </w:r>
                </w:p>
              </w:tc>
              <w:tc>
                <w:tcPr>
                  <w:tcW w:w="995" w:type="pct"/>
                  <w:vMerge w:val="restart"/>
                  <w:tcBorders>
                    <w:tl2br w:val="nil"/>
                    <w:tr2bl w:val="nil"/>
                  </w:tcBorders>
                  <w:vAlign w:val="center"/>
                </w:tcPr>
                <w:p w14:paraId="63EEBC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kern w:val="18"/>
                      <w:sz w:val="18"/>
                      <w:szCs w:val="18"/>
                    </w:rPr>
                  </w:pPr>
                  <w:r>
                    <w:rPr>
                      <w:rFonts w:hint="eastAsia"/>
                      <w:b/>
                      <w:bCs/>
                      <w:color w:val="auto"/>
                      <w:kern w:val="18"/>
                      <w:sz w:val="18"/>
                      <w:szCs w:val="18"/>
                    </w:rPr>
                    <w:t>202</w:t>
                  </w:r>
                  <w:r>
                    <w:rPr>
                      <w:rFonts w:hint="eastAsia"/>
                      <w:b/>
                      <w:bCs/>
                      <w:color w:val="auto"/>
                      <w:kern w:val="18"/>
                      <w:sz w:val="18"/>
                      <w:szCs w:val="18"/>
                      <w:lang w:val="en-US" w:eastAsia="zh-CN"/>
                    </w:rPr>
                    <w:t>5</w:t>
                  </w:r>
                  <w:r>
                    <w:rPr>
                      <w:rFonts w:hint="eastAsia"/>
                      <w:b/>
                      <w:bCs/>
                      <w:color w:val="auto"/>
                      <w:kern w:val="18"/>
                      <w:sz w:val="18"/>
                      <w:szCs w:val="18"/>
                    </w:rPr>
                    <w:t>.</w:t>
                  </w:r>
                  <w:r>
                    <w:rPr>
                      <w:rFonts w:hint="eastAsia"/>
                      <w:b/>
                      <w:bCs/>
                      <w:color w:val="auto"/>
                      <w:kern w:val="18"/>
                      <w:sz w:val="18"/>
                      <w:szCs w:val="18"/>
                      <w:lang w:val="en-US" w:eastAsia="zh-CN"/>
                    </w:rPr>
                    <w:t>1</w:t>
                  </w:r>
                  <w:r>
                    <w:rPr>
                      <w:rFonts w:hint="eastAsia"/>
                      <w:b/>
                      <w:bCs/>
                      <w:color w:val="auto"/>
                      <w:kern w:val="18"/>
                      <w:sz w:val="18"/>
                      <w:szCs w:val="18"/>
                    </w:rPr>
                    <w:t>.</w:t>
                  </w:r>
                  <w:r>
                    <w:rPr>
                      <w:rFonts w:hint="eastAsia"/>
                      <w:b/>
                      <w:bCs/>
                      <w:color w:val="auto"/>
                      <w:kern w:val="18"/>
                      <w:sz w:val="18"/>
                      <w:szCs w:val="18"/>
                      <w:lang w:val="en-US" w:eastAsia="zh-CN"/>
                    </w:rPr>
                    <w:t>13</w:t>
                  </w:r>
                  <w:r>
                    <w:rPr>
                      <w:rFonts w:hint="eastAsia"/>
                      <w:b/>
                      <w:bCs/>
                      <w:color w:val="auto"/>
                      <w:kern w:val="18"/>
                      <w:sz w:val="18"/>
                      <w:szCs w:val="18"/>
                    </w:rPr>
                    <w:t>昼间</w:t>
                  </w:r>
                </w:p>
              </w:tc>
              <w:tc>
                <w:tcPr>
                  <w:tcW w:w="961" w:type="pct"/>
                  <w:vMerge w:val="restart"/>
                  <w:tcBorders>
                    <w:tl2br w:val="nil"/>
                    <w:tr2bl w:val="nil"/>
                  </w:tcBorders>
                  <w:vAlign w:val="center"/>
                </w:tcPr>
                <w:p w14:paraId="6D9AE5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kern w:val="18"/>
                      <w:sz w:val="18"/>
                      <w:szCs w:val="18"/>
                    </w:rPr>
                  </w:pPr>
                  <w:r>
                    <w:rPr>
                      <w:rFonts w:hint="eastAsia"/>
                      <w:b/>
                      <w:bCs/>
                      <w:color w:val="auto"/>
                      <w:kern w:val="18"/>
                      <w:sz w:val="18"/>
                      <w:szCs w:val="18"/>
                    </w:rPr>
                    <w:t>202</w:t>
                  </w:r>
                  <w:r>
                    <w:rPr>
                      <w:rFonts w:hint="eastAsia"/>
                      <w:b/>
                      <w:bCs/>
                      <w:color w:val="auto"/>
                      <w:kern w:val="18"/>
                      <w:sz w:val="18"/>
                      <w:szCs w:val="18"/>
                      <w:lang w:val="en-US" w:eastAsia="zh-CN"/>
                    </w:rPr>
                    <w:t>5</w:t>
                  </w:r>
                  <w:r>
                    <w:rPr>
                      <w:rFonts w:hint="eastAsia"/>
                      <w:b/>
                      <w:bCs/>
                      <w:color w:val="auto"/>
                      <w:kern w:val="18"/>
                      <w:sz w:val="18"/>
                      <w:szCs w:val="18"/>
                    </w:rPr>
                    <w:t>.</w:t>
                  </w:r>
                  <w:r>
                    <w:rPr>
                      <w:rFonts w:hint="eastAsia"/>
                      <w:b/>
                      <w:bCs/>
                      <w:color w:val="auto"/>
                      <w:kern w:val="18"/>
                      <w:sz w:val="18"/>
                      <w:szCs w:val="18"/>
                      <w:lang w:val="en-US" w:eastAsia="zh-CN"/>
                    </w:rPr>
                    <w:t>1</w:t>
                  </w:r>
                  <w:r>
                    <w:rPr>
                      <w:rFonts w:hint="eastAsia"/>
                      <w:b/>
                      <w:bCs/>
                      <w:color w:val="auto"/>
                      <w:kern w:val="18"/>
                      <w:sz w:val="18"/>
                      <w:szCs w:val="18"/>
                    </w:rPr>
                    <w:t>.</w:t>
                  </w:r>
                  <w:r>
                    <w:rPr>
                      <w:rFonts w:hint="eastAsia"/>
                      <w:b/>
                      <w:bCs/>
                      <w:color w:val="auto"/>
                      <w:kern w:val="18"/>
                      <w:sz w:val="18"/>
                      <w:szCs w:val="18"/>
                      <w:lang w:val="en-US" w:eastAsia="zh-CN"/>
                    </w:rPr>
                    <w:t>13</w:t>
                  </w:r>
                  <w:r>
                    <w:rPr>
                      <w:rFonts w:hint="eastAsia"/>
                      <w:b/>
                      <w:bCs/>
                      <w:color w:val="auto"/>
                      <w:kern w:val="18"/>
                      <w:sz w:val="18"/>
                      <w:szCs w:val="18"/>
                    </w:rPr>
                    <w:t>夜间</w:t>
                  </w:r>
                </w:p>
              </w:tc>
              <w:tc>
                <w:tcPr>
                  <w:tcW w:w="668" w:type="pct"/>
                  <w:tcBorders>
                    <w:tl2br w:val="nil"/>
                    <w:tr2bl w:val="nil"/>
                  </w:tcBorders>
                  <w:vAlign w:val="center"/>
                </w:tcPr>
                <w:p w14:paraId="3562A9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kern w:val="18"/>
                      <w:sz w:val="18"/>
                      <w:szCs w:val="18"/>
                    </w:rPr>
                  </w:pPr>
                  <w:r>
                    <w:rPr>
                      <w:rFonts w:hint="eastAsia"/>
                      <w:b/>
                      <w:bCs/>
                      <w:color w:val="auto"/>
                      <w:kern w:val="18"/>
                      <w:sz w:val="18"/>
                      <w:szCs w:val="18"/>
                    </w:rPr>
                    <w:t>标准</w:t>
                  </w:r>
                </w:p>
              </w:tc>
              <w:tc>
                <w:tcPr>
                  <w:tcW w:w="665" w:type="pct"/>
                  <w:tcBorders>
                    <w:tl2br w:val="nil"/>
                    <w:tr2bl w:val="nil"/>
                  </w:tcBorders>
                  <w:vAlign w:val="center"/>
                </w:tcPr>
                <w:p w14:paraId="3B0C4F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kern w:val="18"/>
                      <w:sz w:val="18"/>
                      <w:szCs w:val="18"/>
                    </w:rPr>
                  </w:pPr>
                  <w:r>
                    <w:rPr>
                      <w:rFonts w:hint="eastAsia"/>
                      <w:b/>
                      <w:bCs/>
                      <w:color w:val="auto"/>
                      <w:kern w:val="18"/>
                      <w:sz w:val="18"/>
                      <w:szCs w:val="18"/>
                    </w:rPr>
                    <w:t>标准</w:t>
                  </w:r>
                </w:p>
              </w:tc>
            </w:tr>
            <w:tr w14:paraId="27BE9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709" w:type="pct"/>
                  <w:gridSpan w:val="2"/>
                  <w:vMerge w:val="continue"/>
                  <w:tcBorders>
                    <w:tl2br w:val="nil"/>
                    <w:tr2bl w:val="nil"/>
                  </w:tcBorders>
                  <w:vAlign w:val="center"/>
                </w:tcPr>
                <w:p w14:paraId="1CE567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kern w:val="18"/>
                      <w:sz w:val="18"/>
                      <w:szCs w:val="18"/>
                    </w:rPr>
                  </w:pPr>
                </w:p>
              </w:tc>
              <w:tc>
                <w:tcPr>
                  <w:tcW w:w="995" w:type="pct"/>
                  <w:vMerge w:val="continue"/>
                  <w:tcBorders>
                    <w:tl2br w:val="nil"/>
                    <w:tr2bl w:val="nil"/>
                  </w:tcBorders>
                  <w:vAlign w:val="center"/>
                </w:tcPr>
                <w:p w14:paraId="165FA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kern w:val="18"/>
                      <w:sz w:val="18"/>
                      <w:szCs w:val="18"/>
                    </w:rPr>
                  </w:pPr>
                </w:p>
              </w:tc>
              <w:tc>
                <w:tcPr>
                  <w:tcW w:w="961" w:type="pct"/>
                  <w:vMerge w:val="continue"/>
                  <w:tcBorders>
                    <w:tl2br w:val="nil"/>
                    <w:tr2bl w:val="nil"/>
                  </w:tcBorders>
                  <w:vAlign w:val="center"/>
                </w:tcPr>
                <w:p w14:paraId="637CC0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kern w:val="18"/>
                      <w:sz w:val="18"/>
                      <w:szCs w:val="18"/>
                    </w:rPr>
                  </w:pPr>
                </w:p>
              </w:tc>
              <w:tc>
                <w:tcPr>
                  <w:tcW w:w="668" w:type="pct"/>
                  <w:tcBorders>
                    <w:tl2br w:val="nil"/>
                    <w:tr2bl w:val="nil"/>
                  </w:tcBorders>
                  <w:vAlign w:val="center"/>
                </w:tcPr>
                <w:p w14:paraId="30D845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kern w:val="18"/>
                      <w:sz w:val="18"/>
                      <w:szCs w:val="18"/>
                      <w:lang w:eastAsia="zh-CN"/>
                    </w:rPr>
                  </w:pPr>
                  <w:r>
                    <w:rPr>
                      <w:rFonts w:hint="eastAsia"/>
                      <w:b/>
                      <w:bCs/>
                      <w:color w:val="auto"/>
                      <w:kern w:val="18"/>
                      <w:sz w:val="18"/>
                      <w:szCs w:val="18"/>
                      <w:lang w:eastAsia="zh-CN"/>
                    </w:rPr>
                    <w:t>昼间</w:t>
                  </w:r>
                </w:p>
              </w:tc>
              <w:tc>
                <w:tcPr>
                  <w:tcW w:w="665" w:type="pct"/>
                  <w:tcBorders>
                    <w:tl2br w:val="nil"/>
                    <w:tr2bl w:val="nil"/>
                  </w:tcBorders>
                  <w:vAlign w:val="center"/>
                </w:tcPr>
                <w:p w14:paraId="66A060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kern w:val="18"/>
                      <w:sz w:val="18"/>
                      <w:szCs w:val="18"/>
                      <w:lang w:eastAsia="zh-CN"/>
                    </w:rPr>
                  </w:pPr>
                  <w:r>
                    <w:rPr>
                      <w:rFonts w:hint="eastAsia"/>
                      <w:b/>
                      <w:bCs/>
                      <w:color w:val="auto"/>
                      <w:kern w:val="18"/>
                      <w:sz w:val="18"/>
                      <w:szCs w:val="18"/>
                      <w:lang w:eastAsia="zh-CN"/>
                    </w:rPr>
                    <w:t>夜间</w:t>
                  </w:r>
                </w:p>
              </w:tc>
            </w:tr>
            <w:tr w14:paraId="64561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1289" w:type="pct"/>
                  <w:tcBorders>
                    <w:tl2br w:val="nil"/>
                    <w:tr2bl w:val="nil"/>
                  </w:tcBorders>
                  <w:vAlign w:val="center"/>
                </w:tcPr>
                <w:p w14:paraId="17DAF3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18"/>
                      <w:sz w:val="18"/>
                      <w:szCs w:val="18"/>
                    </w:rPr>
                  </w:pPr>
                  <w:r>
                    <w:rPr>
                      <w:rFonts w:hint="default" w:ascii="Times New Roman" w:hAnsi="Times New Roman" w:eastAsia="宋体" w:cs="Times New Roman"/>
                      <w:b w:val="0"/>
                      <w:bCs w:val="0"/>
                      <w:color w:val="auto"/>
                      <w:sz w:val="18"/>
                      <w:szCs w:val="18"/>
                      <w:lang w:val="en-US" w:eastAsia="zh-CN"/>
                    </w:rPr>
                    <w:t>幸福家园</w:t>
                  </w:r>
                </w:p>
              </w:tc>
              <w:tc>
                <w:tcPr>
                  <w:tcW w:w="420" w:type="pct"/>
                  <w:tcBorders>
                    <w:tl2br w:val="nil"/>
                    <w:tr2bl w:val="nil"/>
                  </w:tcBorders>
                  <w:vAlign w:val="center"/>
                </w:tcPr>
                <w:p w14:paraId="766B75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18"/>
                      <w:sz w:val="18"/>
                      <w:szCs w:val="18"/>
                    </w:rPr>
                  </w:pPr>
                  <w:r>
                    <w:rPr>
                      <w:rFonts w:hint="eastAsia"/>
                      <w:color w:val="auto"/>
                      <w:kern w:val="18"/>
                      <w:sz w:val="18"/>
                      <w:szCs w:val="18"/>
                    </w:rPr>
                    <w:t>N1</w:t>
                  </w:r>
                </w:p>
              </w:tc>
              <w:tc>
                <w:tcPr>
                  <w:tcW w:w="995" w:type="pct"/>
                  <w:tcBorders>
                    <w:tl2br w:val="nil"/>
                    <w:tr2bl w:val="nil"/>
                  </w:tcBorders>
                  <w:vAlign w:val="center"/>
                </w:tcPr>
                <w:p w14:paraId="3F3984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kern w:val="18"/>
                      <w:sz w:val="18"/>
                      <w:szCs w:val="18"/>
                      <w:lang w:val="en-US" w:eastAsia="zh-CN"/>
                    </w:rPr>
                  </w:pPr>
                  <w:r>
                    <w:rPr>
                      <w:rFonts w:hint="eastAsia"/>
                      <w:color w:val="auto"/>
                      <w:kern w:val="18"/>
                      <w:sz w:val="18"/>
                      <w:szCs w:val="18"/>
                      <w:lang w:val="en-US" w:eastAsia="zh-CN"/>
                    </w:rPr>
                    <w:t>49.3</w:t>
                  </w:r>
                </w:p>
              </w:tc>
              <w:tc>
                <w:tcPr>
                  <w:tcW w:w="961" w:type="pct"/>
                  <w:tcBorders>
                    <w:tl2br w:val="nil"/>
                    <w:tr2bl w:val="nil"/>
                  </w:tcBorders>
                  <w:vAlign w:val="center"/>
                </w:tcPr>
                <w:p w14:paraId="7AF26E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kern w:val="18"/>
                      <w:sz w:val="18"/>
                      <w:szCs w:val="18"/>
                      <w:lang w:val="en-US" w:eastAsia="zh-CN"/>
                    </w:rPr>
                  </w:pPr>
                  <w:r>
                    <w:rPr>
                      <w:rFonts w:hint="eastAsia"/>
                      <w:color w:val="auto"/>
                      <w:kern w:val="18"/>
                      <w:sz w:val="18"/>
                      <w:szCs w:val="18"/>
                      <w:lang w:val="en-US" w:eastAsia="zh-CN"/>
                    </w:rPr>
                    <w:t>39.7</w:t>
                  </w:r>
                </w:p>
              </w:tc>
              <w:tc>
                <w:tcPr>
                  <w:tcW w:w="668" w:type="pct"/>
                  <w:vMerge w:val="restart"/>
                  <w:tcBorders>
                    <w:tl2br w:val="nil"/>
                    <w:tr2bl w:val="nil"/>
                  </w:tcBorders>
                  <w:vAlign w:val="center"/>
                </w:tcPr>
                <w:p w14:paraId="29A83B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kern w:val="18"/>
                      <w:sz w:val="18"/>
                      <w:szCs w:val="18"/>
                      <w:lang w:val="en-US" w:eastAsia="zh-CN"/>
                    </w:rPr>
                  </w:pPr>
                  <w:r>
                    <w:rPr>
                      <w:rFonts w:hint="eastAsia"/>
                      <w:color w:val="auto"/>
                      <w:kern w:val="18"/>
                      <w:sz w:val="18"/>
                      <w:szCs w:val="18"/>
                      <w:lang w:val="en-US" w:eastAsia="zh-CN"/>
                    </w:rPr>
                    <w:t>60</w:t>
                  </w:r>
                </w:p>
              </w:tc>
              <w:tc>
                <w:tcPr>
                  <w:tcW w:w="665" w:type="pct"/>
                  <w:vMerge w:val="restart"/>
                  <w:tcBorders>
                    <w:tl2br w:val="nil"/>
                    <w:tr2bl w:val="nil"/>
                  </w:tcBorders>
                  <w:vAlign w:val="center"/>
                </w:tcPr>
                <w:p w14:paraId="36FFA7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kern w:val="18"/>
                      <w:sz w:val="18"/>
                      <w:szCs w:val="18"/>
                      <w:lang w:val="en-US" w:eastAsia="zh-CN"/>
                    </w:rPr>
                  </w:pPr>
                  <w:r>
                    <w:rPr>
                      <w:rFonts w:hint="eastAsia"/>
                      <w:color w:val="auto"/>
                      <w:kern w:val="18"/>
                      <w:sz w:val="18"/>
                      <w:szCs w:val="18"/>
                      <w:lang w:val="en-US" w:eastAsia="zh-CN"/>
                    </w:rPr>
                    <w:t>50</w:t>
                  </w:r>
                </w:p>
              </w:tc>
            </w:tr>
            <w:tr w14:paraId="4AD94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1289" w:type="pct"/>
                  <w:tcBorders>
                    <w:tl2br w:val="nil"/>
                    <w:tr2bl w:val="nil"/>
                  </w:tcBorders>
                  <w:vAlign w:val="center"/>
                </w:tcPr>
                <w:p w14:paraId="47B909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18"/>
                      <w:sz w:val="18"/>
                      <w:szCs w:val="18"/>
                    </w:rPr>
                  </w:pPr>
                  <w:r>
                    <w:rPr>
                      <w:rFonts w:hint="default" w:ascii="Times New Roman" w:hAnsi="Times New Roman" w:eastAsia="宋体" w:cs="Times New Roman"/>
                      <w:b w:val="0"/>
                      <w:bCs w:val="0"/>
                      <w:color w:val="auto"/>
                      <w:sz w:val="18"/>
                      <w:szCs w:val="18"/>
                      <w:lang w:val="en-US" w:eastAsia="zh-CN"/>
                    </w:rPr>
                    <w:t>金安玫瑰园</w:t>
                  </w:r>
                </w:p>
              </w:tc>
              <w:tc>
                <w:tcPr>
                  <w:tcW w:w="420" w:type="pct"/>
                  <w:tcBorders>
                    <w:tl2br w:val="nil"/>
                    <w:tr2bl w:val="nil"/>
                  </w:tcBorders>
                  <w:vAlign w:val="center"/>
                </w:tcPr>
                <w:p w14:paraId="19CD55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18"/>
                      <w:sz w:val="18"/>
                      <w:szCs w:val="18"/>
                    </w:rPr>
                  </w:pPr>
                  <w:r>
                    <w:rPr>
                      <w:rFonts w:hint="eastAsia"/>
                      <w:color w:val="auto"/>
                      <w:kern w:val="18"/>
                      <w:sz w:val="18"/>
                      <w:szCs w:val="18"/>
                    </w:rPr>
                    <w:t>N2</w:t>
                  </w:r>
                </w:p>
              </w:tc>
              <w:tc>
                <w:tcPr>
                  <w:tcW w:w="995" w:type="pct"/>
                  <w:tcBorders>
                    <w:tl2br w:val="nil"/>
                    <w:tr2bl w:val="nil"/>
                  </w:tcBorders>
                  <w:vAlign w:val="center"/>
                </w:tcPr>
                <w:p w14:paraId="6D97C8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kern w:val="18"/>
                      <w:sz w:val="18"/>
                      <w:szCs w:val="18"/>
                      <w:lang w:val="en-US" w:eastAsia="zh-CN"/>
                    </w:rPr>
                  </w:pPr>
                  <w:r>
                    <w:rPr>
                      <w:rFonts w:hint="eastAsia"/>
                      <w:color w:val="auto"/>
                      <w:kern w:val="18"/>
                      <w:sz w:val="18"/>
                      <w:szCs w:val="18"/>
                      <w:lang w:val="en-US" w:eastAsia="zh-CN"/>
                    </w:rPr>
                    <w:t>49.6</w:t>
                  </w:r>
                </w:p>
              </w:tc>
              <w:tc>
                <w:tcPr>
                  <w:tcW w:w="961" w:type="pct"/>
                  <w:tcBorders>
                    <w:tl2br w:val="nil"/>
                    <w:tr2bl w:val="nil"/>
                  </w:tcBorders>
                  <w:vAlign w:val="center"/>
                </w:tcPr>
                <w:p w14:paraId="38B12D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kern w:val="18"/>
                      <w:sz w:val="18"/>
                      <w:szCs w:val="18"/>
                      <w:lang w:val="en-US" w:eastAsia="zh-CN"/>
                    </w:rPr>
                  </w:pPr>
                  <w:r>
                    <w:rPr>
                      <w:rFonts w:hint="eastAsia"/>
                      <w:color w:val="auto"/>
                      <w:kern w:val="18"/>
                      <w:sz w:val="18"/>
                      <w:szCs w:val="18"/>
                      <w:lang w:val="en-US" w:eastAsia="zh-CN"/>
                    </w:rPr>
                    <w:t>38.9</w:t>
                  </w:r>
                </w:p>
              </w:tc>
              <w:tc>
                <w:tcPr>
                  <w:tcW w:w="668" w:type="pct"/>
                  <w:vMerge w:val="continue"/>
                  <w:tcBorders>
                    <w:tl2br w:val="nil"/>
                    <w:tr2bl w:val="nil"/>
                  </w:tcBorders>
                  <w:vAlign w:val="center"/>
                </w:tcPr>
                <w:p w14:paraId="5FE304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18"/>
                      <w:sz w:val="18"/>
                      <w:szCs w:val="18"/>
                    </w:rPr>
                  </w:pPr>
                </w:p>
              </w:tc>
              <w:tc>
                <w:tcPr>
                  <w:tcW w:w="665" w:type="pct"/>
                  <w:vMerge w:val="continue"/>
                  <w:tcBorders>
                    <w:tl2br w:val="nil"/>
                    <w:tr2bl w:val="nil"/>
                  </w:tcBorders>
                  <w:vAlign w:val="center"/>
                </w:tcPr>
                <w:p w14:paraId="02F046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18"/>
                      <w:sz w:val="18"/>
                      <w:szCs w:val="18"/>
                    </w:rPr>
                  </w:pPr>
                </w:p>
              </w:tc>
            </w:tr>
          </w:tbl>
          <w:p w14:paraId="40087FC7">
            <w:pPr>
              <w:pStyle w:val="50"/>
              <w:keepNext w:val="0"/>
              <w:keepLines w:val="0"/>
              <w:suppressLineNumbers w:val="0"/>
              <w:spacing w:before="0" w:beforeAutospacing="0" w:after="0" w:afterAutospacing="0"/>
              <w:ind w:left="0" w:right="0" w:firstLine="420"/>
              <w:rPr>
                <w:rFonts w:hint="default" w:ascii="Times New Roman" w:hAnsi="Times New Roman" w:eastAsia="宋体" w:cstheme="minorBidi"/>
                <w:color w:val="auto"/>
                <w:kern w:val="2"/>
                <w:sz w:val="24"/>
                <w:szCs w:val="24"/>
                <w:lang w:val="en-US" w:eastAsia="zh-CN" w:bidi="ar-SA"/>
              </w:rPr>
            </w:pPr>
            <w:r>
              <w:rPr>
                <w:rFonts w:hint="eastAsia" w:ascii="Times New Roman" w:hAnsi="Times New Roman" w:eastAsia="宋体" w:cstheme="minorBidi"/>
                <w:color w:val="auto"/>
                <w:kern w:val="2"/>
                <w:sz w:val="24"/>
                <w:szCs w:val="24"/>
                <w:lang w:val="en-US" w:eastAsia="zh-CN" w:bidi="ar-SA"/>
              </w:rPr>
              <w:t>由上表的监测统计结果可知，</w:t>
            </w:r>
            <w:r>
              <w:rPr>
                <w:rFonts w:hint="eastAsia" w:ascii="Times New Roman" w:hAnsi="Times New Roman" w:cstheme="minorBidi"/>
                <w:color w:val="auto"/>
                <w:kern w:val="2"/>
                <w:sz w:val="24"/>
                <w:szCs w:val="24"/>
                <w:lang w:val="en-US" w:eastAsia="zh-CN" w:bidi="ar-SA"/>
              </w:rPr>
              <w:t>项目周边声</w:t>
            </w:r>
            <w:r>
              <w:rPr>
                <w:rFonts w:hint="eastAsia" w:ascii="Times New Roman" w:hAnsi="Times New Roman" w:eastAsia="宋体" w:cstheme="minorBidi"/>
                <w:color w:val="auto"/>
                <w:kern w:val="2"/>
                <w:sz w:val="24"/>
                <w:szCs w:val="24"/>
                <w:lang w:val="en-US" w:eastAsia="zh-CN" w:bidi="ar-SA"/>
              </w:rPr>
              <w:t>环境敏感监测点昼、夜间环境噪声值均符合《声环境质量标准》（GB3096-2008）</w:t>
            </w:r>
            <w:r>
              <w:rPr>
                <w:rFonts w:hint="eastAsia" w:cstheme="minorBidi"/>
                <w:color w:val="auto"/>
                <w:kern w:val="2"/>
                <w:sz w:val="24"/>
                <w:szCs w:val="24"/>
                <w:lang w:val="en-US" w:eastAsia="zh-CN" w:bidi="ar-SA"/>
              </w:rPr>
              <w:t>2</w:t>
            </w:r>
            <w:r>
              <w:rPr>
                <w:rFonts w:hint="eastAsia" w:ascii="Times New Roman" w:hAnsi="Times New Roman" w:eastAsia="宋体" w:cstheme="minorBidi"/>
                <w:color w:val="auto"/>
                <w:kern w:val="2"/>
                <w:sz w:val="24"/>
                <w:szCs w:val="24"/>
                <w:lang w:val="en-US" w:eastAsia="zh-CN" w:bidi="ar-SA"/>
              </w:rPr>
              <w:t>类标准的要求，表明区域环境质量现状良好。</w:t>
            </w:r>
            <w:r>
              <w:rPr>
                <w:rFonts w:hint="eastAsia" w:cstheme="minorBidi"/>
                <w:b/>
                <w:bCs/>
                <w:color w:val="auto"/>
                <w:kern w:val="2"/>
                <w:sz w:val="24"/>
                <w:szCs w:val="24"/>
                <w:lang w:val="en-US" w:eastAsia="zh-CN" w:bidi="ar-SA"/>
              </w:rPr>
              <w:t>噪声检测点位图见附图5。</w:t>
            </w:r>
          </w:p>
          <w:p w14:paraId="07462FC7">
            <w:pPr>
              <w:keepNext w:val="0"/>
              <w:keepLines w:val="0"/>
              <w:numPr>
                <w:ilvl w:val="0"/>
                <w:numId w:val="8"/>
              </w:numPr>
              <w:suppressLineNumbers w:val="0"/>
              <w:bidi w:val="0"/>
              <w:spacing w:before="0" w:beforeAutospacing="0" w:after="0" w:afterAutospacing="0"/>
              <w:ind w:left="0" w:leftChars="0" w:right="0" w:firstLine="482" w:firstLineChars="200"/>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地下水、土壤环境质量现状</w:t>
            </w:r>
          </w:p>
          <w:p w14:paraId="39E80AEF">
            <w:pPr>
              <w:keepNext w:val="0"/>
              <w:keepLines w:val="0"/>
              <w:suppressLineNumbers w:val="0"/>
              <w:spacing w:before="0" w:beforeAutospacing="0" w:after="0" w:afterAutospacing="0"/>
              <w:ind w:left="0" w:right="0" w:firstLine="480"/>
              <w:rPr>
                <w:rFonts w:hint="eastAsia"/>
                <w:color w:val="auto"/>
              </w:rPr>
            </w:pPr>
            <w:r>
              <w:rPr>
                <w:rFonts w:hint="eastAsia"/>
                <w:color w:val="auto"/>
                <w:lang w:val="en-US" w:eastAsia="zh-CN"/>
              </w:rPr>
              <w:t>建设项目</w:t>
            </w:r>
            <w:r>
              <w:rPr>
                <w:rFonts w:hint="eastAsia"/>
                <w:color w:val="auto"/>
                <w:lang w:eastAsia="zh-CN"/>
              </w:rPr>
              <w:t>实验室地面以及</w:t>
            </w:r>
            <w:r>
              <w:rPr>
                <w:rFonts w:hint="eastAsia"/>
                <w:color w:val="auto"/>
                <w:lang w:val="en-US" w:eastAsia="zh-CN"/>
              </w:rPr>
              <w:t>危废仓库</w:t>
            </w:r>
            <w:r>
              <w:rPr>
                <w:rFonts w:hint="eastAsia"/>
                <w:color w:val="auto"/>
              </w:rPr>
              <w:t>地面</w:t>
            </w:r>
            <w:r>
              <w:rPr>
                <w:rFonts w:hint="eastAsia"/>
                <w:color w:val="auto"/>
                <w:lang w:eastAsia="zh-CN"/>
              </w:rPr>
              <w:t>、</w:t>
            </w:r>
            <w:r>
              <w:rPr>
                <w:rFonts w:hint="eastAsia"/>
                <w:color w:val="auto"/>
                <w:lang w:val="en-US" w:eastAsia="zh-CN"/>
              </w:rPr>
              <w:t>污水处理构筑物拟</w:t>
            </w:r>
            <w:r>
              <w:rPr>
                <w:rFonts w:hint="eastAsia"/>
                <w:color w:val="auto"/>
              </w:rPr>
              <w:t>采取防腐防渗措施，基本不存在地下水、土壤污染途径，根据《建设项目环境影响报告表编制技术指南（污染影响类）》，</w:t>
            </w:r>
            <w:r>
              <w:rPr>
                <w:rFonts w:hint="eastAsia"/>
                <w:color w:val="auto"/>
                <w:lang w:val="en-US" w:eastAsia="zh-CN"/>
              </w:rPr>
              <w:t>建设项目</w:t>
            </w:r>
            <w:r>
              <w:rPr>
                <w:rFonts w:hint="eastAsia"/>
                <w:color w:val="auto"/>
              </w:rPr>
              <w:t>可不开展地下水、土壤环境质量现状调查。</w:t>
            </w:r>
          </w:p>
          <w:p w14:paraId="35A521AB">
            <w:pPr>
              <w:keepNext w:val="0"/>
              <w:keepLines w:val="0"/>
              <w:numPr>
                <w:ilvl w:val="0"/>
                <w:numId w:val="8"/>
              </w:numPr>
              <w:suppressLineNumbers w:val="0"/>
              <w:bidi w:val="0"/>
              <w:spacing w:before="0" w:beforeAutospacing="0" w:after="0" w:afterAutospacing="0"/>
              <w:ind w:left="0" w:leftChars="0" w:right="0" w:firstLine="482" w:firstLineChars="200"/>
              <w:rPr>
                <w:rFonts w:hint="default"/>
                <w:b/>
                <w:bCs/>
                <w:color w:val="auto"/>
                <w:lang w:val="en-US" w:eastAsia="zh-CN"/>
              </w:rPr>
            </w:pPr>
            <w:r>
              <w:rPr>
                <w:rFonts w:hint="eastAsia"/>
                <w:b/>
                <w:bCs/>
                <w:color w:val="auto"/>
                <w:lang w:val="en-US" w:eastAsia="zh-CN"/>
              </w:rPr>
              <w:t>生态环境质量现状</w:t>
            </w:r>
          </w:p>
          <w:p w14:paraId="2447CD18">
            <w:pPr>
              <w:keepNext w:val="0"/>
              <w:keepLines w:val="0"/>
              <w:suppressLineNumbers w:val="0"/>
              <w:bidi w:val="0"/>
              <w:spacing w:before="0" w:beforeAutospacing="0" w:after="0" w:afterAutospacing="0"/>
              <w:ind w:left="0" w:right="0"/>
              <w:rPr>
                <w:rFonts w:hint="default"/>
                <w:color w:val="auto"/>
                <w:lang w:val="en-US" w:eastAsia="zh-CN"/>
              </w:rPr>
            </w:pPr>
            <w:r>
              <w:rPr>
                <w:rFonts w:hint="eastAsia" w:cs="Times New Roman"/>
                <w:color w:val="auto"/>
                <w:kern w:val="0"/>
                <w:sz w:val="24"/>
                <w:lang w:val="en-US" w:eastAsia="zh-CN"/>
              </w:rPr>
              <w:t>建设项目</w:t>
            </w:r>
            <w:r>
              <w:rPr>
                <w:rFonts w:hint="default"/>
                <w:color w:val="auto"/>
              </w:rPr>
              <w:t>位于</w:t>
            </w:r>
            <w:r>
              <w:rPr>
                <w:rFonts w:hint="default"/>
                <w:color w:val="auto"/>
                <w:lang w:val="en-US" w:eastAsia="zh-CN"/>
              </w:rPr>
              <w:t>涟水县人民医院院内</w:t>
            </w:r>
            <w:r>
              <w:rPr>
                <w:rFonts w:hint="eastAsia"/>
                <w:color w:val="auto"/>
                <w:lang w:val="en-US" w:eastAsia="zh-CN"/>
              </w:rPr>
              <w:t>，项目不新增用地，项目</w:t>
            </w:r>
            <w:r>
              <w:rPr>
                <w:rFonts w:hint="eastAsia" w:cs="Times New Roman"/>
                <w:color w:val="auto"/>
                <w:kern w:val="0"/>
                <w:sz w:val="24"/>
                <w:lang w:val="en-US" w:eastAsia="zh-CN"/>
              </w:rPr>
              <w:t>用地范围内</w:t>
            </w:r>
            <w:r>
              <w:rPr>
                <w:rFonts w:hint="default" w:ascii="Times New Roman" w:hAnsi="Times New Roman" w:eastAsia="宋体" w:cs="Times New Roman"/>
                <w:color w:val="auto"/>
                <w:kern w:val="0"/>
                <w:sz w:val="24"/>
              </w:rPr>
              <w:t>不</w:t>
            </w:r>
            <w:r>
              <w:rPr>
                <w:rFonts w:hint="eastAsia" w:cs="Times New Roman"/>
                <w:color w:val="auto"/>
                <w:kern w:val="0"/>
                <w:sz w:val="24"/>
                <w:lang w:val="en-US" w:eastAsia="zh-CN"/>
              </w:rPr>
              <w:t>涉及</w:t>
            </w:r>
            <w:r>
              <w:rPr>
                <w:rFonts w:hint="default" w:ascii="Times New Roman" w:hAnsi="Times New Roman" w:eastAsia="宋体" w:cs="Times New Roman"/>
                <w:color w:val="auto"/>
                <w:kern w:val="0"/>
                <w:sz w:val="24"/>
              </w:rPr>
              <w:t>生态环境保护目标，故无需进行生态现状调查。</w:t>
            </w:r>
          </w:p>
          <w:p w14:paraId="62D0F5F6">
            <w:pPr>
              <w:keepNext w:val="0"/>
              <w:keepLines w:val="0"/>
              <w:numPr>
                <w:ilvl w:val="0"/>
                <w:numId w:val="8"/>
              </w:numPr>
              <w:suppressLineNumbers w:val="0"/>
              <w:bidi w:val="0"/>
              <w:spacing w:before="0" w:beforeAutospacing="0" w:after="0" w:afterAutospacing="0"/>
              <w:ind w:left="0" w:leftChars="0" w:right="0" w:firstLine="482" w:firstLineChars="200"/>
              <w:rPr>
                <w:rFonts w:hint="default"/>
                <w:b/>
                <w:bCs/>
                <w:color w:val="auto"/>
                <w:lang w:val="en-US" w:eastAsia="zh-CN"/>
              </w:rPr>
            </w:pPr>
            <w:r>
              <w:rPr>
                <w:rFonts w:hint="eastAsia"/>
                <w:b/>
                <w:bCs/>
                <w:color w:val="auto"/>
                <w:lang w:val="en-US" w:eastAsia="zh-CN"/>
              </w:rPr>
              <w:t>电磁辐射</w:t>
            </w:r>
          </w:p>
          <w:p w14:paraId="042C7D13">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r>
              <w:rPr>
                <w:rFonts w:hint="eastAsia"/>
                <w:color w:val="auto"/>
                <w:kern w:val="0"/>
                <w:sz w:val="24"/>
                <w:lang w:val="en-US" w:eastAsia="zh-CN"/>
              </w:rPr>
              <w:t>建设项目不涉及电磁辐射</w:t>
            </w:r>
            <w:r>
              <w:rPr>
                <w:rFonts w:hint="eastAsia"/>
                <w:color w:val="auto"/>
                <w:kern w:val="0"/>
                <w:sz w:val="24"/>
              </w:rPr>
              <w:t>。</w:t>
            </w:r>
          </w:p>
          <w:p w14:paraId="4853EAC0">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0B8CE59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7DB365FC">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20409184">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600CDB58">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10F885D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2075EA12">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4A6906C7">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0D5ABA4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6567AEC6">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659820C0">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610FFD7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1CDAD391">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72B2C97A">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5F6F9A0A">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115FB17E">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5222F0CD">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color w:val="auto"/>
                <w:kern w:val="0"/>
                <w:sz w:val="24"/>
              </w:rPr>
            </w:pPr>
          </w:p>
          <w:p w14:paraId="0DBF367F">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lang w:val="en-US" w:eastAsia="zh-CN"/>
              </w:rPr>
            </w:pPr>
          </w:p>
        </w:tc>
      </w:tr>
      <w:tr w14:paraId="54B5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3" w:hRule="atLeast"/>
        </w:trPr>
        <w:tc>
          <w:tcPr>
            <w:tcW w:w="460" w:type="dxa"/>
            <w:vAlign w:val="center"/>
          </w:tcPr>
          <w:p w14:paraId="2E6B0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b/>
                <w:bCs/>
                <w:color w:val="auto"/>
                <w:vertAlign w:val="baseline"/>
                <w:lang w:val="en-US" w:eastAsia="zh-CN"/>
              </w:rPr>
            </w:pPr>
            <w:r>
              <w:rPr>
                <w:rFonts w:hint="eastAsia"/>
                <w:b/>
                <w:bCs/>
                <w:color w:val="auto"/>
                <w:vertAlign w:val="baseline"/>
                <w:lang w:val="en-US" w:eastAsia="zh-CN"/>
              </w:rPr>
              <w:t>环境保护目标</w:t>
            </w:r>
          </w:p>
        </w:tc>
        <w:tc>
          <w:tcPr>
            <w:tcW w:w="8062" w:type="dxa"/>
          </w:tcPr>
          <w:p w14:paraId="274D2186">
            <w:pPr>
              <w:keepNext w:val="0"/>
              <w:keepLines w:val="0"/>
              <w:suppressLineNumbers w:val="0"/>
              <w:adjustRightInd w:val="0"/>
              <w:snapToGrid w:val="0"/>
              <w:spacing w:before="0" w:beforeLines="50" w:beforeAutospacing="0" w:after="0" w:afterAutospacing="0" w:line="360" w:lineRule="auto"/>
              <w:ind w:left="0" w:right="0" w:firstLine="480" w:firstLineChars="200"/>
              <w:jc w:val="left"/>
              <w:rPr>
                <w:rFonts w:hint="default" w:ascii="Times New Roman" w:hAnsi="Times New Roman" w:eastAsia="宋体" w:cs="Times New Roman"/>
                <w:color w:val="auto"/>
                <w:sz w:val="24"/>
              </w:rPr>
            </w:pPr>
            <w:r>
              <w:rPr>
                <w:rFonts w:hint="eastAsia" w:cs="Times New Roman"/>
                <w:color w:val="auto"/>
                <w:sz w:val="24"/>
                <w:lang w:val="en-US" w:eastAsia="zh-CN"/>
              </w:rPr>
              <w:t>建设项目位</w:t>
            </w:r>
            <w:r>
              <w:rPr>
                <w:rFonts w:hint="eastAsia" w:cs="Times New Roman"/>
                <w:color w:val="auto"/>
                <w:lang w:val="en-US" w:eastAsia="zh-CN"/>
              </w:rPr>
              <w:t>于涟水县人民医院院内东北角地块</w:t>
            </w:r>
            <w:r>
              <w:rPr>
                <w:rFonts w:hint="eastAsia" w:cs="Times New Roman"/>
                <w:color w:val="auto"/>
                <w:sz w:val="24"/>
                <w:lang w:val="en-US" w:eastAsia="zh-CN"/>
              </w:rPr>
              <w:t>，根据现场勘查，项目厂界东侧为幸福家园；北侧为医院空地；西侧为医院空地；南侧为医院楼房。项目</w:t>
            </w:r>
            <w:r>
              <w:rPr>
                <w:rFonts w:hint="default" w:ascii="Times New Roman" w:hAnsi="Times New Roman" w:eastAsia="宋体" w:cs="Times New Roman"/>
                <w:color w:val="auto"/>
                <w:sz w:val="24"/>
              </w:rPr>
              <w:t>地理位置见</w:t>
            </w:r>
            <w:r>
              <w:rPr>
                <w:rFonts w:hint="default" w:ascii="Times New Roman" w:hAnsi="Times New Roman" w:eastAsia="宋体" w:cs="Times New Roman"/>
                <w:b/>
                <w:color w:val="auto"/>
                <w:sz w:val="24"/>
              </w:rPr>
              <w:t>附图</w:t>
            </w:r>
            <w:r>
              <w:rPr>
                <w:rFonts w:hint="eastAsia" w:cs="Times New Roman"/>
                <w:b/>
                <w:color w:val="auto"/>
                <w:sz w:val="24"/>
                <w:lang w:val="en-US" w:eastAsia="zh-CN"/>
              </w:rPr>
              <w:t>6</w:t>
            </w:r>
            <w:r>
              <w:rPr>
                <w:rFonts w:hint="default" w:ascii="Times New Roman" w:hAnsi="Times New Roman" w:eastAsia="宋体" w:cs="Times New Roman"/>
                <w:color w:val="auto"/>
                <w:sz w:val="24"/>
              </w:rPr>
              <w:t>，周边500m范围内</w:t>
            </w:r>
            <w:r>
              <w:rPr>
                <w:rFonts w:hint="eastAsia" w:cs="Times New Roman"/>
                <w:color w:val="auto"/>
                <w:sz w:val="24"/>
                <w:lang w:eastAsia="zh-CN"/>
              </w:rPr>
              <w:t>环境保护目标分布图</w:t>
            </w:r>
            <w:r>
              <w:rPr>
                <w:rFonts w:hint="default" w:ascii="Times New Roman" w:hAnsi="Times New Roman" w:eastAsia="宋体" w:cs="Times New Roman"/>
                <w:color w:val="auto"/>
                <w:sz w:val="24"/>
              </w:rPr>
              <w:t>见</w:t>
            </w:r>
            <w:r>
              <w:rPr>
                <w:rFonts w:hint="default" w:ascii="Times New Roman" w:hAnsi="Times New Roman" w:eastAsia="宋体" w:cs="Times New Roman"/>
                <w:b/>
                <w:color w:val="auto"/>
                <w:sz w:val="24"/>
              </w:rPr>
              <w:t>附图</w:t>
            </w:r>
            <w:r>
              <w:rPr>
                <w:rFonts w:hint="eastAsia" w:cs="Times New Roman"/>
                <w:b/>
                <w:color w:val="auto"/>
                <w:sz w:val="24"/>
                <w:lang w:val="en-US" w:eastAsia="zh-CN"/>
              </w:rPr>
              <w:t>7</w:t>
            </w:r>
            <w:r>
              <w:rPr>
                <w:rFonts w:hint="default" w:ascii="Times New Roman" w:hAnsi="Times New Roman" w:eastAsia="宋体" w:cs="Times New Roman"/>
                <w:color w:val="auto"/>
                <w:sz w:val="24"/>
              </w:rPr>
              <w:t>。</w:t>
            </w:r>
          </w:p>
          <w:p w14:paraId="3CFF19CB">
            <w:pPr>
              <w:keepNext w:val="0"/>
              <w:keepLines w:val="0"/>
              <w:suppressLineNumbers w:val="0"/>
              <w:spacing w:before="0" w:beforeAutospacing="0" w:after="0" w:afterAutospacing="0"/>
              <w:ind w:left="0" w:right="0"/>
              <w:rPr>
                <w:rFonts w:hint="eastAsia" w:cs="Times New Roman"/>
                <w:color w:val="auto"/>
              </w:rPr>
            </w:pPr>
            <w:r>
              <w:rPr>
                <w:rFonts w:hint="eastAsia" w:cs="Times New Roman"/>
                <w:color w:val="auto"/>
              </w:rPr>
              <w:t>根据项目周边的情况，确定主要环境保护目标见表3.</w:t>
            </w:r>
            <w:r>
              <w:rPr>
                <w:rFonts w:hint="eastAsia" w:cs="Times New Roman"/>
                <w:color w:val="auto"/>
                <w:lang w:val="en-US" w:eastAsia="zh-CN"/>
              </w:rPr>
              <w:t>2</w:t>
            </w:r>
            <w:r>
              <w:rPr>
                <w:rFonts w:hint="eastAsia" w:cs="Times New Roman"/>
                <w:color w:val="auto"/>
              </w:rPr>
              <w:t>-</w:t>
            </w:r>
            <w:r>
              <w:rPr>
                <w:rFonts w:hint="eastAsia" w:cs="Times New Roman"/>
                <w:color w:val="auto"/>
                <w:lang w:val="en-US" w:eastAsia="zh-CN"/>
              </w:rPr>
              <w:t>1</w:t>
            </w:r>
            <w:r>
              <w:rPr>
                <w:rFonts w:hint="eastAsia" w:cs="Times New Roman"/>
                <w:color w:val="auto"/>
              </w:rPr>
              <w:t>。</w:t>
            </w:r>
          </w:p>
          <w:p w14:paraId="17B6F96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b/>
                <w:bCs/>
                <w:color w:val="auto"/>
                <w:lang w:val="en-US" w:eastAsia="zh-CN"/>
              </w:rPr>
            </w:pPr>
            <w:r>
              <w:rPr>
                <w:rFonts w:hint="eastAsia" w:ascii="Times New Roman" w:hAnsi="Times New Roman" w:cs="Times New Roman"/>
                <w:b/>
                <w:bCs/>
                <w:color w:val="auto"/>
              </w:rPr>
              <w:t>表3</w:t>
            </w:r>
            <w:r>
              <w:rPr>
                <w:rFonts w:hint="eastAsia" w:cs="Times New Roman"/>
                <w:b/>
                <w:bCs/>
                <w:color w:val="auto"/>
                <w:lang w:val="en-US" w:eastAsia="zh-CN"/>
              </w:rPr>
              <w:t>.2-1</w:t>
            </w:r>
            <w:r>
              <w:rPr>
                <w:rFonts w:hint="eastAsia" w:ascii="Times New Roman" w:hAnsi="Times New Roman" w:cs="Times New Roman"/>
                <w:b/>
                <w:bCs/>
                <w:color w:val="auto"/>
              </w:rPr>
              <w:t xml:space="preserve">  </w:t>
            </w:r>
            <w:r>
              <w:rPr>
                <w:rFonts w:hint="eastAsia" w:ascii="Times New Roman" w:hAnsi="Times New Roman" w:cs="Times New Roman"/>
                <w:b/>
                <w:bCs/>
                <w:color w:val="auto"/>
                <w:lang w:val="en-US" w:eastAsia="zh-CN"/>
              </w:rPr>
              <w:t>大气</w:t>
            </w:r>
            <w:r>
              <w:rPr>
                <w:rFonts w:hint="eastAsia" w:ascii="Times New Roman" w:hAnsi="Times New Roman" w:cs="Times New Roman"/>
                <w:b/>
                <w:bCs/>
                <w:color w:val="auto"/>
              </w:rPr>
              <w:t>环境保护目标</w:t>
            </w:r>
            <w:r>
              <w:rPr>
                <w:rFonts w:hint="eastAsia" w:ascii="Times New Roman" w:hAnsi="Times New Roman" w:cs="Times New Roman"/>
                <w:b/>
                <w:bCs/>
                <w:color w:val="auto"/>
                <w:lang w:val="en-US" w:eastAsia="zh-CN"/>
              </w:rPr>
              <w:t>一览表</w:t>
            </w:r>
          </w:p>
          <w:tbl>
            <w:tblPr>
              <w:tblStyle w:val="24"/>
              <w:tblW w:w="801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15" w:type="dxa"/>
                <w:left w:w="15" w:type="dxa"/>
                <w:bottom w:w="15" w:type="dxa"/>
                <w:right w:w="15" w:type="dxa"/>
              </w:tblCellMar>
            </w:tblPr>
            <w:tblGrid>
              <w:gridCol w:w="426"/>
              <w:gridCol w:w="901"/>
              <w:gridCol w:w="903"/>
              <w:gridCol w:w="541"/>
              <w:gridCol w:w="1144"/>
              <w:gridCol w:w="721"/>
              <w:gridCol w:w="727"/>
              <w:gridCol w:w="727"/>
              <w:gridCol w:w="694"/>
              <w:gridCol w:w="1233"/>
            </w:tblGrid>
            <w:tr w14:paraId="7A6B508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98" w:hRule="atLeast"/>
                <w:jc w:val="center"/>
              </w:trPr>
              <w:tc>
                <w:tcPr>
                  <w:tcW w:w="426" w:type="dxa"/>
                  <w:vMerge w:val="restart"/>
                  <w:tcBorders>
                    <w:top w:val="single" w:color="000000" w:sz="12" w:space="0"/>
                    <w:left w:val="nil"/>
                    <w:bottom w:val="single" w:color="000000" w:sz="2" w:space="0"/>
                    <w:right w:val="single" w:color="000000" w:sz="2" w:space="0"/>
                  </w:tcBorders>
                  <w:noWrap w:val="0"/>
                  <w:vAlign w:val="center"/>
                </w:tcPr>
                <w:p w14:paraId="3B1ADF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名称</w:t>
                  </w:r>
                </w:p>
              </w:tc>
              <w:tc>
                <w:tcPr>
                  <w:tcW w:w="1804" w:type="dxa"/>
                  <w:gridSpan w:val="2"/>
                  <w:tcBorders>
                    <w:top w:val="single" w:color="000000" w:sz="12" w:space="0"/>
                    <w:left w:val="single" w:color="000000" w:sz="2" w:space="0"/>
                    <w:bottom w:val="single" w:color="000000" w:sz="2" w:space="0"/>
                    <w:right w:val="single" w:color="000000" w:sz="2" w:space="0"/>
                  </w:tcBorders>
                  <w:noWrap w:val="0"/>
                  <w:vAlign w:val="center"/>
                </w:tcPr>
                <w:p w14:paraId="04D0CA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UTM坐标</w:t>
                  </w:r>
                </w:p>
              </w:tc>
              <w:tc>
                <w:tcPr>
                  <w:tcW w:w="541" w:type="dxa"/>
                  <w:vMerge w:val="restart"/>
                  <w:tcBorders>
                    <w:top w:val="single" w:color="000000" w:sz="12" w:space="0"/>
                    <w:left w:val="single" w:color="000000" w:sz="2" w:space="0"/>
                    <w:right w:val="single" w:color="000000" w:sz="2" w:space="0"/>
                  </w:tcBorders>
                  <w:noWrap w:val="0"/>
                  <w:vAlign w:val="center"/>
                </w:tcPr>
                <w:p w14:paraId="4014B0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bCs/>
                      <w:color w:val="auto"/>
                      <w:sz w:val="18"/>
                      <w:szCs w:val="18"/>
                      <w:lang w:eastAsia="zh-CN"/>
                    </w:rPr>
                  </w:pPr>
                  <w:r>
                    <w:rPr>
                      <w:rFonts w:hint="eastAsia" w:ascii="Times New Roman" w:hAnsi="Times New Roman" w:eastAsia="宋体" w:cs="Times New Roman"/>
                      <w:b/>
                      <w:bCs/>
                      <w:color w:val="auto"/>
                      <w:sz w:val="18"/>
                      <w:szCs w:val="18"/>
                      <w:lang w:eastAsia="zh-CN"/>
                    </w:rPr>
                    <w:t>序号</w:t>
                  </w:r>
                </w:p>
              </w:tc>
              <w:tc>
                <w:tcPr>
                  <w:tcW w:w="1144" w:type="dxa"/>
                  <w:vMerge w:val="restart"/>
                  <w:tcBorders>
                    <w:top w:val="single" w:color="000000" w:sz="12" w:space="0"/>
                    <w:left w:val="single" w:color="000000" w:sz="2" w:space="0"/>
                    <w:bottom w:val="single" w:color="000000" w:sz="2" w:space="0"/>
                    <w:right w:val="single" w:color="000000" w:sz="2" w:space="0"/>
                  </w:tcBorders>
                  <w:noWrap w:val="0"/>
                  <w:vAlign w:val="center"/>
                </w:tcPr>
                <w:p w14:paraId="26FEDF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保护对象</w:t>
                  </w:r>
                </w:p>
              </w:tc>
              <w:tc>
                <w:tcPr>
                  <w:tcW w:w="721" w:type="dxa"/>
                  <w:vMerge w:val="restart"/>
                  <w:tcBorders>
                    <w:top w:val="single" w:color="000000" w:sz="12" w:space="0"/>
                    <w:left w:val="single" w:color="000000" w:sz="2" w:space="0"/>
                    <w:bottom w:val="single" w:color="000000" w:sz="2" w:space="0"/>
                    <w:right w:val="single" w:color="000000" w:sz="2" w:space="0"/>
                  </w:tcBorders>
                  <w:noWrap w:val="0"/>
                  <w:vAlign w:val="center"/>
                </w:tcPr>
                <w:p w14:paraId="2D2F3A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保护</w:t>
                  </w:r>
                  <w:r>
                    <w:rPr>
                      <w:rFonts w:hint="default" w:ascii="Times New Roman" w:hAnsi="Times New Roman" w:eastAsia="宋体" w:cs="Times New Roman"/>
                      <w:b/>
                      <w:bCs/>
                      <w:color w:val="auto"/>
                      <w:sz w:val="18"/>
                      <w:szCs w:val="18"/>
                      <w:lang w:val="en-US" w:eastAsia="zh-CN"/>
                    </w:rPr>
                    <w:t>规模</w:t>
                  </w:r>
                </w:p>
              </w:tc>
              <w:tc>
                <w:tcPr>
                  <w:tcW w:w="727" w:type="dxa"/>
                  <w:vMerge w:val="restart"/>
                  <w:tcBorders>
                    <w:top w:val="single" w:color="000000" w:sz="12" w:space="0"/>
                    <w:left w:val="single" w:color="000000" w:sz="2" w:space="0"/>
                    <w:right w:val="single" w:color="000000" w:sz="2" w:space="0"/>
                  </w:tcBorders>
                  <w:noWrap w:val="0"/>
                  <w:vAlign w:val="center"/>
                </w:tcPr>
                <w:p w14:paraId="480591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bCs/>
                      <w:color w:val="auto"/>
                      <w:sz w:val="18"/>
                      <w:szCs w:val="18"/>
                      <w:lang w:eastAsia="zh-CN"/>
                    </w:rPr>
                  </w:pPr>
                  <w:r>
                    <w:rPr>
                      <w:rFonts w:hint="eastAsia" w:ascii="Times New Roman" w:hAnsi="Times New Roman" w:eastAsia="宋体" w:cs="Times New Roman"/>
                      <w:b/>
                      <w:bCs/>
                      <w:color w:val="auto"/>
                      <w:sz w:val="18"/>
                      <w:szCs w:val="18"/>
                      <w:lang w:eastAsia="zh-CN"/>
                    </w:rPr>
                    <w:t>保护内容</w:t>
                  </w:r>
                </w:p>
              </w:tc>
              <w:tc>
                <w:tcPr>
                  <w:tcW w:w="727" w:type="dxa"/>
                  <w:vMerge w:val="restart"/>
                  <w:tcBorders>
                    <w:top w:val="single" w:color="000000" w:sz="12" w:space="0"/>
                    <w:left w:val="single" w:color="000000" w:sz="2" w:space="0"/>
                    <w:bottom w:val="single" w:color="000000" w:sz="2" w:space="0"/>
                    <w:right w:val="single" w:color="000000" w:sz="2" w:space="0"/>
                  </w:tcBorders>
                  <w:noWrap w:val="0"/>
                  <w:vAlign w:val="center"/>
                </w:tcPr>
                <w:p w14:paraId="140022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环境功能区</w:t>
                  </w:r>
                </w:p>
              </w:tc>
              <w:tc>
                <w:tcPr>
                  <w:tcW w:w="694" w:type="dxa"/>
                  <w:vMerge w:val="restart"/>
                  <w:tcBorders>
                    <w:top w:val="single" w:color="000000" w:sz="12" w:space="0"/>
                    <w:left w:val="single" w:color="000000" w:sz="2" w:space="0"/>
                    <w:bottom w:val="single" w:color="000000" w:sz="2" w:space="0"/>
                    <w:right w:val="single" w:color="000000" w:sz="2" w:space="0"/>
                  </w:tcBorders>
                  <w:noWrap w:val="0"/>
                  <w:vAlign w:val="center"/>
                </w:tcPr>
                <w:p w14:paraId="535FFD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相对厂址</w:t>
                  </w:r>
                  <w:r>
                    <w:rPr>
                      <w:rFonts w:hint="default" w:ascii="Times New Roman" w:hAnsi="Times New Roman" w:eastAsia="宋体" w:cs="Times New Roman"/>
                      <w:b/>
                      <w:bCs/>
                      <w:color w:val="auto"/>
                      <w:sz w:val="18"/>
                      <w:szCs w:val="18"/>
                    </w:rPr>
                    <w:t>方位</w:t>
                  </w:r>
                </w:p>
              </w:tc>
              <w:tc>
                <w:tcPr>
                  <w:tcW w:w="1233" w:type="dxa"/>
                  <w:vMerge w:val="restart"/>
                  <w:tcBorders>
                    <w:top w:val="single" w:color="000000" w:sz="12" w:space="0"/>
                    <w:left w:val="single" w:color="000000" w:sz="2" w:space="0"/>
                    <w:bottom w:val="single" w:color="000000" w:sz="2" w:space="0"/>
                    <w:right w:val="nil"/>
                  </w:tcBorders>
                  <w:noWrap w:val="0"/>
                  <w:vAlign w:val="center"/>
                </w:tcPr>
                <w:p w14:paraId="4060DF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相对</w:t>
                  </w:r>
                  <w:r>
                    <w:rPr>
                      <w:rFonts w:hint="default" w:ascii="Times New Roman" w:hAnsi="Times New Roman" w:eastAsia="宋体" w:cs="Times New Roman"/>
                      <w:b/>
                      <w:bCs/>
                      <w:color w:val="auto"/>
                      <w:sz w:val="18"/>
                      <w:szCs w:val="18"/>
                    </w:rPr>
                    <w:t>厂界</w:t>
                  </w:r>
                  <w:r>
                    <w:rPr>
                      <w:rFonts w:hint="default" w:ascii="Times New Roman" w:hAnsi="Times New Roman" w:eastAsia="宋体" w:cs="Times New Roman"/>
                      <w:b/>
                      <w:bCs/>
                      <w:color w:val="auto"/>
                      <w:sz w:val="18"/>
                      <w:szCs w:val="18"/>
                      <w:lang w:val="en-US" w:eastAsia="zh-CN"/>
                    </w:rPr>
                    <w:t>距离</w:t>
                  </w:r>
                  <w:r>
                    <w:rPr>
                      <w:rFonts w:hint="default" w:ascii="Times New Roman" w:hAnsi="Times New Roman" w:eastAsia="宋体" w:cs="Times New Roman"/>
                      <w:b/>
                      <w:bCs/>
                      <w:color w:val="auto"/>
                      <w:sz w:val="18"/>
                      <w:szCs w:val="18"/>
                    </w:rPr>
                    <w:t>/m</w:t>
                  </w:r>
                </w:p>
              </w:tc>
            </w:tr>
            <w:tr w14:paraId="014CD9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274" w:hRule="atLeast"/>
                <w:jc w:val="center"/>
              </w:trPr>
              <w:tc>
                <w:tcPr>
                  <w:tcW w:w="426" w:type="dxa"/>
                  <w:vMerge w:val="continue"/>
                  <w:tcBorders>
                    <w:top w:val="single" w:color="000000" w:sz="2" w:space="0"/>
                    <w:left w:val="nil"/>
                    <w:bottom w:val="single" w:color="000000" w:sz="2" w:space="0"/>
                    <w:right w:val="single" w:color="000000" w:sz="2" w:space="0"/>
                  </w:tcBorders>
                  <w:noWrap w:val="0"/>
                  <w:vAlign w:val="center"/>
                </w:tcPr>
                <w:p w14:paraId="10456F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01933D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X</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524214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Y</w:t>
                  </w:r>
                </w:p>
              </w:tc>
              <w:tc>
                <w:tcPr>
                  <w:tcW w:w="541" w:type="dxa"/>
                  <w:vMerge w:val="continue"/>
                  <w:tcBorders>
                    <w:left w:val="single" w:color="000000" w:sz="2" w:space="0"/>
                    <w:bottom w:val="single" w:color="000000" w:sz="2" w:space="0"/>
                    <w:right w:val="single" w:color="000000" w:sz="2" w:space="0"/>
                  </w:tcBorders>
                  <w:noWrap w:val="0"/>
                  <w:vAlign w:val="center"/>
                </w:tcPr>
                <w:p w14:paraId="51DFB7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auto"/>
                      <w:sz w:val="18"/>
                      <w:szCs w:val="18"/>
                    </w:rPr>
                  </w:pPr>
                </w:p>
              </w:tc>
              <w:tc>
                <w:tcPr>
                  <w:tcW w:w="1144" w:type="dxa"/>
                  <w:vMerge w:val="continue"/>
                  <w:tcBorders>
                    <w:top w:val="single" w:color="000000" w:sz="2" w:space="0"/>
                    <w:left w:val="single" w:color="000000" w:sz="2" w:space="0"/>
                    <w:bottom w:val="single" w:color="000000" w:sz="2" w:space="0"/>
                    <w:right w:val="single" w:color="000000" w:sz="2" w:space="0"/>
                  </w:tcBorders>
                  <w:noWrap w:val="0"/>
                  <w:vAlign w:val="center"/>
                </w:tcPr>
                <w:p w14:paraId="32393D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721" w:type="dxa"/>
                  <w:vMerge w:val="continue"/>
                  <w:tcBorders>
                    <w:top w:val="single" w:color="000000" w:sz="2" w:space="0"/>
                    <w:left w:val="single" w:color="000000" w:sz="2" w:space="0"/>
                    <w:bottom w:val="single" w:color="000000" w:sz="2" w:space="0"/>
                    <w:right w:val="single" w:color="000000" w:sz="2" w:space="0"/>
                  </w:tcBorders>
                  <w:noWrap w:val="0"/>
                  <w:vAlign w:val="center"/>
                </w:tcPr>
                <w:p w14:paraId="49818C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727" w:type="dxa"/>
                  <w:vMerge w:val="continue"/>
                  <w:tcBorders>
                    <w:left w:val="single" w:color="000000" w:sz="2" w:space="0"/>
                    <w:bottom w:val="single" w:color="000000" w:sz="2" w:space="0"/>
                    <w:right w:val="single" w:color="000000" w:sz="2" w:space="0"/>
                  </w:tcBorders>
                  <w:noWrap w:val="0"/>
                  <w:vAlign w:val="center"/>
                </w:tcPr>
                <w:p w14:paraId="32B6FE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727" w:type="dxa"/>
                  <w:vMerge w:val="continue"/>
                  <w:tcBorders>
                    <w:top w:val="single" w:color="000000" w:sz="2" w:space="0"/>
                    <w:left w:val="single" w:color="000000" w:sz="2" w:space="0"/>
                    <w:bottom w:val="single" w:color="000000" w:sz="2" w:space="0"/>
                    <w:right w:val="single" w:color="000000" w:sz="2" w:space="0"/>
                  </w:tcBorders>
                  <w:noWrap w:val="0"/>
                  <w:vAlign w:val="center"/>
                </w:tcPr>
                <w:p w14:paraId="52EAD6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694" w:type="dxa"/>
                  <w:vMerge w:val="continue"/>
                  <w:tcBorders>
                    <w:top w:val="single" w:color="000000" w:sz="2" w:space="0"/>
                    <w:left w:val="single" w:color="000000" w:sz="2" w:space="0"/>
                    <w:bottom w:val="single" w:color="000000" w:sz="2" w:space="0"/>
                    <w:right w:val="single" w:color="000000" w:sz="2" w:space="0"/>
                  </w:tcBorders>
                  <w:noWrap w:val="0"/>
                  <w:vAlign w:val="center"/>
                </w:tcPr>
                <w:p w14:paraId="442848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1233" w:type="dxa"/>
                  <w:vMerge w:val="continue"/>
                  <w:tcBorders>
                    <w:top w:val="single" w:color="000000" w:sz="2" w:space="0"/>
                    <w:left w:val="single" w:color="000000" w:sz="2" w:space="0"/>
                    <w:bottom w:val="single" w:color="000000" w:sz="2" w:space="0"/>
                    <w:right w:val="nil"/>
                  </w:tcBorders>
                  <w:noWrap w:val="0"/>
                  <w:vAlign w:val="center"/>
                </w:tcPr>
                <w:p w14:paraId="1FB7BE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r>
            <w:tr w14:paraId="675E5C4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18" w:hRule="atLeast"/>
                <w:jc w:val="center"/>
              </w:trPr>
              <w:tc>
                <w:tcPr>
                  <w:tcW w:w="426" w:type="dxa"/>
                  <w:vMerge w:val="restart"/>
                  <w:tcBorders>
                    <w:top w:val="single" w:color="000000" w:sz="2" w:space="0"/>
                    <w:left w:val="nil"/>
                    <w:right w:val="single" w:color="000000" w:sz="2" w:space="0"/>
                  </w:tcBorders>
                  <w:noWrap w:val="0"/>
                  <w:vAlign w:val="center"/>
                </w:tcPr>
                <w:p w14:paraId="16F0D2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大气环境</w:t>
                  </w:r>
                  <w:r>
                    <w:rPr>
                      <w:rFonts w:hint="default" w:ascii="Times New Roman" w:hAnsi="Times New Roman" w:eastAsia="宋体" w:cs="Times New Roman"/>
                      <w:color w:val="auto"/>
                      <w:sz w:val="18"/>
                      <w:szCs w:val="18"/>
                      <w:lang w:val="en-US" w:eastAsia="zh-CN"/>
                    </w:rPr>
                    <w:t>保护目标</w:t>
                  </w: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7680256E">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119.302669</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734DDF3C">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33.788475</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7320A29E">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710464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幸福家园</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10FA34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r>
                    <w:rPr>
                      <w:rFonts w:hint="eastAsia" w:ascii="Times New Roman" w:hAnsi="Times New Roman" w:eastAsia="宋体" w:cs="Times New Roman"/>
                      <w:color w:val="auto"/>
                      <w:sz w:val="18"/>
                      <w:szCs w:val="18"/>
                      <w:lang w:val="en-US" w:eastAsia="zh-CN"/>
                    </w:rPr>
                    <w:t>0</w:t>
                  </w: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0C5D39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居民区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39C6A5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53CEC9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E</w:t>
                  </w:r>
                </w:p>
              </w:tc>
              <w:tc>
                <w:tcPr>
                  <w:tcW w:w="1233" w:type="dxa"/>
                  <w:tcBorders>
                    <w:top w:val="single" w:color="000000" w:sz="2" w:space="0"/>
                    <w:left w:val="single" w:color="000000" w:sz="2" w:space="0"/>
                    <w:right w:val="nil"/>
                  </w:tcBorders>
                  <w:noWrap w:val="0"/>
                  <w:vAlign w:val="center"/>
                </w:tcPr>
                <w:p w14:paraId="2DC786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r>
            <w:tr w14:paraId="2B3B608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01" w:hRule="atLeast"/>
                <w:jc w:val="center"/>
              </w:trPr>
              <w:tc>
                <w:tcPr>
                  <w:tcW w:w="426" w:type="dxa"/>
                  <w:vMerge w:val="continue"/>
                  <w:tcBorders>
                    <w:left w:val="nil"/>
                    <w:right w:val="single" w:color="000000" w:sz="2" w:space="0"/>
                  </w:tcBorders>
                  <w:noWrap w:val="0"/>
                  <w:vAlign w:val="center"/>
                </w:tcPr>
                <w:p w14:paraId="503790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1E7858B6">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119.302</w:t>
                  </w:r>
                  <w:r>
                    <w:rPr>
                      <w:rFonts w:hint="eastAsia" w:ascii="Times New Roman" w:hAnsi="Times New Roman" w:cs="Times New Roman"/>
                      <w:color w:val="auto"/>
                      <w:sz w:val="18"/>
                      <w:szCs w:val="18"/>
                      <w:lang w:val="en-US" w:eastAsia="zh-CN"/>
                    </w:rPr>
                    <w:t>363</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28705C39">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33.78</w:t>
                  </w:r>
                  <w:r>
                    <w:rPr>
                      <w:rFonts w:hint="eastAsia" w:ascii="Times New Roman" w:hAnsi="Times New Roman" w:cs="Times New Roman"/>
                      <w:color w:val="auto"/>
                      <w:sz w:val="18"/>
                      <w:szCs w:val="18"/>
                      <w:lang w:val="en-US" w:eastAsia="zh-CN"/>
                    </w:rPr>
                    <w:t>7965</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75990D33">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0EB01B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金安玫瑰园</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27DA7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lang w:val="en-US" w:eastAsia="zh-CN"/>
                    </w:rPr>
                    <w:t>50人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4CB86B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居民区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5688C9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1987EE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w:t>
                  </w:r>
                  <w:r>
                    <w:rPr>
                      <w:rFonts w:hint="eastAsia" w:cs="Times New Roman"/>
                      <w:color w:val="auto"/>
                      <w:sz w:val="18"/>
                      <w:szCs w:val="18"/>
                      <w:lang w:val="en-US" w:eastAsia="zh-CN"/>
                    </w:rPr>
                    <w:t>E</w:t>
                  </w:r>
                </w:p>
              </w:tc>
              <w:tc>
                <w:tcPr>
                  <w:tcW w:w="1233" w:type="dxa"/>
                  <w:tcBorders>
                    <w:left w:val="single" w:color="000000" w:sz="2" w:space="0"/>
                    <w:right w:val="nil"/>
                  </w:tcBorders>
                  <w:noWrap w:val="0"/>
                  <w:vAlign w:val="center"/>
                </w:tcPr>
                <w:p w14:paraId="58F1FE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w:t>
                  </w:r>
                  <w:r>
                    <w:rPr>
                      <w:rFonts w:hint="eastAsia" w:ascii="Times New Roman" w:hAnsi="Times New Roman" w:eastAsia="宋体" w:cs="Times New Roman"/>
                      <w:color w:val="auto"/>
                      <w:sz w:val="18"/>
                      <w:szCs w:val="18"/>
                      <w:lang w:val="en-US" w:eastAsia="zh-CN"/>
                    </w:rPr>
                    <w:t>0</w:t>
                  </w:r>
                </w:p>
              </w:tc>
            </w:tr>
            <w:tr w14:paraId="2731B5B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279" w:hRule="atLeast"/>
                <w:jc w:val="center"/>
              </w:trPr>
              <w:tc>
                <w:tcPr>
                  <w:tcW w:w="426" w:type="dxa"/>
                  <w:vMerge w:val="continue"/>
                  <w:tcBorders>
                    <w:left w:val="nil"/>
                    <w:right w:val="single" w:color="000000" w:sz="2" w:space="0"/>
                  </w:tcBorders>
                  <w:noWrap w:val="0"/>
                  <w:vAlign w:val="center"/>
                </w:tcPr>
                <w:p w14:paraId="79E7A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0FB66E65">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119.302</w:t>
                  </w:r>
                  <w:r>
                    <w:rPr>
                      <w:rFonts w:hint="eastAsia" w:ascii="Times New Roman" w:hAnsi="Times New Roman" w:cs="Times New Roman"/>
                      <w:color w:val="auto"/>
                      <w:sz w:val="18"/>
                      <w:szCs w:val="18"/>
                      <w:lang w:val="en-US" w:eastAsia="zh-CN"/>
                    </w:rPr>
                    <w:t>452</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07B0E5E6">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33.788</w:t>
                  </w:r>
                  <w:r>
                    <w:rPr>
                      <w:rFonts w:hint="eastAsia" w:ascii="Times New Roman" w:hAnsi="Times New Roman" w:cs="Times New Roman"/>
                      <w:color w:val="auto"/>
                      <w:sz w:val="18"/>
                      <w:szCs w:val="18"/>
                      <w:lang w:val="en-US" w:eastAsia="zh-CN"/>
                    </w:rPr>
                    <w:t>633</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19E83E14">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0D4D2F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康源名都</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5CA166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w:t>
                  </w:r>
                  <w:r>
                    <w:rPr>
                      <w:rFonts w:hint="default" w:ascii="Times New Roman" w:hAnsi="Times New Roman" w:eastAsia="宋体" w:cs="Times New Roman"/>
                      <w:color w:val="auto"/>
                      <w:sz w:val="18"/>
                      <w:szCs w:val="18"/>
                      <w:lang w:val="en-US" w:eastAsia="zh-CN"/>
                    </w:rPr>
                    <w:t>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2E5368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居民区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4F8023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1CC146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E</w:t>
                  </w:r>
                </w:p>
              </w:tc>
              <w:tc>
                <w:tcPr>
                  <w:tcW w:w="1233" w:type="dxa"/>
                  <w:tcBorders>
                    <w:left w:val="single" w:color="000000" w:sz="2" w:space="0"/>
                    <w:right w:val="nil"/>
                  </w:tcBorders>
                  <w:noWrap w:val="0"/>
                  <w:vAlign w:val="center"/>
                </w:tcPr>
                <w:p w14:paraId="64C58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260</w:t>
                  </w:r>
                </w:p>
              </w:tc>
            </w:tr>
            <w:tr w14:paraId="383C959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276" w:hRule="atLeast"/>
                <w:jc w:val="center"/>
              </w:trPr>
              <w:tc>
                <w:tcPr>
                  <w:tcW w:w="426" w:type="dxa"/>
                  <w:vMerge w:val="continue"/>
                  <w:tcBorders>
                    <w:left w:val="nil"/>
                    <w:right w:val="single" w:color="000000" w:sz="2" w:space="0"/>
                  </w:tcBorders>
                  <w:noWrap w:val="0"/>
                  <w:vAlign w:val="center"/>
                </w:tcPr>
                <w:p w14:paraId="25447A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493CFC5B">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119.30</w:t>
                  </w:r>
                  <w:r>
                    <w:rPr>
                      <w:rFonts w:hint="eastAsia" w:ascii="Times New Roman" w:hAnsi="Times New Roman" w:cs="Times New Roman"/>
                      <w:color w:val="auto"/>
                      <w:sz w:val="18"/>
                      <w:szCs w:val="18"/>
                      <w:lang w:val="en-US" w:eastAsia="zh-CN"/>
                    </w:rPr>
                    <w:t>4052</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6E967644">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33.78</w:t>
                  </w:r>
                  <w:r>
                    <w:rPr>
                      <w:rFonts w:hint="eastAsia" w:ascii="Times New Roman" w:hAnsi="Times New Roman" w:cs="Times New Roman"/>
                      <w:color w:val="auto"/>
                      <w:sz w:val="18"/>
                      <w:szCs w:val="18"/>
                      <w:lang w:val="en-US" w:eastAsia="zh-CN"/>
                    </w:rPr>
                    <w:t>5384</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560DB671">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45AEAA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水木华都</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77269A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80人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28F575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居民区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5762AB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544C33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SE</w:t>
                  </w:r>
                </w:p>
              </w:tc>
              <w:tc>
                <w:tcPr>
                  <w:tcW w:w="1233" w:type="dxa"/>
                  <w:tcBorders>
                    <w:left w:val="single" w:color="000000" w:sz="2" w:space="0"/>
                    <w:right w:val="nil"/>
                  </w:tcBorders>
                  <w:noWrap w:val="0"/>
                  <w:vAlign w:val="center"/>
                </w:tcPr>
                <w:p w14:paraId="4F514D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360</w:t>
                  </w:r>
                </w:p>
              </w:tc>
            </w:tr>
            <w:tr w14:paraId="596FCC1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295" w:hRule="atLeast"/>
                <w:jc w:val="center"/>
              </w:trPr>
              <w:tc>
                <w:tcPr>
                  <w:tcW w:w="426" w:type="dxa"/>
                  <w:vMerge w:val="continue"/>
                  <w:tcBorders>
                    <w:left w:val="nil"/>
                    <w:right w:val="single" w:color="000000" w:sz="2" w:space="0"/>
                  </w:tcBorders>
                  <w:noWrap w:val="0"/>
                  <w:vAlign w:val="center"/>
                </w:tcPr>
                <w:p w14:paraId="001BEB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037BCF8A">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119.30</w:t>
                  </w:r>
                  <w:r>
                    <w:rPr>
                      <w:rFonts w:hint="eastAsia" w:ascii="Times New Roman" w:hAnsi="Times New Roman" w:cs="Times New Roman"/>
                      <w:color w:val="auto"/>
                      <w:sz w:val="18"/>
                      <w:szCs w:val="18"/>
                      <w:lang w:val="en-US" w:eastAsia="zh-CN"/>
                    </w:rPr>
                    <w:t>1753</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0CFB7727">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33.78</w:t>
                  </w:r>
                  <w:r>
                    <w:rPr>
                      <w:rFonts w:hint="eastAsia" w:ascii="Times New Roman" w:hAnsi="Times New Roman" w:cs="Times New Roman"/>
                      <w:color w:val="auto"/>
                      <w:sz w:val="18"/>
                      <w:szCs w:val="18"/>
                      <w:lang w:val="en-US" w:eastAsia="zh-CN"/>
                    </w:rPr>
                    <w:t>3864</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3E03A249">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371EE1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红日华府</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52404F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r>
                    <w:rPr>
                      <w:rFonts w:hint="default" w:ascii="Times New Roman" w:hAnsi="Times New Roman" w:eastAsia="宋体" w:cs="Times New Roman"/>
                      <w:color w:val="auto"/>
                      <w:sz w:val="18"/>
                      <w:szCs w:val="18"/>
                      <w:lang w:val="en-US" w:eastAsia="zh-CN"/>
                    </w:rPr>
                    <w:t>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225A03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居民区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38B49A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544294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w:t>
                  </w:r>
                </w:p>
              </w:tc>
              <w:tc>
                <w:tcPr>
                  <w:tcW w:w="1233" w:type="dxa"/>
                  <w:tcBorders>
                    <w:left w:val="single" w:color="000000" w:sz="2" w:space="0"/>
                    <w:right w:val="nil"/>
                  </w:tcBorders>
                  <w:noWrap w:val="0"/>
                  <w:vAlign w:val="center"/>
                </w:tcPr>
                <w:p w14:paraId="48B052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450</w:t>
                  </w:r>
                </w:p>
              </w:tc>
            </w:tr>
            <w:tr w14:paraId="672DDFD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299" w:hRule="atLeast"/>
                <w:jc w:val="center"/>
              </w:trPr>
              <w:tc>
                <w:tcPr>
                  <w:tcW w:w="426" w:type="dxa"/>
                  <w:vMerge w:val="continue"/>
                  <w:tcBorders>
                    <w:left w:val="nil"/>
                    <w:right w:val="single" w:color="000000" w:sz="2" w:space="0"/>
                  </w:tcBorders>
                  <w:noWrap w:val="0"/>
                  <w:vAlign w:val="center"/>
                </w:tcPr>
                <w:p w14:paraId="4CEFD9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36A6046D">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119.</w:t>
                  </w:r>
                  <w:r>
                    <w:rPr>
                      <w:rFonts w:hint="eastAsia" w:ascii="Times New Roman" w:hAnsi="Times New Roman" w:cs="Times New Roman"/>
                      <w:color w:val="auto"/>
                      <w:sz w:val="18"/>
                      <w:szCs w:val="18"/>
                      <w:lang w:val="en-US" w:eastAsia="zh-CN"/>
                    </w:rPr>
                    <w:t>298912</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0E8436D9">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33.78</w:t>
                  </w:r>
                  <w:r>
                    <w:rPr>
                      <w:rFonts w:hint="eastAsia" w:ascii="Times New Roman" w:hAnsi="Times New Roman" w:cs="Times New Roman"/>
                      <w:color w:val="auto"/>
                      <w:sz w:val="18"/>
                      <w:szCs w:val="18"/>
                      <w:lang w:val="en-US" w:eastAsia="zh-CN"/>
                    </w:rPr>
                    <w:t>4566</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4FF1118A">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3A5D06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东方红府北区</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19F06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150</w:t>
                  </w:r>
                  <w:r>
                    <w:rPr>
                      <w:rFonts w:hint="default" w:ascii="Times New Roman" w:hAnsi="Times New Roman" w:eastAsia="宋体" w:cs="Times New Roman"/>
                      <w:color w:val="auto"/>
                      <w:sz w:val="18"/>
                      <w:szCs w:val="18"/>
                      <w:lang w:val="en-US" w:eastAsia="zh-CN"/>
                    </w:rPr>
                    <w:t>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3C050F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居民区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30FE58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13F44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w:t>
                  </w:r>
                </w:p>
              </w:tc>
              <w:tc>
                <w:tcPr>
                  <w:tcW w:w="1233" w:type="dxa"/>
                  <w:tcBorders>
                    <w:left w:val="single" w:color="000000" w:sz="2" w:space="0"/>
                    <w:right w:val="nil"/>
                  </w:tcBorders>
                  <w:noWrap w:val="0"/>
                  <w:vAlign w:val="center"/>
                </w:tcPr>
                <w:p w14:paraId="16034A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460</w:t>
                  </w:r>
                </w:p>
              </w:tc>
            </w:tr>
            <w:tr w14:paraId="2E17271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295" w:hRule="atLeast"/>
                <w:jc w:val="center"/>
              </w:trPr>
              <w:tc>
                <w:tcPr>
                  <w:tcW w:w="426" w:type="dxa"/>
                  <w:vMerge w:val="continue"/>
                  <w:tcBorders>
                    <w:left w:val="nil"/>
                    <w:right w:val="single" w:color="000000" w:sz="2" w:space="0"/>
                  </w:tcBorders>
                  <w:noWrap w:val="0"/>
                  <w:vAlign w:val="center"/>
                </w:tcPr>
                <w:p w14:paraId="5ABD4B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4D157281">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119.</w:t>
                  </w:r>
                  <w:r>
                    <w:rPr>
                      <w:rFonts w:hint="eastAsia" w:ascii="Times New Roman" w:hAnsi="Times New Roman" w:cs="Times New Roman"/>
                      <w:color w:val="auto"/>
                      <w:sz w:val="18"/>
                      <w:szCs w:val="18"/>
                      <w:lang w:val="en-US" w:eastAsia="zh-CN"/>
                    </w:rPr>
                    <w:t>296871</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2A73DA87">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33.78</w:t>
                  </w:r>
                  <w:r>
                    <w:rPr>
                      <w:rFonts w:hint="eastAsia" w:ascii="Times New Roman" w:hAnsi="Times New Roman" w:cs="Times New Roman"/>
                      <w:color w:val="auto"/>
                      <w:sz w:val="18"/>
                      <w:szCs w:val="18"/>
                      <w:lang w:val="en-US" w:eastAsia="zh-CN"/>
                    </w:rPr>
                    <w:t>6432</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18CF7E10">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37B821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龙源国际北区</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2660F3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20人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483AD8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居民区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5CEA74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685DA6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SW</w:t>
                  </w:r>
                </w:p>
              </w:tc>
              <w:tc>
                <w:tcPr>
                  <w:tcW w:w="1233" w:type="dxa"/>
                  <w:tcBorders>
                    <w:left w:val="single" w:color="000000" w:sz="2" w:space="0"/>
                    <w:right w:val="nil"/>
                  </w:tcBorders>
                  <w:noWrap w:val="0"/>
                  <w:vAlign w:val="center"/>
                </w:tcPr>
                <w:p w14:paraId="547581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450</w:t>
                  </w:r>
                </w:p>
              </w:tc>
            </w:tr>
            <w:tr w14:paraId="7758197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08" w:hRule="atLeast"/>
                <w:jc w:val="center"/>
              </w:trPr>
              <w:tc>
                <w:tcPr>
                  <w:tcW w:w="426" w:type="dxa"/>
                  <w:vMerge w:val="continue"/>
                  <w:tcBorders>
                    <w:left w:val="nil"/>
                    <w:right w:val="single" w:color="000000" w:sz="2" w:space="0"/>
                  </w:tcBorders>
                  <w:noWrap w:val="0"/>
                  <w:vAlign w:val="center"/>
                </w:tcPr>
                <w:p w14:paraId="413844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0E4787E6">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119.</w:t>
                  </w:r>
                  <w:r>
                    <w:rPr>
                      <w:rFonts w:hint="eastAsia" w:ascii="Times New Roman" w:hAnsi="Times New Roman" w:cs="Times New Roman"/>
                      <w:color w:val="auto"/>
                      <w:sz w:val="18"/>
                      <w:szCs w:val="18"/>
                      <w:lang w:val="en-US" w:eastAsia="zh-CN"/>
                    </w:rPr>
                    <w:t>298426</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10504639">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33.78</w:t>
                  </w:r>
                  <w:r>
                    <w:rPr>
                      <w:rFonts w:hint="eastAsia" w:ascii="Times New Roman" w:hAnsi="Times New Roman" w:cs="Times New Roman"/>
                      <w:color w:val="auto"/>
                      <w:sz w:val="18"/>
                      <w:szCs w:val="18"/>
                      <w:lang w:val="en-US" w:eastAsia="zh-CN"/>
                    </w:rPr>
                    <w:t>93</w:t>
                  </w:r>
                  <w:r>
                    <w:rPr>
                      <w:rFonts w:hint="eastAsia" w:ascii="Times New Roman" w:hAnsi="Times New Roman" w:eastAsia="宋体" w:cs="Times New Roman"/>
                      <w:color w:val="auto"/>
                      <w:sz w:val="18"/>
                      <w:szCs w:val="18"/>
                      <w:lang w:val="en-US" w:eastAsia="zh-CN"/>
                    </w:rPr>
                    <w:t>75</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0882C5A6">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64BB65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金碧华府</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675E6B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4956A6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居民区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67D94F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69724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w:t>
                  </w:r>
                </w:p>
              </w:tc>
              <w:tc>
                <w:tcPr>
                  <w:tcW w:w="1233" w:type="dxa"/>
                  <w:tcBorders>
                    <w:left w:val="single" w:color="000000" w:sz="2" w:space="0"/>
                    <w:right w:val="nil"/>
                  </w:tcBorders>
                  <w:noWrap w:val="0"/>
                  <w:vAlign w:val="center"/>
                </w:tcPr>
                <w:p w14:paraId="072441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250</w:t>
                  </w:r>
                </w:p>
              </w:tc>
            </w:tr>
            <w:tr w14:paraId="4DBB26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20" w:hRule="atLeast"/>
                <w:jc w:val="center"/>
              </w:trPr>
              <w:tc>
                <w:tcPr>
                  <w:tcW w:w="426" w:type="dxa"/>
                  <w:vMerge w:val="continue"/>
                  <w:tcBorders>
                    <w:left w:val="nil"/>
                    <w:right w:val="single" w:color="000000" w:sz="2" w:space="0"/>
                  </w:tcBorders>
                  <w:noWrap w:val="0"/>
                  <w:vAlign w:val="center"/>
                </w:tcPr>
                <w:p w14:paraId="07598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452F8ADA">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119.</w:t>
                  </w:r>
                  <w:r>
                    <w:rPr>
                      <w:rFonts w:hint="eastAsia" w:ascii="Times New Roman" w:hAnsi="Times New Roman" w:cs="Times New Roman"/>
                      <w:color w:val="auto"/>
                      <w:sz w:val="18"/>
                      <w:szCs w:val="18"/>
                      <w:lang w:val="en-US" w:eastAsia="zh-CN"/>
                    </w:rPr>
                    <w:t>298147</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40A0280A">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33.78</w:t>
                  </w:r>
                  <w:r>
                    <w:rPr>
                      <w:rFonts w:hint="eastAsia" w:ascii="Times New Roman" w:hAnsi="Times New Roman" w:cs="Times New Roman"/>
                      <w:color w:val="auto"/>
                      <w:sz w:val="18"/>
                      <w:szCs w:val="18"/>
                      <w:lang w:val="en-US" w:eastAsia="zh-CN"/>
                    </w:rPr>
                    <w:t>8266</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30BAA633">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9</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2DC558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孙庄</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7101AA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w:t>
                  </w:r>
                  <w:r>
                    <w:rPr>
                      <w:rFonts w:hint="eastAsia" w:ascii="Times New Roman" w:hAnsi="Times New Roman" w:eastAsia="宋体" w:cs="Times New Roman"/>
                      <w:color w:val="auto"/>
                      <w:sz w:val="18"/>
                      <w:szCs w:val="18"/>
                      <w:lang w:val="en-US" w:eastAsia="zh-CN"/>
                    </w:rPr>
                    <w:t>00人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138DA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eastAsia="zh-CN"/>
                    </w:rPr>
                    <w:t>居民区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0E127D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6F6D8E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S</w:t>
                  </w:r>
                  <w:r>
                    <w:rPr>
                      <w:rFonts w:hint="eastAsia" w:ascii="Times New Roman" w:hAnsi="Times New Roman" w:eastAsia="宋体" w:cs="Times New Roman"/>
                      <w:color w:val="auto"/>
                      <w:sz w:val="18"/>
                      <w:szCs w:val="18"/>
                      <w:lang w:val="en-US" w:eastAsia="zh-CN"/>
                    </w:rPr>
                    <w:t>W</w:t>
                  </w:r>
                </w:p>
              </w:tc>
              <w:tc>
                <w:tcPr>
                  <w:tcW w:w="1233" w:type="dxa"/>
                  <w:tcBorders>
                    <w:left w:val="single" w:color="000000" w:sz="2" w:space="0"/>
                    <w:right w:val="nil"/>
                  </w:tcBorders>
                  <w:noWrap w:val="0"/>
                  <w:vAlign w:val="center"/>
                </w:tcPr>
                <w:p w14:paraId="5576C5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r>
                    <w:rPr>
                      <w:rFonts w:hint="eastAsia" w:ascii="Times New Roman" w:hAnsi="Times New Roman" w:cs="Times New Roman"/>
                      <w:color w:val="auto"/>
                      <w:sz w:val="18"/>
                      <w:szCs w:val="18"/>
                      <w:lang w:val="en-US" w:eastAsia="zh-CN"/>
                    </w:rPr>
                    <w:t>7</w:t>
                  </w:r>
                  <w:r>
                    <w:rPr>
                      <w:rFonts w:hint="eastAsia" w:ascii="Times New Roman" w:hAnsi="Times New Roman" w:eastAsia="宋体" w:cs="Times New Roman"/>
                      <w:color w:val="auto"/>
                      <w:sz w:val="18"/>
                      <w:szCs w:val="18"/>
                      <w:lang w:val="en-US" w:eastAsia="zh-CN"/>
                    </w:rPr>
                    <w:t>0</w:t>
                  </w:r>
                </w:p>
              </w:tc>
            </w:tr>
            <w:tr w14:paraId="6D446B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320" w:hRule="atLeast"/>
                <w:jc w:val="center"/>
              </w:trPr>
              <w:tc>
                <w:tcPr>
                  <w:tcW w:w="426" w:type="dxa"/>
                  <w:vMerge w:val="continue"/>
                  <w:tcBorders>
                    <w:left w:val="nil"/>
                    <w:right w:val="single" w:color="000000" w:sz="2" w:space="0"/>
                  </w:tcBorders>
                  <w:noWrap w:val="0"/>
                  <w:vAlign w:val="center"/>
                </w:tcPr>
                <w:p w14:paraId="5D5F31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643B0FF6">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119.</w:t>
                  </w:r>
                  <w:r>
                    <w:rPr>
                      <w:rFonts w:hint="eastAsia" w:ascii="Times New Roman" w:hAnsi="Times New Roman" w:cs="Times New Roman"/>
                      <w:color w:val="auto"/>
                      <w:sz w:val="18"/>
                      <w:szCs w:val="18"/>
                      <w:lang w:val="en-US" w:eastAsia="zh-CN"/>
                    </w:rPr>
                    <w:t>300548</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3324BC7D">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33.7</w:t>
                  </w:r>
                  <w:r>
                    <w:rPr>
                      <w:rFonts w:hint="eastAsia" w:ascii="Times New Roman" w:hAnsi="Times New Roman" w:cs="Times New Roman"/>
                      <w:color w:val="auto"/>
                      <w:sz w:val="18"/>
                      <w:szCs w:val="18"/>
                      <w:lang w:val="en-US" w:eastAsia="zh-CN"/>
                    </w:rPr>
                    <w:t>90641</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49192959">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5880B9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艺达名都</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412AE6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r>
                    <w:rPr>
                      <w:rFonts w:hint="eastAsia" w:ascii="Times New Roman" w:hAnsi="Times New Roman" w:eastAsia="宋体" w:cs="Times New Roman"/>
                      <w:color w:val="auto"/>
                      <w:sz w:val="18"/>
                      <w:szCs w:val="18"/>
                      <w:lang w:val="en-US" w:eastAsia="zh-CN"/>
                    </w:rPr>
                    <w:t>00人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5E5A75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eastAsia="zh-CN"/>
                    </w:rPr>
                    <w:t>居民区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234D04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06C14A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N</w:t>
                  </w:r>
                </w:p>
              </w:tc>
              <w:tc>
                <w:tcPr>
                  <w:tcW w:w="1233" w:type="dxa"/>
                  <w:tcBorders>
                    <w:left w:val="single" w:color="000000" w:sz="2" w:space="0"/>
                    <w:right w:val="nil"/>
                  </w:tcBorders>
                  <w:noWrap w:val="0"/>
                  <w:vAlign w:val="center"/>
                </w:tcPr>
                <w:p w14:paraId="103367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17</w:t>
                  </w:r>
                  <w:r>
                    <w:rPr>
                      <w:rFonts w:hint="eastAsia" w:ascii="Times New Roman" w:hAnsi="Times New Roman" w:eastAsia="宋体" w:cs="Times New Roman"/>
                      <w:color w:val="auto"/>
                      <w:sz w:val="18"/>
                      <w:szCs w:val="18"/>
                      <w:lang w:val="en-US" w:eastAsia="zh-CN"/>
                    </w:rPr>
                    <w:t>0</w:t>
                  </w:r>
                </w:p>
              </w:tc>
            </w:tr>
            <w:tr w14:paraId="401019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530" w:hRule="atLeast"/>
                <w:jc w:val="center"/>
              </w:trPr>
              <w:tc>
                <w:tcPr>
                  <w:tcW w:w="426" w:type="dxa"/>
                  <w:vMerge w:val="continue"/>
                  <w:tcBorders>
                    <w:left w:val="nil"/>
                    <w:right w:val="single" w:color="000000" w:sz="2" w:space="0"/>
                  </w:tcBorders>
                  <w:noWrap w:val="0"/>
                  <w:vAlign w:val="center"/>
                </w:tcPr>
                <w:p w14:paraId="6D8436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2" w:space="0"/>
                    <w:right w:val="single" w:color="000000" w:sz="2" w:space="0"/>
                  </w:tcBorders>
                  <w:noWrap w:val="0"/>
                  <w:vAlign w:val="center"/>
                </w:tcPr>
                <w:p w14:paraId="0F76BA8B">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119.</w:t>
                  </w:r>
                  <w:r>
                    <w:rPr>
                      <w:rFonts w:hint="eastAsia" w:ascii="Times New Roman" w:hAnsi="Times New Roman" w:cs="Times New Roman"/>
                      <w:color w:val="auto"/>
                      <w:sz w:val="18"/>
                      <w:szCs w:val="18"/>
                      <w:lang w:val="en-US" w:eastAsia="zh-CN"/>
                    </w:rPr>
                    <w:t>302215</w:t>
                  </w:r>
                </w:p>
              </w:tc>
              <w:tc>
                <w:tcPr>
                  <w:tcW w:w="903" w:type="dxa"/>
                  <w:tcBorders>
                    <w:top w:val="single" w:color="000000" w:sz="2" w:space="0"/>
                    <w:left w:val="single" w:color="000000" w:sz="2" w:space="0"/>
                    <w:bottom w:val="single" w:color="000000" w:sz="2" w:space="0"/>
                    <w:right w:val="single" w:color="000000" w:sz="2" w:space="0"/>
                  </w:tcBorders>
                  <w:noWrap w:val="0"/>
                  <w:vAlign w:val="center"/>
                </w:tcPr>
                <w:p w14:paraId="4D56FE89">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33.7</w:t>
                  </w:r>
                  <w:r>
                    <w:rPr>
                      <w:rFonts w:hint="eastAsia" w:ascii="Times New Roman" w:hAnsi="Times New Roman" w:cs="Times New Roman"/>
                      <w:color w:val="auto"/>
                      <w:sz w:val="18"/>
                      <w:szCs w:val="18"/>
                      <w:lang w:val="en-US" w:eastAsia="zh-CN"/>
                    </w:rPr>
                    <w:t>90568</w:t>
                  </w:r>
                </w:p>
              </w:tc>
              <w:tc>
                <w:tcPr>
                  <w:tcW w:w="541" w:type="dxa"/>
                  <w:tcBorders>
                    <w:top w:val="single" w:color="000000" w:sz="2" w:space="0"/>
                    <w:left w:val="single" w:color="000000" w:sz="2" w:space="0"/>
                    <w:bottom w:val="single" w:color="000000" w:sz="2" w:space="0"/>
                    <w:right w:val="single" w:color="000000" w:sz="2" w:space="0"/>
                  </w:tcBorders>
                  <w:noWrap w:val="0"/>
                  <w:vAlign w:val="center"/>
                </w:tcPr>
                <w:p w14:paraId="509BCD79">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11</w:t>
                  </w:r>
                </w:p>
              </w:tc>
              <w:tc>
                <w:tcPr>
                  <w:tcW w:w="1144" w:type="dxa"/>
                  <w:tcBorders>
                    <w:top w:val="single" w:color="000000" w:sz="2" w:space="0"/>
                    <w:left w:val="single" w:color="000000" w:sz="2" w:space="0"/>
                    <w:bottom w:val="single" w:color="000000" w:sz="2" w:space="0"/>
                    <w:right w:val="single" w:color="000000" w:sz="2" w:space="0"/>
                  </w:tcBorders>
                  <w:noWrap w:val="0"/>
                  <w:vAlign w:val="center"/>
                </w:tcPr>
                <w:p w14:paraId="64A3FC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涟水县安东学校</w:t>
                  </w:r>
                </w:p>
              </w:tc>
              <w:tc>
                <w:tcPr>
                  <w:tcW w:w="721" w:type="dxa"/>
                  <w:tcBorders>
                    <w:top w:val="single" w:color="000000" w:sz="2" w:space="0"/>
                    <w:left w:val="single" w:color="000000" w:sz="2" w:space="0"/>
                    <w:bottom w:val="single" w:color="000000" w:sz="2" w:space="0"/>
                    <w:right w:val="single" w:color="000000" w:sz="2" w:space="0"/>
                  </w:tcBorders>
                  <w:noWrap w:val="0"/>
                  <w:vAlign w:val="center"/>
                </w:tcPr>
                <w:p w14:paraId="295582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500</w:t>
                  </w:r>
                  <w:r>
                    <w:rPr>
                      <w:rFonts w:hint="eastAsia" w:ascii="Times New Roman" w:hAnsi="Times New Roman" w:eastAsia="宋体" w:cs="Times New Roman"/>
                      <w:color w:val="auto"/>
                      <w:sz w:val="18"/>
                      <w:szCs w:val="18"/>
                      <w:lang w:val="en-US" w:eastAsia="zh-CN"/>
                    </w:rPr>
                    <w:t>人</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6823F6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学校</w:t>
                  </w:r>
                </w:p>
              </w:tc>
              <w:tc>
                <w:tcPr>
                  <w:tcW w:w="727" w:type="dxa"/>
                  <w:tcBorders>
                    <w:top w:val="single" w:color="000000" w:sz="2" w:space="0"/>
                    <w:left w:val="single" w:color="000000" w:sz="2" w:space="0"/>
                    <w:bottom w:val="single" w:color="000000" w:sz="2" w:space="0"/>
                    <w:right w:val="single" w:color="000000" w:sz="2" w:space="0"/>
                  </w:tcBorders>
                  <w:noWrap w:val="0"/>
                  <w:vAlign w:val="center"/>
                </w:tcPr>
                <w:p w14:paraId="44B545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2" w:space="0"/>
                    <w:right w:val="single" w:color="000000" w:sz="2" w:space="0"/>
                  </w:tcBorders>
                  <w:noWrap w:val="0"/>
                  <w:vAlign w:val="center"/>
                </w:tcPr>
                <w:p w14:paraId="05705E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N</w:t>
                  </w:r>
                </w:p>
              </w:tc>
              <w:tc>
                <w:tcPr>
                  <w:tcW w:w="1233" w:type="dxa"/>
                  <w:tcBorders>
                    <w:left w:val="single" w:color="000000" w:sz="2" w:space="0"/>
                    <w:right w:val="nil"/>
                  </w:tcBorders>
                  <w:noWrap w:val="0"/>
                  <w:vAlign w:val="center"/>
                </w:tcPr>
                <w:p w14:paraId="032820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170</w:t>
                  </w:r>
                </w:p>
              </w:tc>
            </w:tr>
            <w:tr w14:paraId="5FDEB55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15" w:type="dxa"/>
                  <w:left w:w="15" w:type="dxa"/>
                  <w:bottom w:w="15" w:type="dxa"/>
                  <w:right w:w="15" w:type="dxa"/>
                </w:tblCellMar>
              </w:tblPrEx>
              <w:trPr>
                <w:trHeight w:val="602" w:hRule="atLeast"/>
                <w:jc w:val="center"/>
              </w:trPr>
              <w:tc>
                <w:tcPr>
                  <w:tcW w:w="426" w:type="dxa"/>
                  <w:vMerge w:val="continue"/>
                  <w:tcBorders>
                    <w:left w:val="nil"/>
                    <w:bottom w:val="single" w:color="000000" w:sz="12" w:space="0"/>
                    <w:right w:val="single" w:color="000000" w:sz="2" w:space="0"/>
                  </w:tcBorders>
                  <w:noWrap w:val="0"/>
                  <w:vAlign w:val="center"/>
                </w:tcPr>
                <w:p w14:paraId="3ABE52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901" w:type="dxa"/>
                  <w:tcBorders>
                    <w:top w:val="single" w:color="000000" w:sz="2" w:space="0"/>
                    <w:left w:val="single" w:color="000000" w:sz="2" w:space="0"/>
                    <w:bottom w:val="single" w:color="000000" w:sz="12" w:space="0"/>
                    <w:right w:val="single" w:color="000000" w:sz="2" w:space="0"/>
                  </w:tcBorders>
                  <w:noWrap w:val="0"/>
                  <w:vAlign w:val="center"/>
                </w:tcPr>
                <w:p w14:paraId="38617B27">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119.</w:t>
                  </w:r>
                  <w:r>
                    <w:rPr>
                      <w:rFonts w:hint="eastAsia" w:ascii="Times New Roman" w:hAnsi="Times New Roman" w:cs="Times New Roman"/>
                      <w:color w:val="auto"/>
                      <w:sz w:val="18"/>
                      <w:szCs w:val="18"/>
                      <w:lang w:val="en-US" w:eastAsia="zh-CN"/>
                    </w:rPr>
                    <w:t>305266</w:t>
                  </w:r>
                </w:p>
              </w:tc>
              <w:tc>
                <w:tcPr>
                  <w:tcW w:w="903" w:type="dxa"/>
                  <w:tcBorders>
                    <w:top w:val="single" w:color="000000" w:sz="2" w:space="0"/>
                    <w:left w:val="single" w:color="000000" w:sz="2" w:space="0"/>
                    <w:bottom w:val="single" w:color="000000" w:sz="12" w:space="0"/>
                    <w:right w:val="single" w:color="000000" w:sz="2" w:space="0"/>
                  </w:tcBorders>
                  <w:noWrap w:val="0"/>
                  <w:vAlign w:val="center"/>
                </w:tcPr>
                <w:p w14:paraId="2A2249E1">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33.7</w:t>
                  </w:r>
                  <w:r>
                    <w:rPr>
                      <w:rFonts w:hint="eastAsia" w:ascii="Times New Roman" w:hAnsi="Times New Roman" w:cs="Times New Roman"/>
                      <w:color w:val="auto"/>
                      <w:sz w:val="18"/>
                      <w:szCs w:val="18"/>
                      <w:lang w:val="en-US" w:eastAsia="zh-CN"/>
                    </w:rPr>
                    <w:t>90256</w:t>
                  </w:r>
                </w:p>
              </w:tc>
              <w:tc>
                <w:tcPr>
                  <w:tcW w:w="541" w:type="dxa"/>
                  <w:tcBorders>
                    <w:top w:val="single" w:color="000000" w:sz="2" w:space="0"/>
                    <w:left w:val="single" w:color="000000" w:sz="2" w:space="0"/>
                    <w:bottom w:val="single" w:color="000000" w:sz="12" w:space="0"/>
                    <w:right w:val="single" w:color="000000" w:sz="2" w:space="0"/>
                  </w:tcBorders>
                  <w:noWrap w:val="0"/>
                  <w:vAlign w:val="center"/>
                </w:tcPr>
                <w:p w14:paraId="7C9B0E5D">
                  <w:pPr>
                    <w:pStyle w:val="5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12</w:t>
                  </w:r>
                </w:p>
              </w:tc>
              <w:tc>
                <w:tcPr>
                  <w:tcW w:w="1144" w:type="dxa"/>
                  <w:tcBorders>
                    <w:top w:val="single" w:color="000000" w:sz="2" w:space="0"/>
                    <w:left w:val="single" w:color="000000" w:sz="2" w:space="0"/>
                    <w:bottom w:val="single" w:color="000000" w:sz="12" w:space="0"/>
                    <w:right w:val="single" w:color="000000" w:sz="2" w:space="0"/>
                  </w:tcBorders>
                  <w:noWrap w:val="0"/>
                  <w:vAlign w:val="center"/>
                </w:tcPr>
                <w:p w14:paraId="2088B0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炎黄职业技术学院</w:t>
                  </w:r>
                </w:p>
              </w:tc>
              <w:tc>
                <w:tcPr>
                  <w:tcW w:w="721" w:type="dxa"/>
                  <w:tcBorders>
                    <w:top w:val="single" w:color="000000" w:sz="2" w:space="0"/>
                    <w:left w:val="single" w:color="000000" w:sz="2" w:space="0"/>
                    <w:bottom w:val="single" w:color="000000" w:sz="12" w:space="0"/>
                    <w:right w:val="single" w:color="000000" w:sz="2" w:space="0"/>
                  </w:tcBorders>
                  <w:noWrap w:val="0"/>
                  <w:vAlign w:val="center"/>
                </w:tcPr>
                <w:p w14:paraId="218006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300人</w:t>
                  </w:r>
                </w:p>
              </w:tc>
              <w:tc>
                <w:tcPr>
                  <w:tcW w:w="727" w:type="dxa"/>
                  <w:tcBorders>
                    <w:top w:val="single" w:color="000000" w:sz="2" w:space="0"/>
                    <w:left w:val="single" w:color="000000" w:sz="2" w:space="0"/>
                    <w:bottom w:val="single" w:color="000000" w:sz="12" w:space="0"/>
                    <w:right w:val="single" w:color="000000" w:sz="2" w:space="0"/>
                  </w:tcBorders>
                  <w:noWrap w:val="0"/>
                  <w:vAlign w:val="center"/>
                </w:tcPr>
                <w:p w14:paraId="31928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学校</w:t>
                  </w:r>
                </w:p>
              </w:tc>
              <w:tc>
                <w:tcPr>
                  <w:tcW w:w="727" w:type="dxa"/>
                  <w:tcBorders>
                    <w:top w:val="single" w:color="000000" w:sz="2" w:space="0"/>
                    <w:left w:val="single" w:color="000000" w:sz="2" w:space="0"/>
                    <w:bottom w:val="single" w:color="000000" w:sz="12" w:space="0"/>
                    <w:right w:val="single" w:color="000000" w:sz="2" w:space="0"/>
                  </w:tcBorders>
                  <w:noWrap w:val="0"/>
                  <w:vAlign w:val="center"/>
                </w:tcPr>
                <w:p w14:paraId="27D2B7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二类区</w:t>
                  </w:r>
                </w:p>
              </w:tc>
              <w:tc>
                <w:tcPr>
                  <w:tcW w:w="694" w:type="dxa"/>
                  <w:tcBorders>
                    <w:top w:val="single" w:color="000000" w:sz="2" w:space="0"/>
                    <w:left w:val="single" w:color="000000" w:sz="2" w:space="0"/>
                    <w:bottom w:val="single" w:color="000000" w:sz="12" w:space="0"/>
                    <w:right w:val="single" w:color="000000" w:sz="2" w:space="0"/>
                  </w:tcBorders>
                  <w:noWrap w:val="0"/>
                  <w:vAlign w:val="center"/>
                </w:tcPr>
                <w:p w14:paraId="058DF2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NE</w:t>
                  </w:r>
                </w:p>
              </w:tc>
              <w:tc>
                <w:tcPr>
                  <w:tcW w:w="1233" w:type="dxa"/>
                  <w:tcBorders>
                    <w:left w:val="single" w:color="000000" w:sz="2" w:space="0"/>
                    <w:bottom w:val="single" w:color="000000" w:sz="12" w:space="0"/>
                    <w:right w:val="nil"/>
                  </w:tcBorders>
                  <w:noWrap w:val="0"/>
                  <w:vAlign w:val="center"/>
                </w:tcPr>
                <w:p w14:paraId="1D142D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33</w:t>
                  </w:r>
                  <w:r>
                    <w:rPr>
                      <w:rFonts w:hint="eastAsia" w:ascii="Times New Roman" w:hAnsi="Times New Roman" w:eastAsia="宋体" w:cs="Times New Roman"/>
                      <w:color w:val="auto"/>
                      <w:sz w:val="18"/>
                      <w:szCs w:val="18"/>
                      <w:lang w:val="en-US" w:eastAsia="zh-CN"/>
                    </w:rPr>
                    <w:t>0</w:t>
                  </w:r>
                </w:p>
              </w:tc>
            </w:tr>
          </w:tbl>
          <w:p w14:paraId="683494C4">
            <w:pPr>
              <w:keepNext w:val="0"/>
              <w:keepLines w:val="0"/>
              <w:suppressLineNumbers w:val="0"/>
              <w:spacing w:before="0" w:beforeAutospacing="0" w:after="0" w:afterAutospacing="0" w:line="240" w:lineRule="auto"/>
              <w:ind w:left="0" w:right="0" w:firstLine="0" w:firstLineChars="0"/>
              <w:jc w:val="center"/>
              <w:rPr>
                <w:rFonts w:hint="eastAsia" w:cs="Times New Roman"/>
                <w:b/>
                <w:bCs/>
                <w:color w:val="auto"/>
              </w:rPr>
            </w:pPr>
            <w:r>
              <w:rPr>
                <w:rFonts w:hint="eastAsia" w:cs="Times New Roman"/>
                <w:b/>
                <w:bCs/>
                <w:color w:val="auto"/>
              </w:rPr>
              <w:t>表3.</w:t>
            </w:r>
            <w:r>
              <w:rPr>
                <w:rFonts w:hint="eastAsia" w:cs="Times New Roman"/>
                <w:b/>
                <w:bCs/>
                <w:color w:val="auto"/>
                <w:lang w:val="en-US" w:eastAsia="zh-CN"/>
              </w:rPr>
              <w:t>2</w:t>
            </w:r>
            <w:r>
              <w:rPr>
                <w:rFonts w:hint="eastAsia" w:cs="Times New Roman"/>
                <w:b/>
                <w:bCs/>
                <w:color w:val="auto"/>
              </w:rPr>
              <w:t>-</w:t>
            </w:r>
            <w:r>
              <w:rPr>
                <w:rFonts w:hint="eastAsia" w:cs="Times New Roman"/>
                <w:b/>
                <w:bCs/>
                <w:color w:val="auto"/>
                <w:lang w:val="en-US" w:eastAsia="zh-CN"/>
              </w:rPr>
              <w:t>2</w:t>
            </w:r>
            <w:r>
              <w:rPr>
                <w:rFonts w:hint="eastAsia" w:cs="Times New Roman"/>
                <w:b/>
                <w:bCs/>
                <w:color w:val="auto"/>
              </w:rPr>
              <w:t xml:space="preserve">  </w:t>
            </w:r>
            <w:r>
              <w:rPr>
                <w:rFonts w:hint="eastAsia" w:cs="Times New Roman"/>
                <w:b/>
                <w:bCs/>
                <w:color w:val="auto"/>
                <w:lang w:eastAsia="zh-CN"/>
              </w:rPr>
              <w:t>其他各要素</w:t>
            </w:r>
            <w:r>
              <w:rPr>
                <w:rFonts w:hint="eastAsia" w:cs="Times New Roman"/>
                <w:b/>
                <w:bCs/>
                <w:color w:val="auto"/>
              </w:rPr>
              <w:t>主要环境保护目标</w:t>
            </w:r>
          </w:p>
          <w:tbl>
            <w:tblPr>
              <w:tblStyle w:val="24"/>
              <w:tblW w:w="500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12"/>
              <w:gridCol w:w="1336"/>
              <w:gridCol w:w="888"/>
              <w:gridCol w:w="768"/>
              <w:gridCol w:w="899"/>
              <w:gridCol w:w="3064"/>
            </w:tblGrid>
            <w:tr w14:paraId="4807B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80" w:type="pct"/>
                  <w:vMerge w:val="restart"/>
                  <w:vAlign w:val="center"/>
                </w:tcPr>
                <w:p w14:paraId="083AC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color w:val="auto"/>
                      <w:sz w:val="18"/>
                      <w:szCs w:val="18"/>
                    </w:rPr>
                  </w:pPr>
                  <w:r>
                    <w:rPr>
                      <w:rFonts w:hint="eastAsia" w:cs="Times New Roman"/>
                      <w:b/>
                      <w:bCs/>
                      <w:color w:val="auto"/>
                      <w:sz w:val="18"/>
                      <w:szCs w:val="18"/>
                    </w:rPr>
                    <w:t>环境要素</w:t>
                  </w:r>
                </w:p>
              </w:tc>
              <w:tc>
                <w:tcPr>
                  <w:tcW w:w="849" w:type="pct"/>
                  <w:vMerge w:val="restart"/>
                  <w:vAlign w:val="center"/>
                </w:tcPr>
                <w:p w14:paraId="689B8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color w:val="auto"/>
                      <w:sz w:val="18"/>
                      <w:szCs w:val="18"/>
                    </w:rPr>
                  </w:pPr>
                  <w:r>
                    <w:rPr>
                      <w:rFonts w:hint="eastAsia" w:cs="Times New Roman"/>
                      <w:b/>
                      <w:bCs/>
                      <w:color w:val="auto"/>
                      <w:sz w:val="18"/>
                      <w:szCs w:val="18"/>
                    </w:rPr>
                    <w:t>保护对象</w:t>
                  </w:r>
                </w:p>
              </w:tc>
              <w:tc>
                <w:tcPr>
                  <w:tcW w:w="564" w:type="pct"/>
                  <w:vMerge w:val="restart"/>
                  <w:vAlign w:val="center"/>
                </w:tcPr>
                <w:p w14:paraId="313AA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color w:val="auto"/>
                      <w:sz w:val="18"/>
                      <w:szCs w:val="18"/>
                    </w:rPr>
                  </w:pPr>
                  <w:r>
                    <w:rPr>
                      <w:rFonts w:hint="eastAsia" w:cs="Times New Roman"/>
                      <w:b/>
                      <w:bCs/>
                      <w:color w:val="auto"/>
                      <w:sz w:val="18"/>
                      <w:szCs w:val="18"/>
                    </w:rPr>
                    <w:t>保护内容</w:t>
                  </w:r>
                </w:p>
              </w:tc>
              <w:tc>
                <w:tcPr>
                  <w:tcW w:w="488" w:type="pct"/>
                  <w:vMerge w:val="restart"/>
                  <w:vAlign w:val="center"/>
                </w:tcPr>
                <w:p w14:paraId="01AF20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color w:val="auto"/>
                      <w:sz w:val="18"/>
                      <w:szCs w:val="18"/>
                    </w:rPr>
                  </w:pPr>
                  <w:r>
                    <w:rPr>
                      <w:rFonts w:hint="eastAsia" w:cs="Times New Roman"/>
                      <w:b/>
                      <w:bCs/>
                      <w:color w:val="auto"/>
                      <w:sz w:val="18"/>
                      <w:szCs w:val="18"/>
                    </w:rPr>
                    <w:t>相对厂址方位</w:t>
                  </w:r>
                </w:p>
              </w:tc>
              <w:tc>
                <w:tcPr>
                  <w:tcW w:w="571" w:type="pct"/>
                  <w:vMerge w:val="restart"/>
                  <w:vAlign w:val="center"/>
                </w:tcPr>
                <w:p w14:paraId="20C98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color w:val="auto"/>
                      <w:sz w:val="18"/>
                      <w:szCs w:val="18"/>
                    </w:rPr>
                  </w:pPr>
                  <w:r>
                    <w:rPr>
                      <w:rFonts w:hint="eastAsia" w:cs="Times New Roman"/>
                      <w:b/>
                      <w:bCs/>
                      <w:color w:val="auto"/>
                      <w:sz w:val="18"/>
                      <w:szCs w:val="18"/>
                    </w:rPr>
                    <w:t>相对厂界距离</w:t>
                  </w:r>
                  <w:r>
                    <w:rPr>
                      <w:rFonts w:hint="eastAsia" w:cs="Times New Roman"/>
                      <w:b/>
                      <w:bCs/>
                      <w:color w:val="auto"/>
                      <w:sz w:val="18"/>
                      <w:szCs w:val="18"/>
                      <w:lang w:eastAsia="zh-CN"/>
                    </w:rPr>
                    <w:t>（</w:t>
                  </w:r>
                  <w:r>
                    <w:rPr>
                      <w:rFonts w:hint="eastAsia" w:cs="Times New Roman"/>
                      <w:b/>
                      <w:bCs/>
                      <w:color w:val="auto"/>
                      <w:sz w:val="18"/>
                      <w:szCs w:val="18"/>
                    </w:rPr>
                    <w:t>米</w:t>
                  </w:r>
                  <w:r>
                    <w:rPr>
                      <w:rFonts w:hint="eastAsia" w:cs="Times New Roman"/>
                      <w:b/>
                      <w:bCs/>
                      <w:color w:val="auto"/>
                      <w:sz w:val="18"/>
                      <w:szCs w:val="18"/>
                      <w:lang w:eastAsia="zh-CN"/>
                    </w:rPr>
                    <w:t>）</w:t>
                  </w:r>
                </w:p>
              </w:tc>
              <w:tc>
                <w:tcPr>
                  <w:tcW w:w="1946" w:type="pct"/>
                  <w:vMerge w:val="restart"/>
                  <w:vAlign w:val="center"/>
                </w:tcPr>
                <w:p w14:paraId="00CE2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b/>
                      <w:bCs/>
                      <w:color w:val="auto"/>
                      <w:sz w:val="18"/>
                      <w:szCs w:val="18"/>
                    </w:rPr>
                  </w:pPr>
                  <w:r>
                    <w:rPr>
                      <w:rFonts w:hint="eastAsia" w:cs="Times New Roman"/>
                      <w:b/>
                      <w:bCs/>
                      <w:color w:val="auto"/>
                      <w:sz w:val="18"/>
                      <w:szCs w:val="18"/>
                    </w:rPr>
                    <w:t>环境功能区</w:t>
                  </w:r>
                </w:p>
              </w:tc>
            </w:tr>
            <w:tr w14:paraId="675691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80" w:type="pct"/>
                  <w:vMerge w:val="continue"/>
                  <w:vAlign w:val="center"/>
                </w:tcPr>
                <w:p w14:paraId="6456E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c>
                <w:tcPr>
                  <w:tcW w:w="849" w:type="pct"/>
                  <w:vMerge w:val="continue"/>
                  <w:vAlign w:val="center"/>
                </w:tcPr>
                <w:p w14:paraId="17204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c>
                <w:tcPr>
                  <w:tcW w:w="564" w:type="pct"/>
                  <w:vMerge w:val="continue"/>
                  <w:vAlign w:val="center"/>
                </w:tcPr>
                <w:p w14:paraId="291FCC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c>
                <w:tcPr>
                  <w:tcW w:w="488" w:type="pct"/>
                  <w:vMerge w:val="continue"/>
                  <w:vAlign w:val="center"/>
                </w:tcPr>
                <w:p w14:paraId="0EE3DC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c>
                <w:tcPr>
                  <w:tcW w:w="571" w:type="pct"/>
                  <w:vMerge w:val="continue"/>
                  <w:vAlign w:val="center"/>
                </w:tcPr>
                <w:p w14:paraId="64E7E9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c>
                <w:tcPr>
                  <w:tcW w:w="1946" w:type="pct"/>
                  <w:vMerge w:val="continue"/>
                  <w:vAlign w:val="center"/>
                </w:tcPr>
                <w:p w14:paraId="17631D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r>
            <w:tr w14:paraId="07F84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580" w:type="pct"/>
                  <w:vMerge w:val="restart"/>
                  <w:vAlign w:val="center"/>
                </w:tcPr>
                <w:p w14:paraId="54CC4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r>
                    <w:rPr>
                      <w:rFonts w:hint="eastAsia" w:cs="Times New Roman"/>
                      <w:color w:val="auto"/>
                      <w:sz w:val="18"/>
                      <w:szCs w:val="18"/>
                      <w:lang w:eastAsia="zh-CN"/>
                    </w:rPr>
                    <w:t>声</w:t>
                  </w:r>
                </w:p>
              </w:tc>
              <w:tc>
                <w:tcPr>
                  <w:tcW w:w="849" w:type="pct"/>
                  <w:vAlign w:val="center"/>
                </w:tcPr>
                <w:p w14:paraId="5E42EB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eastAsia" w:ascii="Times New Roman" w:hAnsi="Times New Roman" w:eastAsia="宋体" w:cs="Times New Roman"/>
                      <w:color w:val="auto"/>
                      <w:sz w:val="18"/>
                      <w:szCs w:val="18"/>
                      <w:lang w:eastAsia="zh-CN"/>
                    </w:rPr>
                    <w:t>幸福家园</w:t>
                  </w:r>
                </w:p>
              </w:tc>
              <w:tc>
                <w:tcPr>
                  <w:tcW w:w="564" w:type="pct"/>
                  <w:vAlign w:val="center"/>
                </w:tcPr>
                <w:p w14:paraId="7E79F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eastAsia" w:ascii="Times New Roman" w:hAnsi="Times New Roman" w:eastAsia="宋体" w:cs="Times New Roman"/>
                      <w:color w:val="auto"/>
                      <w:sz w:val="18"/>
                      <w:szCs w:val="18"/>
                      <w:lang w:eastAsia="zh-CN"/>
                    </w:rPr>
                    <w:t>居民区</w:t>
                  </w:r>
                </w:p>
              </w:tc>
              <w:tc>
                <w:tcPr>
                  <w:tcW w:w="488" w:type="pct"/>
                  <w:vAlign w:val="center"/>
                </w:tcPr>
                <w:p w14:paraId="6EEB7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eastAsia" w:ascii="Times New Roman" w:hAnsi="Times New Roman" w:eastAsia="宋体" w:cs="Times New Roman"/>
                      <w:color w:val="auto"/>
                      <w:sz w:val="18"/>
                      <w:szCs w:val="18"/>
                      <w:lang w:val="en-US" w:eastAsia="zh-CN"/>
                    </w:rPr>
                    <w:t>E</w:t>
                  </w:r>
                </w:p>
              </w:tc>
              <w:tc>
                <w:tcPr>
                  <w:tcW w:w="571" w:type="pct"/>
                  <w:vAlign w:val="center"/>
                </w:tcPr>
                <w:p w14:paraId="4E5644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eastAsia" w:ascii="Times New Roman" w:hAnsi="Times New Roman" w:eastAsia="宋体" w:cs="Times New Roman"/>
                      <w:color w:val="auto"/>
                      <w:sz w:val="18"/>
                      <w:szCs w:val="18"/>
                      <w:lang w:val="en-US" w:eastAsia="zh-CN"/>
                    </w:rPr>
                    <w:t>40</w:t>
                  </w:r>
                </w:p>
              </w:tc>
              <w:tc>
                <w:tcPr>
                  <w:tcW w:w="1946" w:type="pct"/>
                  <w:vMerge w:val="restart"/>
                  <w:vAlign w:val="center"/>
                </w:tcPr>
                <w:p w14:paraId="47F10C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s="Times New Roman"/>
                      <w:color w:val="auto"/>
                      <w:sz w:val="18"/>
                      <w:szCs w:val="18"/>
                      <w:lang w:eastAsia="zh-CN"/>
                    </w:rPr>
                  </w:pPr>
                  <w:r>
                    <w:rPr>
                      <w:rFonts w:hint="eastAsia" w:cs="Times New Roman"/>
                      <w:color w:val="auto"/>
                      <w:sz w:val="18"/>
                      <w:szCs w:val="18"/>
                    </w:rPr>
                    <w:t>《声环境质量标准》（GB3096-2008）中</w:t>
                  </w:r>
                  <w:r>
                    <w:rPr>
                      <w:rFonts w:hint="eastAsia" w:cs="Times New Roman"/>
                      <w:color w:val="auto"/>
                      <w:sz w:val="18"/>
                      <w:szCs w:val="18"/>
                      <w:lang w:val="en-US" w:eastAsia="zh-CN"/>
                    </w:rPr>
                    <w:t>2</w:t>
                  </w:r>
                  <w:r>
                    <w:rPr>
                      <w:rFonts w:hint="eastAsia" w:cs="Times New Roman"/>
                      <w:color w:val="auto"/>
                      <w:sz w:val="18"/>
                      <w:szCs w:val="18"/>
                    </w:rPr>
                    <w:t>类</w:t>
                  </w:r>
                  <w:r>
                    <w:rPr>
                      <w:rFonts w:hint="eastAsia" w:cs="Times New Roman"/>
                      <w:color w:val="auto"/>
                      <w:sz w:val="18"/>
                      <w:szCs w:val="18"/>
                      <w:lang w:eastAsia="zh-CN"/>
                    </w:rPr>
                    <w:t>区</w:t>
                  </w:r>
                </w:p>
              </w:tc>
            </w:tr>
            <w:tr w14:paraId="4E7E9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8" w:hRule="atLeast"/>
                <w:jc w:val="center"/>
              </w:trPr>
              <w:tc>
                <w:tcPr>
                  <w:tcW w:w="580" w:type="pct"/>
                  <w:vMerge w:val="continue"/>
                  <w:vAlign w:val="center"/>
                </w:tcPr>
                <w:p w14:paraId="48BB20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c>
                <w:tcPr>
                  <w:tcW w:w="849" w:type="pct"/>
                  <w:vAlign w:val="center"/>
                </w:tcPr>
                <w:p w14:paraId="3529D8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default" w:ascii="Times New Roman" w:hAnsi="Times New Roman" w:eastAsia="宋体" w:cs="Times New Roman"/>
                      <w:color w:val="auto"/>
                      <w:sz w:val="18"/>
                      <w:szCs w:val="18"/>
                      <w:lang w:val="en-US" w:eastAsia="zh-CN"/>
                    </w:rPr>
                    <w:t>金安玫瑰园</w:t>
                  </w:r>
                </w:p>
              </w:tc>
              <w:tc>
                <w:tcPr>
                  <w:tcW w:w="564" w:type="pct"/>
                  <w:vAlign w:val="center"/>
                </w:tcPr>
                <w:p w14:paraId="7F4E4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18"/>
                      <w:szCs w:val="18"/>
                    </w:rPr>
                  </w:pPr>
                  <w:r>
                    <w:rPr>
                      <w:rFonts w:hint="eastAsia" w:ascii="Times New Roman" w:hAnsi="Times New Roman" w:eastAsia="宋体" w:cs="Times New Roman"/>
                      <w:color w:val="auto"/>
                      <w:sz w:val="18"/>
                      <w:szCs w:val="18"/>
                      <w:lang w:eastAsia="zh-CN"/>
                    </w:rPr>
                    <w:t>居民区</w:t>
                  </w:r>
                </w:p>
              </w:tc>
              <w:tc>
                <w:tcPr>
                  <w:tcW w:w="488" w:type="pct"/>
                  <w:vAlign w:val="center"/>
                </w:tcPr>
                <w:p w14:paraId="0BE9C6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sz w:val="18"/>
                      <w:szCs w:val="18"/>
                      <w:lang w:val="en-US"/>
                    </w:rPr>
                  </w:pPr>
                  <w:r>
                    <w:rPr>
                      <w:rFonts w:hint="eastAsia" w:ascii="Times New Roman" w:hAnsi="Times New Roman" w:eastAsia="宋体" w:cs="Times New Roman"/>
                      <w:color w:val="auto"/>
                      <w:sz w:val="18"/>
                      <w:szCs w:val="18"/>
                      <w:lang w:val="en-US" w:eastAsia="zh-CN"/>
                    </w:rPr>
                    <w:t>S</w:t>
                  </w:r>
                  <w:r>
                    <w:rPr>
                      <w:rFonts w:hint="eastAsia" w:cs="Times New Roman"/>
                      <w:color w:val="auto"/>
                      <w:sz w:val="18"/>
                      <w:szCs w:val="18"/>
                      <w:lang w:val="en-US" w:eastAsia="zh-CN"/>
                    </w:rPr>
                    <w:t>E</w:t>
                  </w:r>
                </w:p>
              </w:tc>
              <w:tc>
                <w:tcPr>
                  <w:tcW w:w="571" w:type="pct"/>
                  <w:vAlign w:val="center"/>
                </w:tcPr>
                <w:p w14:paraId="578299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sz w:val="18"/>
                      <w:szCs w:val="18"/>
                      <w:lang w:val="en-US"/>
                    </w:rPr>
                  </w:pPr>
                  <w:r>
                    <w:rPr>
                      <w:rFonts w:hint="eastAsia" w:cs="Times New Roman"/>
                      <w:color w:val="auto"/>
                      <w:sz w:val="18"/>
                      <w:szCs w:val="18"/>
                      <w:lang w:val="en-US" w:eastAsia="zh-CN"/>
                    </w:rPr>
                    <w:t>60</w:t>
                  </w:r>
                </w:p>
              </w:tc>
              <w:tc>
                <w:tcPr>
                  <w:tcW w:w="1946" w:type="pct"/>
                  <w:vMerge w:val="continue"/>
                  <w:vAlign w:val="center"/>
                </w:tcPr>
                <w:p w14:paraId="706B9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r>
            <w:tr w14:paraId="73ED1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580" w:type="pct"/>
                  <w:vMerge w:val="continue"/>
                  <w:vAlign w:val="center"/>
                </w:tcPr>
                <w:p w14:paraId="2DA40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c>
                <w:tcPr>
                  <w:tcW w:w="849" w:type="pct"/>
                  <w:vAlign w:val="center"/>
                </w:tcPr>
                <w:p w14:paraId="7DC2E2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eastAsia" w:ascii="Times New Roman" w:hAnsi="Times New Roman" w:cs="Times New Roman"/>
                      <w:color w:val="auto"/>
                      <w:sz w:val="18"/>
                      <w:szCs w:val="18"/>
                      <w:lang w:val="en-US" w:eastAsia="zh-CN"/>
                    </w:rPr>
                    <w:t>涟水县安东学校</w:t>
                  </w:r>
                </w:p>
              </w:tc>
              <w:tc>
                <w:tcPr>
                  <w:tcW w:w="564" w:type="pct"/>
                  <w:vAlign w:val="center"/>
                </w:tcPr>
                <w:p w14:paraId="40B4A9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eastAsia" w:ascii="Times New Roman" w:hAnsi="Times New Roman" w:cs="Times New Roman"/>
                      <w:color w:val="auto"/>
                      <w:sz w:val="18"/>
                      <w:szCs w:val="18"/>
                      <w:lang w:val="en-US" w:eastAsia="zh-CN"/>
                    </w:rPr>
                    <w:t>学校</w:t>
                  </w:r>
                </w:p>
              </w:tc>
              <w:tc>
                <w:tcPr>
                  <w:tcW w:w="488" w:type="pct"/>
                  <w:vAlign w:val="center"/>
                </w:tcPr>
                <w:p w14:paraId="3FDE9A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eastAsia" w:ascii="Times New Roman" w:hAnsi="Times New Roman" w:cs="Times New Roman"/>
                      <w:color w:val="auto"/>
                      <w:sz w:val="18"/>
                      <w:szCs w:val="18"/>
                      <w:lang w:val="en-US" w:eastAsia="zh-CN"/>
                    </w:rPr>
                    <w:t>N</w:t>
                  </w:r>
                </w:p>
              </w:tc>
              <w:tc>
                <w:tcPr>
                  <w:tcW w:w="571" w:type="pct"/>
                  <w:vAlign w:val="center"/>
                </w:tcPr>
                <w:p w14:paraId="521D7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eastAsia" w:ascii="Times New Roman" w:hAnsi="Times New Roman" w:cs="Times New Roman"/>
                      <w:color w:val="auto"/>
                      <w:sz w:val="18"/>
                      <w:szCs w:val="18"/>
                      <w:lang w:val="en-US" w:eastAsia="zh-CN"/>
                    </w:rPr>
                    <w:t>170</w:t>
                  </w:r>
                </w:p>
              </w:tc>
              <w:tc>
                <w:tcPr>
                  <w:tcW w:w="1946" w:type="pct"/>
                  <w:vMerge w:val="continue"/>
                  <w:vAlign w:val="center"/>
                </w:tcPr>
                <w:p w14:paraId="3E71B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r>
            <w:tr w14:paraId="0C7B6E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5" w:hRule="atLeast"/>
                <w:jc w:val="center"/>
              </w:trPr>
              <w:tc>
                <w:tcPr>
                  <w:tcW w:w="580" w:type="pct"/>
                  <w:vMerge w:val="continue"/>
                  <w:vAlign w:val="center"/>
                </w:tcPr>
                <w:p w14:paraId="5A85D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c>
                <w:tcPr>
                  <w:tcW w:w="849" w:type="pct"/>
                  <w:vAlign w:val="center"/>
                </w:tcPr>
                <w:p w14:paraId="6301FA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eastAsia" w:ascii="Times New Roman" w:hAnsi="Times New Roman" w:cs="Times New Roman"/>
                      <w:color w:val="auto"/>
                      <w:sz w:val="18"/>
                      <w:szCs w:val="18"/>
                      <w:lang w:val="en-US" w:eastAsia="zh-CN"/>
                    </w:rPr>
                    <w:t>艺达名都</w:t>
                  </w:r>
                </w:p>
              </w:tc>
              <w:tc>
                <w:tcPr>
                  <w:tcW w:w="564" w:type="pct"/>
                  <w:vAlign w:val="center"/>
                </w:tcPr>
                <w:p w14:paraId="76A9AF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rPr>
                  </w:pPr>
                  <w:r>
                    <w:rPr>
                      <w:rFonts w:hint="eastAsia" w:ascii="Times New Roman" w:hAnsi="Times New Roman" w:eastAsia="宋体" w:cs="Times New Roman"/>
                      <w:color w:val="auto"/>
                      <w:sz w:val="18"/>
                      <w:szCs w:val="18"/>
                      <w:lang w:eastAsia="zh-CN"/>
                    </w:rPr>
                    <w:t>居民区</w:t>
                  </w:r>
                </w:p>
              </w:tc>
              <w:tc>
                <w:tcPr>
                  <w:tcW w:w="768" w:type="dxa"/>
                  <w:vAlign w:val="center"/>
                </w:tcPr>
                <w:p w14:paraId="367AFB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rPr>
                  </w:pPr>
                  <w:r>
                    <w:rPr>
                      <w:rFonts w:hint="eastAsia" w:ascii="Times New Roman" w:hAnsi="Times New Roman" w:cs="Times New Roman"/>
                      <w:color w:val="auto"/>
                      <w:sz w:val="18"/>
                      <w:szCs w:val="18"/>
                      <w:lang w:val="en-US" w:eastAsia="zh-CN"/>
                    </w:rPr>
                    <w:t>N</w:t>
                  </w:r>
                </w:p>
              </w:tc>
              <w:tc>
                <w:tcPr>
                  <w:tcW w:w="899" w:type="dxa"/>
                  <w:vAlign w:val="center"/>
                </w:tcPr>
                <w:p w14:paraId="1031E3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rPr>
                  </w:pPr>
                  <w:r>
                    <w:rPr>
                      <w:rFonts w:hint="eastAsia" w:ascii="Times New Roman" w:hAnsi="Times New Roman" w:cs="Times New Roman"/>
                      <w:color w:val="auto"/>
                      <w:sz w:val="18"/>
                      <w:szCs w:val="18"/>
                      <w:lang w:val="en-US" w:eastAsia="zh-CN"/>
                    </w:rPr>
                    <w:t>170</w:t>
                  </w:r>
                </w:p>
              </w:tc>
              <w:tc>
                <w:tcPr>
                  <w:tcW w:w="1946" w:type="pct"/>
                  <w:vMerge w:val="continue"/>
                  <w:vAlign w:val="center"/>
                </w:tcPr>
                <w:p w14:paraId="4F173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r>
            <w:tr w14:paraId="370DD6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580" w:type="pct"/>
                  <w:vAlign w:val="center"/>
                </w:tcPr>
                <w:p w14:paraId="593A8B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r>
                    <w:rPr>
                      <w:rFonts w:hint="eastAsia" w:cs="Times New Roman"/>
                      <w:color w:val="auto"/>
                      <w:sz w:val="18"/>
                      <w:szCs w:val="18"/>
                    </w:rPr>
                    <w:t>地下水</w:t>
                  </w:r>
                </w:p>
              </w:tc>
              <w:tc>
                <w:tcPr>
                  <w:tcW w:w="4419" w:type="pct"/>
                  <w:gridSpan w:val="5"/>
                  <w:vAlign w:val="center"/>
                </w:tcPr>
                <w:p w14:paraId="2FB2D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r>
                    <w:rPr>
                      <w:rFonts w:hint="eastAsia" w:cs="Times New Roman"/>
                      <w:color w:val="auto"/>
                      <w:sz w:val="18"/>
                      <w:szCs w:val="18"/>
                    </w:rPr>
                    <w:t>厂界外500米范围内无地下水集中式饮用水水源和热水、矿泉水、温泉等特殊地下水资源</w:t>
                  </w:r>
                </w:p>
              </w:tc>
            </w:tr>
            <w:tr w14:paraId="14452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80" w:type="pct"/>
                  <w:vMerge w:val="restart"/>
                  <w:vAlign w:val="center"/>
                </w:tcPr>
                <w:p w14:paraId="173E08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r>
                    <w:rPr>
                      <w:rFonts w:hint="eastAsia" w:cs="Times New Roman"/>
                      <w:color w:val="auto"/>
                      <w:sz w:val="18"/>
                      <w:szCs w:val="18"/>
                    </w:rPr>
                    <w:t>生态</w:t>
                  </w:r>
                </w:p>
              </w:tc>
              <w:tc>
                <w:tcPr>
                  <w:tcW w:w="2222" w:type="dxa"/>
                  <w:gridSpan w:val="2"/>
                  <w:vAlign w:val="center"/>
                </w:tcPr>
                <w:p w14:paraId="38EC0D7F">
                  <w:pPr>
                    <w:pStyle w:val="2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江苏涟水涟漪湖黄嘴白鹭省级自然保护区</w:t>
                  </w:r>
                </w:p>
              </w:tc>
              <w:tc>
                <w:tcPr>
                  <w:tcW w:w="488" w:type="pct"/>
                  <w:vAlign w:val="center"/>
                </w:tcPr>
                <w:p w14:paraId="76E4C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s="Times New Roman"/>
                      <w:color w:val="auto"/>
                      <w:sz w:val="18"/>
                      <w:szCs w:val="18"/>
                      <w:lang w:val="en-US" w:eastAsia="zh-CN"/>
                    </w:rPr>
                  </w:pPr>
                  <w:r>
                    <w:rPr>
                      <w:rFonts w:hint="eastAsia" w:cs="Times New Roman"/>
                      <w:color w:val="auto"/>
                      <w:sz w:val="18"/>
                      <w:szCs w:val="18"/>
                      <w:lang w:val="en-US" w:eastAsia="zh-CN"/>
                    </w:rPr>
                    <w:t>SW</w:t>
                  </w:r>
                </w:p>
              </w:tc>
              <w:tc>
                <w:tcPr>
                  <w:tcW w:w="571" w:type="pct"/>
                  <w:vAlign w:val="center"/>
                </w:tcPr>
                <w:p w14:paraId="340F0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sz w:val="18"/>
                      <w:szCs w:val="18"/>
                      <w:lang w:val="en-US" w:eastAsia="zh-CN"/>
                    </w:rPr>
                  </w:pPr>
                  <w:r>
                    <w:rPr>
                      <w:rFonts w:hint="eastAsia" w:cs="Times New Roman"/>
                      <w:color w:val="auto"/>
                      <w:sz w:val="18"/>
                      <w:szCs w:val="18"/>
                      <w:lang w:val="en-US" w:eastAsia="zh-CN"/>
                    </w:rPr>
                    <w:t>2600</w:t>
                  </w:r>
                </w:p>
              </w:tc>
              <w:tc>
                <w:tcPr>
                  <w:tcW w:w="3059" w:type="dxa"/>
                  <w:vAlign w:val="center"/>
                </w:tcPr>
                <w:p w14:paraId="20926C88">
                  <w:pPr>
                    <w:pStyle w:val="2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生物多样性保护</w:t>
                  </w:r>
                </w:p>
              </w:tc>
            </w:tr>
            <w:tr w14:paraId="47CB2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80" w:type="pct"/>
                  <w:vMerge w:val="continue"/>
                  <w:vAlign w:val="center"/>
                </w:tcPr>
                <w:p w14:paraId="35787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18"/>
                      <w:szCs w:val="18"/>
                    </w:rPr>
                  </w:pPr>
                </w:p>
              </w:tc>
              <w:tc>
                <w:tcPr>
                  <w:tcW w:w="2222" w:type="dxa"/>
                  <w:gridSpan w:val="2"/>
                  <w:vAlign w:val="center"/>
                </w:tcPr>
                <w:p w14:paraId="06CE1C82">
                  <w:pPr>
                    <w:pStyle w:val="2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废黄河（涟水县）重要湿地</w:t>
                  </w:r>
                </w:p>
              </w:tc>
              <w:tc>
                <w:tcPr>
                  <w:tcW w:w="488" w:type="pct"/>
                  <w:vAlign w:val="center"/>
                </w:tcPr>
                <w:p w14:paraId="7A57E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eastAsia="宋体" w:cs="Times New Roman"/>
                      <w:color w:val="auto"/>
                      <w:sz w:val="18"/>
                      <w:szCs w:val="18"/>
                      <w:lang w:val="en-US" w:eastAsia="zh-CN"/>
                    </w:rPr>
                  </w:pPr>
                  <w:r>
                    <w:rPr>
                      <w:rFonts w:hint="eastAsia" w:cs="Times New Roman"/>
                      <w:color w:val="auto"/>
                      <w:sz w:val="18"/>
                      <w:szCs w:val="18"/>
                      <w:lang w:val="en-US" w:eastAsia="zh-CN"/>
                    </w:rPr>
                    <w:t>S</w:t>
                  </w:r>
                </w:p>
              </w:tc>
              <w:tc>
                <w:tcPr>
                  <w:tcW w:w="571" w:type="pct"/>
                  <w:vAlign w:val="center"/>
                </w:tcPr>
                <w:p w14:paraId="43A2FF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sz w:val="18"/>
                      <w:szCs w:val="18"/>
                      <w:lang w:val="en-US" w:eastAsia="zh-CN"/>
                    </w:rPr>
                  </w:pPr>
                  <w:r>
                    <w:rPr>
                      <w:rFonts w:hint="eastAsia" w:cs="Times New Roman"/>
                      <w:color w:val="auto"/>
                      <w:sz w:val="18"/>
                      <w:szCs w:val="18"/>
                      <w:lang w:val="en-US" w:eastAsia="zh-CN"/>
                    </w:rPr>
                    <w:t>2570</w:t>
                  </w:r>
                </w:p>
              </w:tc>
              <w:tc>
                <w:tcPr>
                  <w:tcW w:w="3059" w:type="dxa"/>
                  <w:vAlign w:val="center"/>
                </w:tcPr>
                <w:p w14:paraId="3FB5BE8A">
                  <w:pPr>
                    <w:pStyle w:val="2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湿地生态系统保护</w:t>
                  </w:r>
                </w:p>
              </w:tc>
            </w:tr>
          </w:tbl>
          <w:p w14:paraId="495FA179">
            <w:pPr>
              <w:keepNext w:val="0"/>
              <w:keepLines w:val="0"/>
              <w:suppressLineNumbers w:val="0"/>
              <w:bidi w:val="0"/>
              <w:spacing w:before="0" w:beforeAutospacing="0" w:after="0" w:afterAutospacing="0"/>
              <w:ind w:left="0" w:leftChars="0" w:right="0" w:firstLine="0" w:firstLineChars="0"/>
              <w:rPr>
                <w:rFonts w:hint="eastAsia"/>
                <w:color w:val="auto"/>
                <w:lang w:val="en-US" w:eastAsia="zh-CN"/>
              </w:rPr>
            </w:pPr>
          </w:p>
          <w:p w14:paraId="5909582A">
            <w:pPr>
              <w:keepNext w:val="0"/>
              <w:keepLines w:val="0"/>
              <w:suppressLineNumbers w:val="0"/>
              <w:bidi w:val="0"/>
              <w:spacing w:before="0" w:beforeAutospacing="0" w:after="0" w:afterAutospacing="0"/>
              <w:ind w:left="0" w:leftChars="0" w:right="0" w:firstLine="0" w:firstLineChars="0"/>
              <w:rPr>
                <w:rFonts w:hint="eastAsia"/>
                <w:color w:val="auto"/>
                <w:lang w:val="en-US" w:eastAsia="zh-CN"/>
              </w:rPr>
            </w:pPr>
          </w:p>
          <w:p w14:paraId="7A0E267E">
            <w:pPr>
              <w:keepNext w:val="0"/>
              <w:keepLines w:val="0"/>
              <w:suppressLineNumbers w:val="0"/>
              <w:bidi w:val="0"/>
              <w:spacing w:before="0" w:beforeAutospacing="0" w:after="0" w:afterAutospacing="0"/>
              <w:ind w:left="0" w:leftChars="0" w:right="0" w:firstLine="0" w:firstLineChars="0"/>
              <w:rPr>
                <w:rFonts w:hint="eastAsia"/>
                <w:color w:val="auto"/>
                <w:lang w:val="en-US" w:eastAsia="zh-CN"/>
              </w:rPr>
            </w:pPr>
          </w:p>
          <w:p w14:paraId="519E3AE4">
            <w:pPr>
              <w:keepNext w:val="0"/>
              <w:keepLines w:val="0"/>
              <w:suppressLineNumbers w:val="0"/>
              <w:bidi w:val="0"/>
              <w:spacing w:before="0" w:beforeAutospacing="0" w:after="0" w:afterAutospacing="0"/>
              <w:ind w:left="0" w:leftChars="0" w:right="0" w:firstLine="0" w:firstLineChars="0"/>
              <w:rPr>
                <w:rFonts w:hint="eastAsia"/>
                <w:color w:val="auto"/>
                <w:lang w:val="en-US" w:eastAsia="zh-CN"/>
              </w:rPr>
            </w:pPr>
          </w:p>
          <w:p w14:paraId="27790F2F">
            <w:pPr>
              <w:keepNext w:val="0"/>
              <w:keepLines w:val="0"/>
              <w:suppressLineNumbers w:val="0"/>
              <w:bidi w:val="0"/>
              <w:spacing w:before="0" w:beforeAutospacing="0" w:after="0" w:afterAutospacing="0"/>
              <w:ind w:left="0" w:leftChars="0" w:right="0" w:firstLine="0" w:firstLineChars="0"/>
              <w:rPr>
                <w:rFonts w:hint="eastAsia" w:eastAsia="宋体"/>
                <w:color w:val="auto"/>
                <w:lang w:val="en-US" w:eastAsia="zh-CN"/>
              </w:rPr>
            </w:pPr>
          </w:p>
        </w:tc>
      </w:tr>
      <w:tr w14:paraId="3B13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vAlign w:val="center"/>
          </w:tcPr>
          <w:p w14:paraId="3A839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b/>
                <w:bCs/>
                <w:color w:val="auto"/>
                <w:vertAlign w:val="baseline"/>
                <w:lang w:val="en-US" w:eastAsia="zh-CN"/>
              </w:rPr>
            </w:pPr>
            <w:r>
              <w:rPr>
                <w:rFonts w:hint="eastAsia"/>
                <w:b/>
                <w:bCs/>
                <w:color w:val="auto"/>
                <w:vertAlign w:val="baseline"/>
                <w:lang w:val="en-US" w:eastAsia="zh-CN"/>
              </w:rPr>
              <w:t>污染物协同控制标准</w:t>
            </w:r>
          </w:p>
        </w:tc>
        <w:tc>
          <w:tcPr>
            <w:tcW w:w="8062" w:type="dxa"/>
          </w:tcPr>
          <w:p w14:paraId="0C3E43F6">
            <w:pPr>
              <w:keepNext w:val="0"/>
              <w:keepLines w:val="0"/>
              <w:numPr>
                <w:ilvl w:val="0"/>
                <w:numId w:val="9"/>
              </w:numPr>
              <w:suppressLineNumbers w:val="0"/>
              <w:bidi w:val="0"/>
              <w:adjustRightInd w:val="0"/>
              <w:snapToGrid w:val="0"/>
              <w:spacing w:before="0" w:beforeAutospacing="0" w:after="0" w:afterAutospacing="0"/>
              <w:ind w:left="-2" w:right="0" w:firstLine="482" w:firstLineChars="0"/>
              <w:rPr>
                <w:rFonts w:hint="eastAsia"/>
                <w:color w:val="auto"/>
                <w:lang w:val="en-US" w:eastAsia="zh-CN"/>
              </w:rPr>
            </w:pPr>
            <w:r>
              <w:rPr>
                <w:rFonts w:hint="eastAsia"/>
                <w:b/>
                <w:bCs/>
                <w:color w:val="auto"/>
                <w:lang w:val="en-US" w:eastAsia="zh-CN"/>
              </w:rPr>
              <w:t>废气</w:t>
            </w:r>
          </w:p>
          <w:p w14:paraId="39488615">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Theme="minorEastAsia"/>
                <w:color w:val="auto"/>
                <w:sz w:val="24"/>
              </w:rPr>
            </w:pPr>
            <w:r>
              <w:rPr>
                <w:rFonts w:hint="eastAsia" w:hAnsiTheme="minorEastAsia" w:eastAsiaTheme="minorEastAsia"/>
                <w:color w:val="auto"/>
                <w:kern w:val="0"/>
                <w:sz w:val="24"/>
                <w:szCs w:val="20"/>
              </w:rPr>
              <w:t>（</w:t>
            </w:r>
            <w:r>
              <w:rPr>
                <w:rFonts w:hint="eastAsia" w:eastAsiaTheme="minorEastAsia"/>
                <w:color w:val="auto"/>
                <w:kern w:val="0"/>
                <w:sz w:val="24"/>
                <w:szCs w:val="20"/>
              </w:rPr>
              <w:t>1</w:t>
            </w:r>
            <w:r>
              <w:rPr>
                <w:rFonts w:hint="eastAsia" w:hAnsiTheme="minorEastAsia" w:eastAsiaTheme="minorEastAsia"/>
                <w:color w:val="auto"/>
                <w:kern w:val="0"/>
                <w:sz w:val="24"/>
                <w:szCs w:val="20"/>
              </w:rPr>
              <w:t>）</w:t>
            </w:r>
            <w:r>
              <w:rPr>
                <w:rFonts w:hint="eastAsia" w:hAnsiTheme="minorEastAsia" w:eastAsiaTheme="minorEastAsia"/>
                <w:color w:val="auto"/>
                <w:sz w:val="24"/>
              </w:rPr>
              <w:t>施工期扬尘排放标准</w:t>
            </w:r>
          </w:p>
          <w:p w14:paraId="516E8ECA">
            <w:pPr>
              <w:pStyle w:val="33"/>
              <w:keepNext w:val="0"/>
              <w:keepLines w:val="0"/>
              <w:suppressLineNumbers w:val="0"/>
              <w:snapToGrid w:val="0"/>
              <w:spacing w:before="0" w:beforeAutospacing="0" w:after="0" w:afterAutospacing="0" w:line="360" w:lineRule="auto"/>
              <w:ind w:left="0" w:right="0" w:firstLine="480" w:firstLineChars="200"/>
              <w:jc w:val="both"/>
              <w:rPr>
                <w:rFonts w:hint="eastAsia" w:ascii="Times New Roman" w:cs="Times New Roman" w:hAnsiTheme="minorEastAsia" w:eastAsiaTheme="minorEastAsia"/>
                <w:color w:val="auto"/>
                <w:kern w:val="2"/>
              </w:rPr>
            </w:pPr>
            <w:r>
              <w:rPr>
                <w:rFonts w:hint="eastAsia" w:ascii="Times New Roman" w:cs="Times New Roman" w:hAnsiTheme="minorEastAsia" w:eastAsiaTheme="minorEastAsia"/>
                <w:color w:val="auto"/>
                <w:kern w:val="2"/>
              </w:rPr>
              <w:t>施工期扬尘执行《施工场地扬尘排放标准》（</w:t>
            </w:r>
            <w:r>
              <w:rPr>
                <w:rFonts w:hint="eastAsia" w:ascii="Times New Roman" w:cs="Times New Roman" w:eastAsiaTheme="minorEastAsia"/>
                <w:color w:val="auto"/>
                <w:kern w:val="2"/>
              </w:rPr>
              <w:t>DB32</w:t>
            </w:r>
            <w:r>
              <w:rPr>
                <w:rFonts w:hint="eastAsia" w:ascii="Times New Roman" w:cs="Times New Roman" w:hAnsiTheme="minorEastAsia" w:eastAsiaTheme="minorEastAsia"/>
                <w:color w:val="auto"/>
                <w:kern w:val="2"/>
              </w:rPr>
              <w:t>/</w:t>
            </w:r>
            <w:r>
              <w:rPr>
                <w:rFonts w:hint="eastAsia" w:ascii="Times New Roman" w:cs="Times New Roman" w:eastAsiaTheme="minorEastAsia"/>
                <w:color w:val="auto"/>
                <w:kern w:val="2"/>
              </w:rPr>
              <w:t>4437-2022</w:t>
            </w:r>
            <w:r>
              <w:rPr>
                <w:rFonts w:hint="eastAsia" w:ascii="Times New Roman" w:cs="Times New Roman" w:hAnsiTheme="minorEastAsia" w:eastAsiaTheme="minorEastAsia"/>
                <w:color w:val="auto"/>
                <w:kern w:val="2"/>
              </w:rPr>
              <w:t>）标准，详见下表。</w:t>
            </w:r>
          </w:p>
          <w:p w14:paraId="29E56F71">
            <w:pPr>
              <w:pStyle w:val="3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color w:val="auto"/>
                <w:kern w:val="2"/>
                <w:sz w:val="24"/>
              </w:rPr>
            </w:pPr>
            <w:r>
              <w:rPr>
                <w:rFonts w:hint="default" w:ascii="Times New Roman" w:hAnsi="Times New Roman" w:cs="Times New Roman" w:eastAsiaTheme="minorEastAsia"/>
                <w:b/>
                <w:color w:val="auto"/>
                <w:kern w:val="2"/>
                <w:sz w:val="24"/>
              </w:rPr>
              <w:t>表3.3-1</w:t>
            </w:r>
            <w:r>
              <w:rPr>
                <w:rFonts w:hint="eastAsia" w:ascii="Times New Roman" w:cs="Times New Roman" w:eastAsiaTheme="minorEastAsia"/>
                <w:b/>
                <w:color w:val="auto"/>
                <w:kern w:val="2"/>
                <w:sz w:val="24"/>
                <w:lang w:val="en-US" w:eastAsia="zh-CN"/>
              </w:rPr>
              <w:t xml:space="preserve"> </w:t>
            </w:r>
            <w:r>
              <w:rPr>
                <w:rFonts w:hint="default" w:ascii="Times New Roman" w:hAnsi="Times New Roman" w:cs="Times New Roman" w:eastAsiaTheme="minorEastAsia"/>
                <w:b/>
                <w:color w:val="auto"/>
                <w:kern w:val="2"/>
                <w:sz w:val="24"/>
              </w:rPr>
              <w:t>施工场地扬尘排放浓度限值</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513"/>
              <w:gridCol w:w="5341"/>
            </w:tblGrid>
            <w:tr w14:paraId="491BE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00" w:type="pct"/>
                  <w:vAlign w:val="center"/>
                </w:tcPr>
                <w:p w14:paraId="04B9831A">
                  <w:pPr>
                    <w:pStyle w:val="33"/>
                    <w:keepNext w:val="0"/>
                    <w:keepLines w:val="0"/>
                    <w:suppressLineNumbers w:val="0"/>
                    <w:snapToGrid w:val="0"/>
                    <w:spacing w:before="0" w:beforeAutospacing="0" w:after="0" w:afterAutospacing="0"/>
                    <w:ind w:left="0" w:right="0" w:firstLine="0"/>
                    <w:jc w:val="center"/>
                    <w:rPr>
                      <w:rFonts w:hint="eastAsia" w:ascii="Times New Roman" w:cs="Times New Roman" w:eastAsiaTheme="minorEastAsia"/>
                      <w:b/>
                      <w:color w:val="auto"/>
                      <w:kern w:val="2"/>
                      <w:sz w:val="18"/>
                      <w:szCs w:val="18"/>
                    </w:rPr>
                  </w:pPr>
                  <w:r>
                    <w:rPr>
                      <w:rFonts w:hint="eastAsia" w:ascii="Times New Roman" w:cs="Times New Roman" w:hAnsiTheme="minorEastAsia" w:eastAsiaTheme="minorEastAsia"/>
                      <w:b/>
                      <w:color w:val="auto"/>
                      <w:kern w:val="2"/>
                      <w:sz w:val="18"/>
                      <w:szCs w:val="18"/>
                    </w:rPr>
                    <w:t>监测项目</w:t>
                  </w:r>
                </w:p>
              </w:tc>
              <w:tc>
                <w:tcPr>
                  <w:tcW w:w="3400" w:type="pct"/>
                  <w:vAlign w:val="center"/>
                </w:tcPr>
                <w:p w14:paraId="11F2309C">
                  <w:pPr>
                    <w:pStyle w:val="33"/>
                    <w:keepNext w:val="0"/>
                    <w:keepLines w:val="0"/>
                    <w:suppressLineNumbers w:val="0"/>
                    <w:snapToGrid w:val="0"/>
                    <w:spacing w:before="0" w:beforeAutospacing="0" w:after="0" w:afterAutospacing="0"/>
                    <w:ind w:left="0" w:right="0" w:firstLine="0"/>
                    <w:jc w:val="center"/>
                    <w:rPr>
                      <w:rFonts w:hint="eastAsia" w:ascii="Times New Roman" w:cs="Times New Roman" w:eastAsiaTheme="minorEastAsia"/>
                      <w:b/>
                      <w:color w:val="auto"/>
                      <w:kern w:val="2"/>
                      <w:sz w:val="18"/>
                      <w:szCs w:val="18"/>
                    </w:rPr>
                  </w:pPr>
                  <w:r>
                    <w:rPr>
                      <w:rFonts w:hint="eastAsia" w:ascii="Times New Roman" w:cs="Times New Roman" w:hAnsiTheme="minorEastAsia" w:eastAsiaTheme="minorEastAsia"/>
                      <w:b/>
                      <w:color w:val="auto"/>
                      <w:kern w:val="2"/>
                      <w:sz w:val="18"/>
                      <w:szCs w:val="18"/>
                    </w:rPr>
                    <w:t>浓度限值（</w:t>
                  </w:r>
                  <w:r>
                    <w:rPr>
                      <w:rFonts w:hint="eastAsia" w:ascii="Times New Roman" w:cs="Times New Roman" w:eastAsiaTheme="minorEastAsia"/>
                      <w:b/>
                      <w:color w:val="auto"/>
                      <w:kern w:val="2"/>
                      <w:sz w:val="18"/>
                      <w:szCs w:val="18"/>
                    </w:rPr>
                    <w:t>μg/m</w:t>
                  </w:r>
                  <w:r>
                    <w:rPr>
                      <w:rFonts w:hint="eastAsia" w:ascii="Times New Roman" w:cs="Times New Roman" w:eastAsiaTheme="minorEastAsia"/>
                      <w:b/>
                      <w:color w:val="auto"/>
                      <w:kern w:val="2"/>
                      <w:sz w:val="18"/>
                      <w:szCs w:val="18"/>
                      <w:vertAlign w:val="superscript"/>
                    </w:rPr>
                    <w:t>3</w:t>
                  </w:r>
                  <w:r>
                    <w:rPr>
                      <w:rFonts w:hint="eastAsia" w:ascii="Times New Roman" w:cs="Times New Roman" w:hAnsiTheme="minorEastAsia" w:eastAsiaTheme="minorEastAsia"/>
                      <w:b/>
                      <w:color w:val="auto"/>
                      <w:kern w:val="2"/>
                      <w:sz w:val="18"/>
                      <w:szCs w:val="18"/>
                    </w:rPr>
                    <w:t>）</w:t>
                  </w:r>
                </w:p>
              </w:tc>
            </w:tr>
            <w:tr w14:paraId="26D6CD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2" w:hRule="atLeast"/>
              </w:trPr>
              <w:tc>
                <w:tcPr>
                  <w:tcW w:w="1600" w:type="pct"/>
                  <w:vAlign w:val="center"/>
                </w:tcPr>
                <w:p w14:paraId="75A5FD67">
                  <w:pPr>
                    <w:pStyle w:val="33"/>
                    <w:keepNext w:val="0"/>
                    <w:keepLines w:val="0"/>
                    <w:suppressLineNumbers w:val="0"/>
                    <w:snapToGrid w:val="0"/>
                    <w:spacing w:before="0" w:beforeAutospacing="0" w:after="0" w:afterAutospacing="0"/>
                    <w:ind w:left="0" w:right="0"/>
                    <w:jc w:val="center"/>
                    <w:rPr>
                      <w:rFonts w:hint="eastAsia" w:ascii="Times New Roman" w:cs="Times New Roman" w:eastAsiaTheme="minorEastAsia"/>
                      <w:color w:val="auto"/>
                      <w:kern w:val="2"/>
                      <w:sz w:val="18"/>
                      <w:szCs w:val="18"/>
                    </w:rPr>
                  </w:pPr>
                  <w:r>
                    <w:rPr>
                      <w:rFonts w:hint="eastAsia" w:ascii="Times New Roman" w:cs="Times New Roman" w:eastAsiaTheme="minorEastAsia"/>
                      <w:color w:val="auto"/>
                      <w:kern w:val="2"/>
                      <w:sz w:val="18"/>
                      <w:szCs w:val="18"/>
                    </w:rPr>
                    <w:t>TSP</w:t>
                  </w:r>
                  <w:r>
                    <w:rPr>
                      <w:rFonts w:hint="eastAsia" w:ascii="Times New Roman" w:cs="Times New Roman" w:eastAsiaTheme="minorEastAsia"/>
                      <w:color w:val="auto"/>
                      <w:kern w:val="2"/>
                      <w:sz w:val="18"/>
                      <w:szCs w:val="18"/>
                      <w:vertAlign w:val="superscript"/>
                    </w:rPr>
                    <w:t>a</w:t>
                  </w:r>
                </w:p>
              </w:tc>
              <w:tc>
                <w:tcPr>
                  <w:tcW w:w="3400" w:type="pct"/>
                  <w:vAlign w:val="center"/>
                </w:tcPr>
                <w:p w14:paraId="53339954">
                  <w:pPr>
                    <w:pStyle w:val="33"/>
                    <w:keepNext w:val="0"/>
                    <w:keepLines w:val="0"/>
                    <w:suppressLineNumbers w:val="0"/>
                    <w:snapToGrid w:val="0"/>
                    <w:spacing w:before="0" w:beforeAutospacing="0" w:after="0" w:afterAutospacing="0"/>
                    <w:ind w:left="0" w:right="0"/>
                    <w:jc w:val="center"/>
                    <w:rPr>
                      <w:rFonts w:hint="eastAsia" w:ascii="Times New Roman" w:cs="Times New Roman" w:eastAsiaTheme="minorEastAsia"/>
                      <w:color w:val="auto"/>
                      <w:kern w:val="2"/>
                      <w:sz w:val="18"/>
                      <w:szCs w:val="18"/>
                    </w:rPr>
                  </w:pPr>
                  <w:r>
                    <w:rPr>
                      <w:rFonts w:hint="eastAsia" w:ascii="Times New Roman" w:cs="Times New Roman" w:eastAsiaTheme="minorEastAsia"/>
                      <w:color w:val="auto"/>
                      <w:kern w:val="2"/>
                      <w:sz w:val="18"/>
                      <w:szCs w:val="18"/>
                    </w:rPr>
                    <w:t>500</w:t>
                  </w:r>
                </w:p>
              </w:tc>
            </w:tr>
            <w:tr w14:paraId="2CAAF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5" w:hRule="atLeast"/>
              </w:trPr>
              <w:tc>
                <w:tcPr>
                  <w:tcW w:w="1600" w:type="pct"/>
                  <w:vAlign w:val="center"/>
                </w:tcPr>
                <w:p w14:paraId="75476D12">
                  <w:pPr>
                    <w:pStyle w:val="33"/>
                    <w:keepNext w:val="0"/>
                    <w:keepLines w:val="0"/>
                    <w:suppressLineNumbers w:val="0"/>
                    <w:snapToGrid w:val="0"/>
                    <w:spacing w:before="0" w:beforeAutospacing="0" w:after="0" w:afterAutospacing="0"/>
                    <w:ind w:left="0" w:right="0"/>
                    <w:jc w:val="center"/>
                    <w:rPr>
                      <w:rFonts w:hint="eastAsia" w:ascii="Times New Roman" w:cs="Times New Roman" w:eastAsiaTheme="minorEastAsia"/>
                      <w:color w:val="auto"/>
                      <w:kern w:val="2"/>
                      <w:sz w:val="18"/>
                      <w:szCs w:val="18"/>
                    </w:rPr>
                  </w:pPr>
                  <w:r>
                    <w:rPr>
                      <w:rFonts w:hint="eastAsia" w:ascii="Times New Roman" w:cs="Times New Roman" w:eastAsiaTheme="minorEastAsia"/>
                      <w:color w:val="auto"/>
                      <w:kern w:val="2"/>
                      <w:sz w:val="18"/>
                      <w:szCs w:val="18"/>
                    </w:rPr>
                    <w:t>PM</w:t>
                  </w:r>
                  <w:r>
                    <w:rPr>
                      <w:rFonts w:hint="eastAsia" w:ascii="Times New Roman" w:cs="Times New Roman" w:eastAsiaTheme="minorEastAsia"/>
                      <w:color w:val="auto"/>
                      <w:kern w:val="2"/>
                      <w:sz w:val="18"/>
                      <w:szCs w:val="18"/>
                      <w:vertAlign w:val="subscript"/>
                    </w:rPr>
                    <w:t>10</w:t>
                  </w:r>
                  <w:r>
                    <w:rPr>
                      <w:rFonts w:hint="eastAsia" w:ascii="Times New Roman" w:cs="Times New Roman" w:eastAsiaTheme="minorEastAsia"/>
                      <w:color w:val="auto"/>
                      <w:kern w:val="2"/>
                      <w:sz w:val="18"/>
                      <w:szCs w:val="18"/>
                      <w:vertAlign w:val="superscript"/>
                    </w:rPr>
                    <w:t>b</w:t>
                  </w:r>
                </w:p>
              </w:tc>
              <w:tc>
                <w:tcPr>
                  <w:tcW w:w="3400" w:type="pct"/>
                  <w:vAlign w:val="center"/>
                </w:tcPr>
                <w:p w14:paraId="693BA534">
                  <w:pPr>
                    <w:pStyle w:val="33"/>
                    <w:keepNext w:val="0"/>
                    <w:keepLines w:val="0"/>
                    <w:suppressLineNumbers w:val="0"/>
                    <w:snapToGrid w:val="0"/>
                    <w:spacing w:before="0" w:beforeAutospacing="0" w:after="0" w:afterAutospacing="0"/>
                    <w:ind w:left="0" w:right="0"/>
                    <w:jc w:val="center"/>
                    <w:rPr>
                      <w:rFonts w:hint="eastAsia" w:ascii="Times New Roman" w:cs="Times New Roman" w:eastAsiaTheme="minorEastAsia"/>
                      <w:color w:val="auto"/>
                      <w:kern w:val="2"/>
                      <w:sz w:val="18"/>
                      <w:szCs w:val="18"/>
                    </w:rPr>
                  </w:pPr>
                  <w:r>
                    <w:rPr>
                      <w:rFonts w:hint="eastAsia" w:ascii="Times New Roman" w:cs="Times New Roman" w:eastAsiaTheme="minorEastAsia"/>
                      <w:color w:val="auto"/>
                      <w:kern w:val="2"/>
                      <w:sz w:val="18"/>
                      <w:szCs w:val="18"/>
                    </w:rPr>
                    <w:t>80</w:t>
                  </w:r>
                </w:p>
              </w:tc>
            </w:tr>
            <w:tr w14:paraId="59B56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000" w:type="pct"/>
                  <w:gridSpan w:val="2"/>
                  <w:vAlign w:val="center"/>
                </w:tcPr>
                <w:p w14:paraId="115C65A2">
                  <w:pPr>
                    <w:pStyle w:val="33"/>
                    <w:keepNext w:val="0"/>
                    <w:keepLines w:val="0"/>
                    <w:suppressLineNumbers w:val="0"/>
                    <w:snapToGrid w:val="0"/>
                    <w:spacing w:before="0" w:beforeAutospacing="0" w:after="0" w:afterAutospacing="0"/>
                    <w:ind w:left="0" w:right="0"/>
                    <w:jc w:val="both"/>
                    <w:rPr>
                      <w:rFonts w:hint="eastAsia" w:ascii="Times New Roman" w:cs="Times New Roman" w:eastAsiaTheme="minorEastAsia"/>
                      <w:color w:val="auto"/>
                      <w:kern w:val="2"/>
                      <w:sz w:val="18"/>
                      <w:szCs w:val="18"/>
                    </w:rPr>
                  </w:pPr>
                  <w:r>
                    <w:rPr>
                      <w:rFonts w:hint="eastAsia" w:ascii="Times New Roman" w:cs="Times New Roman" w:eastAsiaTheme="minorEastAsia"/>
                      <w:color w:val="auto"/>
                      <w:kern w:val="2"/>
                      <w:sz w:val="18"/>
                      <w:szCs w:val="18"/>
                    </w:rPr>
                    <w:t>a.</w:t>
                  </w:r>
                  <w:r>
                    <w:rPr>
                      <w:rFonts w:hint="eastAsia" w:ascii="Times New Roman" w:cs="Times New Roman" w:hAnsiTheme="minorEastAsia" w:eastAsiaTheme="minorEastAsia"/>
                      <w:color w:val="auto"/>
                      <w:kern w:val="2"/>
                      <w:sz w:val="18"/>
                      <w:szCs w:val="18"/>
                    </w:rPr>
                    <w:t>任一监控点</w:t>
                  </w:r>
                  <w:r>
                    <w:rPr>
                      <w:rFonts w:hint="eastAsia" w:ascii="Times New Roman" w:cs="Times New Roman" w:hAnsiTheme="minorEastAsia" w:eastAsiaTheme="minorEastAsia"/>
                      <w:color w:val="auto"/>
                      <w:kern w:val="2"/>
                      <w:sz w:val="18"/>
                      <w:szCs w:val="18"/>
                      <w:lang w:eastAsia="zh-CN"/>
                    </w:rPr>
                    <w:t>（</w:t>
                  </w:r>
                  <w:r>
                    <w:rPr>
                      <w:rFonts w:hint="eastAsia" w:ascii="Times New Roman" w:cs="Times New Roman" w:eastAsiaTheme="minorEastAsia"/>
                      <w:color w:val="auto"/>
                      <w:kern w:val="2"/>
                      <w:sz w:val="18"/>
                      <w:szCs w:val="18"/>
                    </w:rPr>
                    <w:t>TSP</w:t>
                  </w:r>
                  <w:r>
                    <w:rPr>
                      <w:rFonts w:hint="eastAsia" w:ascii="Times New Roman" w:cs="Times New Roman" w:hAnsiTheme="minorEastAsia" w:eastAsiaTheme="minorEastAsia"/>
                      <w:color w:val="auto"/>
                      <w:kern w:val="2"/>
                      <w:sz w:val="18"/>
                      <w:szCs w:val="18"/>
                    </w:rPr>
                    <w:t>自动监测</w:t>
                  </w:r>
                  <w:r>
                    <w:rPr>
                      <w:rFonts w:hint="eastAsia" w:ascii="Times New Roman" w:cs="Times New Roman" w:hAnsiTheme="minorEastAsia" w:eastAsiaTheme="minorEastAsia"/>
                      <w:color w:val="auto"/>
                      <w:kern w:val="2"/>
                      <w:sz w:val="18"/>
                      <w:szCs w:val="18"/>
                      <w:lang w:eastAsia="zh-CN"/>
                    </w:rPr>
                    <w:t>）</w:t>
                  </w:r>
                  <w:r>
                    <w:rPr>
                      <w:rFonts w:hint="eastAsia" w:ascii="Times New Roman" w:cs="Times New Roman" w:hAnsiTheme="minorEastAsia" w:eastAsiaTheme="minorEastAsia"/>
                      <w:color w:val="auto"/>
                      <w:kern w:val="2"/>
                      <w:sz w:val="18"/>
                      <w:szCs w:val="18"/>
                    </w:rPr>
                    <w:t>自整时起依次顺延</w:t>
                  </w:r>
                  <w:r>
                    <w:rPr>
                      <w:rFonts w:hint="eastAsia" w:ascii="Times New Roman" w:cs="Times New Roman" w:eastAsiaTheme="minorEastAsia"/>
                      <w:color w:val="auto"/>
                      <w:kern w:val="2"/>
                      <w:sz w:val="18"/>
                      <w:szCs w:val="18"/>
                    </w:rPr>
                    <w:t>15min</w:t>
                  </w:r>
                  <w:r>
                    <w:rPr>
                      <w:rFonts w:hint="eastAsia" w:ascii="Times New Roman" w:cs="Times New Roman" w:hAnsiTheme="minorEastAsia" w:eastAsiaTheme="minorEastAsia"/>
                      <w:color w:val="auto"/>
                      <w:kern w:val="2"/>
                      <w:sz w:val="18"/>
                      <w:szCs w:val="18"/>
                    </w:rPr>
                    <w:t>的总悬浮颗粒物浓度平均值不应超过的限值。根据</w:t>
                  </w:r>
                  <w:r>
                    <w:rPr>
                      <w:rFonts w:hint="eastAsia" w:ascii="Times New Roman" w:cs="Times New Roman" w:eastAsiaTheme="minorEastAsia"/>
                      <w:color w:val="auto"/>
                      <w:kern w:val="2"/>
                      <w:sz w:val="18"/>
                      <w:szCs w:val="18"/>
                    </w:rPr>
                    <w:t>HJ 633</w:t>
                  </w:r>
                  <w:r>
                    <w:rPr>
                      <w:rFonts w:hint="eastAsia" w:ascii="Times New Roman" w:cs="Times New Roman" w:hAnsiTheme="minorEastAsia" w:eastAsiaTheme="minorEastAsia"/>
                      <w:color w:val="auto"/>
                      <w:kern w:val="2"/>
                      <w:sz w:val="18"/>
                      <w:szCs w:val="18"/>
                    </w:rPr>
                    <w:t>判定设区市</w:t>
                  </w:r>
                  <w:r>
                    <w:rPr>
                      <w:rFonts w:hint="eastAsia" w:ascii="Times New Roman" w:cs="Times New Roman" w:eastAsiaTheme="minorEastAsia"/>
                      <w:color w:val="auto"/>
                      <w:kern w:val="2"/>
                      <w:sz w:val="18"/>
                      <w:szCs w:val="18"/>
                    </w:rPr>
                    <w:t>AQI</w:t>
                  </w:r>
                  <w:r>
                    <w:rPr>
                      <w:rFonts w:hint="eastAsia" w:ascii="Times New Roman" w:cs="Times New Roman" w:hAnsiTheme="minorEastAsia" w:eastAsiaTheme="minorEastAsia"/>
                      <w:color w:val="auto"/>
                      <w:kern w:val="2"/>
                      <w:sz w:val="18"/>
                      <w:szCs w:val="18"/>
                    </w:rPr>
                    <w:t>在</w:t>
                  </w:r>
                  <w:r>
                    <w:rPr>
                      <w:rFonts w:hint="eastAsia" w:ascii="Times New Roman" w:cs="Times New Roman" w:eastAsiaTheme="minorEastAsia"/>
                      <w:color w:val="auto"/>
                      <w:kern w:val="2"/>
                      <w:sz w:val="18"/>
                      <w:szCs w:val="18"/>
                    </w:rPr>
                    <w:t>200~300</w:t>
                  </w:r>
                  <w:r>
                    <w:rPr>
                      <w:rFonts w:hint="eastAsia" w:ascii="Times New Roman" w:cs="Times New Roman" w:hAnsiTheme="minorEastAsia" w:eastAsiaTheme="minorEastAsia"/>
                      <w:color w:val="auto"/>
                      <w:kern w:val="2"/>
                      <w:sz w:val="18"/>
                      <w:szCs w:val="18"/>
                    </w:rPr>
                    <w:t>之间且首要污染物为</w:t>
                  </w:r>
                  <w:r>
                    <w:rPr>
                      <w:rFonts w:hint="eastAsia" w:ascii="Times New Roman" w:cs="Times New Roman" w:eastAsiaTheme="minorEastAsia"/>
                      <w:color w:val="auto"/>
                      <w:kern w:val="2"/>
                      <w:sz w:val="18"/>
                      <w:szCs w:val="18"/>
                    </w:rPr>
                    <w:t>PM</w:t>
                  </w:r>
                  <w:r>
                    <w:rPr>
                      <w:rFonts w:hint="eastAsia" w:ascii="Times New Roman" w:cs="Times New Roman" w:eastAsiaTheme="minorEastAsia"/>
                      <w:color w:val="auto"/>
                      <w:kern w:val="2"/>
                      <w:sz w:val="18"/>
                      <w:szCs w:val="18"/>
                      <w:vertAlign w:val="subscript"/>
                    </w:rPr>
                    <w:t>10</w:t>
                  </w:r>
                  <w:r>
                    <w:rPr>
                      <w:rFonts w:hint="eastAsia" w:ascii="Times New Roman" w:cs="Times New Roman" w:hAnsiTheme="minorEastAsia" w:eastAsiaTheme="minorEastAsia"/>
                      <w:color w:val="auto"/>
                      <w:kern w:val="2"/>
                      <w:sz w:val="18"/>
                      <w:szCs w:val="18"/>
                    </w:rPr>
                    <w:t>或</w:t>
                  </w:r>
                  <w:r>
                    <w:rPr>
                      <w:rFonts w:hint="eastAsia" w:ascii="Times New Roman" w:cs="Times New Roman" w:eastAsiaTheme="minorEastAsia"/>
                      <w:color w:val="auto"/>
                      <w:kern w:val="2"/>
                      <w:sz w:val="18"/>
                      <w:szCs w:val="18"/>
                    </w:rPr>
                    <w:t>PM</w:t>
                  </w:r>
                  <w:r>
                    <w:rPr>
                      <w:rFonts w:hint="eastAsia" w:ascii="Times New Roman" w:cs="Times New Roman" w:eastAsiaTheme="minorEastAsia"/>
                      <w:color w:val="auto"/>
                      <w:kern w:val="2"/>
                      <w:sz w:val="18"/>
                      <w:szCs w:val="18"/>
                      <w:vertAlign w:val="subscript"/>
                    </w:rPr>
                    <w:t>2.5</w:t>
                  </w:r>
                  <w:r>
                    <w:rPr>
                      <w:rFonts w:hint="eastAsia" w:ascii="Times New Roman" w:cs="Times New Roman" w:hAnsiTheme="minorEastAsia" w:eastAsiaTheme="minorEastAsia"/>
                      <w:color w:val="auto"/>
                      <w:kern w:val="2"/>
                      <w:sz w:val="18"/>
                      <w:szCs w:val="18"/>
                    </w:rPr>
                    <w:t>时，</w:t>
                  </w:r>
                  <w:r>
                    <w:rPr>
                      <w:rFonts w:hint="eastAsia" w:ascii="Times New Roman" w:cs="Times New Roman" w:eastAsiaTheme="minorEastAsia"/>
                      <w:color w:val="auto"/>
                      <w:kern w:val="2"/>
                      <w:sz w:val="18"/>
                      <w:szCs w:val="18"/>
                    </w:rPr>
                    <w:t>TSP</w:t>
                  </w:r>
                  <w:r>
                    <w:rPr>
                      <w:rFonts w:hint="eastAsia" w:ascii="Times New Roman" w:cs="Times New Roman" w:hAnsiTheme="minorEastAsia" w:eastAsiaTheme="minorEastAsia"/>
                      <w:color w:val="auto"/>
                      <w:kern w:val="2"/>
                      <w:sz w:val="18"/>
                      <w:szCs w:val="18"/>
                    </w:rPr>
                    <w:t>实测值扣除</w:t>
                  </w:r>
                  <w:r>
                    <w:rPr>
                      <w:rFonts w:hint="eastAsia" w:ascii="Times New Roman" w:cs="Times New Roman" w:eastAsiaTheme="minorEastAsia"/>
                      <w:color w:val="auto"/>
                      <w:kern w:val="2"/>
                      <w:sz w:val="18"/>
                      <w:szCs w:val="18"/>
                    </w:rPr>
                    <w:t>200μg/m</w:t>
                  </w:r>
                  <w:r>
                    <w:rPr>
                      <w:rFonts w:hint="eastAsia" w:ascii="Times New Roman" w:cs="Times New Roman" w:eastAsiaTheme="minorEastAsia"/>
                      <w:color w:val="auto"/>
                      <w:kern w:val="2"/>
                      <w:sz w:val="18"/>
                      <w:szCs w:val="18"/>
                      <w:vertAlign w:val="superscript"/>
                    </w:rPr>
                    <w:t>3</w:t>
                  </w:r>
                  <w:r>
                    <w:rPr>
                      <w:rFonts w:hint="eastAsia" w:ascii="Times New Roman" w:cs="Times New Roman" w:hAnsiTheme="minorEastAsia" w:eastAsiaTheme="minorEastAsia"/>
                      <w:color w:val="auto"/>
                      <w:kern w:val="2"/>
                      <w:sz w:val="18"/>
                      <w:szCs w:val="18"/>
                    </w:rPr>
                    <w:t>后再进行评价。</w:t>
                  </w:r>
                </w:p>
                <w:p w14:paraId="2BE03D47">
                  <w:pPr>
                    <w:pStyle w:val="33"/>
                    <w:keepNext w:val="0"/>
                    <w:keepLines w:val="0"/>
                    <w:suppressLineNumbers w:val="0"/>
                    <w:snapToGrid w:val="0"/>
                    <w:spacing w:before="0" w:beforeAutospacing="0" w:after="0" w:afterAutospacing="0"/>
                    <w:ind w:left="0" w:right="0"/>
                    <w:jc w:val="both"/>
                    <w:rPr>
                      <w:rFonts w:hint="eastAsia" w:ascii="Times New Roman" w:cs="Times New Roman" w:eastAsiaTheme="minorEastAsia"/>
                      <w:color w:val="auto"/>
                      <w:kern w:val="2"/>
                      <w:sz w:val="18"/>
                      <w:szCs w:val="18"/>
                    </w:rPr>
                  </w:pPr>
                  <w:r>
                    <w:rPr>
                      <w:rFonts w:hint="eastAsia" w:ascii="Times New Roman" w:cs="Times New Roman" w:eastAsiaTheme="minorEastAsia"/>
                      <w:color w:val="auto"/>
                      <w:kern w:val="2"/>
                      <w:sz w:val="18"/>
                      <w:szCs w:val="18"/>
                    </w:rPr>
                    <w:t>b.</w:t>
                  </w:r>
                  <w:r>
                    <w:rPr>
                      <w:rFonts w:hint="eastAsia" w:ascii="Times New Roman" w:cs="Times New Roman" w:hAnsiTheme="minorEastAsia" w:eastAsiaTheme="minorEastAsia"/>
                      <w:color w:val="auto"/>
                      <w:kern w:val="2"/>
                      <w:sz w:val="18"/>
                      <w:szCs w:val="18"/>
                    </w:rPr>
                    <w:t>任一监控点</w:t>
                  </w:r>
                  <w:r>
                    <w:rPr>
                      <w:rFonts w:hint="eastAsia" w:ascii="Times New Roman" w:cs="Times New Roman" w:hAnsiTheme="minorEastAsia" w:eastAsiaTheme="minorEastAsia"/>
                      <w:color w:val="auto"/>
                      <w:kern w:val="2"/>
                      <w:sz w:val="18"/>
                      <w:szCs w:val="18"/>
                      <w:lang w:eastAsia="zh-CN"/>
                    </w:rPr>
                    <w:t>（</w:t>
                  </w:r>
                  <w:r>
                    <w:rPr>
                      <w:rFonts w:hint="eastAsia" w:ascii="Times New Roman" w:cs="Times New Roman" w:eastAsiaTheme="minorEastAsia"/>
                      <w:color w:val="auto"/>
                      <w:kern w:val="2"/>
                      <w:sz w:val="18"/>
                      <w:szCs w:val="18"/>
                    </w:rPr>
                    <w:t>PM</w:t>
                  </w:r>
                  <w:r>
                    <w:rPr>
                      <w:rFonts w:hint="eastAsia" w:ascii="Times New Roman" w:cs="Times New Roman" w:eastAsiaTheme="minorEastAsia"/>
                      <w:color w:val="auto"/>
                      <w:kern w:val="2"/>
                      <w:sz w:val="18"/>
                      <w:szCs w:val="18"/>
                      <w:vertAlign w:val="subscript"/>
                    </w:rPr>
                    <w:t>10</w:t>
                  </w:r>
                  <w:r>
                    <w:rPr>
                      <w:rFonts w:hint="eastAsia" w:ascii="Times New Roman" w:cs="Times New Roman" w:hAnsiTheme="minorEastAsia" w:eastAsiaTheme="minorEastAsia"/>
                      <w:color w:val="auto"/>
                      <w:kern w:val="2"/>
                      <w:sz w:val="18"/>
                      <w:szCs w:val="18"/>
                    </w:rPr>
                    <w:t>自动监测</w:t>
                  </w:r>
                  <w:r>
                    <w:rPr>
                      <w:rFonts w:hint="eastAsia" w:ascii="Times New Roman" w:cs="Times New Roman" w:hAnsiTheme="minorEastAsia" w:eastAsiaTheme="minorEastAsia"/>
                      <w:color w:val="auto"/>
                      <w:kern w:val="2"/>
                      <w:sz w:val="18"/>
                      <w:szCs w:val="18"/>
                      <w:lang w:eastAsia="zh-CN"/>
                    </w:rPr>
                    <w:t>）</w:t>
                  </w:r>
                  <w:r>
                    <w:rPr>
                      <w:rFonts w:hint="eastAsia" w:ascii="Times New Roman" w:cs="Times New Roman" w:hAnsiTheme="minorEastAsia" w:eastAsiaTheme="minorEastAsia"/>
                      <w:color w:val="auto"/>
                      <w:kern w:val="2"/>
                      <w:sz w:val="18"/>
                      <w:szCs w:val="18"/>
                    </w:rPr>
                    <w:t>自整时起依次顺延</w:t>
                  </w:r>
                  <w:r>
                    <w:rPr>
                      <w:rFonts w:hint="eastAsia" w:ascii="Times New Roman" w:cs="Times New Roman" w:eastAsiaTheme="minorEastAsia"/>
                      <w:color w:val="auto"/>
                      <w:kern w:val="2"/>
                      <w:sz w:val="18"/>
                      <w:szCs w:val="18"/>
                    </w:rPr>
                    <w:t>1h</w:t>
                  </w:r>
                  <w:r>
                    <w:rPr>
                      <w:rFonts w:hint="eastAsia" w:ascii="Times New Roman" w:cs="Times New Roman" w:hAnsiTheme="minorEastAsia" w:eastAsiaTheme="minorEastAsia"/>
                      <w:color w:val="auto"/>
                      <w:kern w:val="2"/>
                      <w:sz w:val="18"/>
                      <w:szCs w:val="18"/>
                    </w:rPr>
                    <w:t>的</w:t>
                  </w:r>
                  <w:r>
                    <w:rPr>
                      <w:rFonts w:hint="eastAsia" w:ascii="Times New Roman" w:cs="Times New Roman" w:eastAsiaTheme="minorEastAsia"/>
                      <w:color w:val="auto"/>
                      <w:kern w:val="2"/>
                      <w:sz w:val="18"/>
                      <w:szCs w:val="18"/>
                    </w:rPr>
                    <w:t>PM</w:t>
                  </w:r>
                  <w:r>
                    <w:rPr>
                      <w:rFonts w:hint="eastAsia" w:ascii="Times New Roman" w:cs="Times New Roman" w:eastAsiaTheme="minorEastAsia"/>
                      <w:color w:val="auto"/>
                      <w:kern w:val="2"/>
                      <w:sz w:val="18"/>
                      <w:szCs w:val="18"/>
                      <w:vertAlign w:val="subscript"/>
                    </w:rPr>
                    <w:t>10</w:t>
                  </w:r>
                  <w:r>
                    <w:rPr>
                      <w:rFonts w:hint="eastAsia" w:ascii="Times New Roman" w:cs="Times New Roman" w:hAnsiTheme="minorEastAsia" w:eastAsiaTheme="minorEastAsia"/>
                      <w:color w:val="auto"/>
                      <w:kern w:val="2"/>
                      <w:sz w:val="18"/>
                      <w:szCs w:val="18"/>
                    </w:rPr>
                    <w:t>浓度平均值与同时段所属设区市</w:t>
                  </w:r>
                  <w:r>
                    <w:rPr>
                      <w:rFonts w:hint="eastAsia" w:ascii="Times New Roman" w:cs="Times New Roman" w:eastAsiaTheme="minorEastAsia"/>
                      <w:color w:val="auto"/>
                      <w:kern w:val="2"/>
                      <w:sz w:val="18"/>
                      <w:szCs w:val="18"/>
                    </w:rPr>
                    <w:t>PM</w:t>
                  </w:r>
                  <w:r>
                    <w:rPr>
                      <w:rFonts w:hint="eastAsia" w:ascii="Times New Roman" w:cs="Times New Roman" w:eastAsiaTheme="minorEastAsia"/>
                      <w:color w:val="auto"/>
                      <w:kern w:val="2"/>
                      <w:sz w:val="18"/>
                      <w:szCs w:val="18"/>
                      <w:vertAlign w:val="subscript"/>
                    </w:rPr>
                    <w:t>10</w:t>
                  </w:r>
                  <w:r>
                    <w:rPr>
                      <w:rFonts w:hint="eastAsia" w:ascii="Times New Roman" w:cs="Times New Roman" w:hAnsiTheme="minorEastAsia" w:eastAsiaTheme="minorEastAsia"/>
                      <w:color w:val="auto"/>
                      <w:kern w:val="2"/>
                      <w:sz w:val="18"/>
                      <w:szCs w:val="18"/>
                    </w:rPr>
                    <w:t>小时平均浓度的差值不应超过的限值。</w:t>
                  </w:r>
                </w:p>
              </w:tc>
            </w:tr>
          </w:tbl>
          <w:p w14:paraId="0BEC1471">
            <w:pPr>
              <w:keepNext w:val="0"/>
              <w:keepLines w:val="0"/>
              <w:suppressLineNumbers w:val="0"/>
              <w:spacing w:before="0" w:beforeAutospacing="0" w:after="0" w:afterAutospacing="0"/>
              <w:ind w:left="0" w:right="0"/>
              <w:rPr>
                <w:rFonts w:hint="eastAsia"/>
                <w:color w:val="auto"/>
              </w:rPr>
            </w:pPr>
            <w:r>
              <w:rPr>
                <w:rFonts w:hint="eastAsia"/>
                <w:color w:val="auto"/>
              </w:rPr>
              <w:t>（2）运营期废气排放标准</w:t>
            </w:r>
          </w:p>
          <w:p w14:paraId="4DF21D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lang w:val="en-US" w:eastAsia="zh-CN"/>
              </w:rPr>
              <w:t>本项目</w:t>
            </w:r>
            <w:r>
              <w:rPr>
                <w:rFonts w:hint="eastAsia" w:ascii="Times New Roman" w:hAnsi="Times New Roman" w:eastAsia="宋体" w:cs="Times New Roman"/>
                <w:color w:val="auto"/>
                <w:lang w:val="en-US" w:eastAsia="zh-CN"/>
              </w:rPr>
              <w:t>非甲烷总烃废气</w:t>
            </w:r>
            <w:r>
              <w:rPr>
                <w:rFonts w:hint="default" w:ascii="Times New Roman" w:hAnsi="Times New Roman" w:eastAsia="宋体" w:cs="Times New Roman"/>
                <w:color w:val="auto"/>
                <w:lang w:val="en-US" w:eastAsia="zh-CN"/>
              </w:rPr>
              <w:t>有组织</w:t>
            </w:r>
            <w:r>
              <w:rPr>
                <w:rFonts w:hint="eastAsia" w:cs="Times New Roman"/>
                <w:color w:val="auto"/>
                <w:lang w:val="en-US" w:eastAsia="zh-CN"/>
              </w:rPr>
              <w:t>及无组织</w:t>
            </w:r>
            <w:r>
              <w:rPr>
                <w:rFonts w:hint="default" w:ascii="Times New Roman" w:hAnsi="Times New Roman" w:eastAsia="宋体" w:cs="Times New Roman"/>
                <w:color w:val="auto"/>
                <w:lang w:val="en-US" w:eastAsia="zh-CN"/>
              </w:rPr>
              <w:t>排放</w:t>
            </w:r>
            <w:r>
              <w:rPr>
                <w:rFonts w:hint="eastAsia" w:cs="Times New Roman"/>
                <w:color w:val="auto"/>
                <w:lang w:val="en-US" w:eastAsia="zh-CN"/>
              </w:rPr>
              <w:t>分别</w:t>
            </w:r>
            <w:r>
              <w:rPr>
                <w:rFonts w:hint="default" w:ascii="Times New Roman" w:hAnsi="Times New Roman" w:eastAsia="宋体" w:cs="Times New Roman"/>
                <w:color w:val="auto"/>
                <w:lang w:val="en-US" w:eastAsia="zh-CN"/>
              </w:rPr>
              <w:t>执行</w:t>
            </w:r>
            <w:r>
              <w:rPr>
                <w:rFonts w:hint="eastAsia"/>
                <w:color w:val="auto"/>
              </w:rPr>
              <w:t>《大气污染物综合排放标准》（</w:t>
            </w:r>
            <w:r>
              <w:rPr>
                <w:rFonts w:hint="eastAsia" w:ascii="Times New Roman" w:hAnsi="Times New Roman" w:cs="Times New Roman"/>
                <w:bCs/>
                <w:color w:val="auto"/>
                <w:kern w:val="2"/>
              </w:rPr>
              <w:t>DB32/4041-2021）表1</w:t>
            </w:r>
            <w:r>
              <w:rPr>
                <w:rFonts w:hint="eastAsia" w:cs="Times New Roman"/>
                <w:bCs/>
                <w:color w:val="auto"/>
                <w:kern w:val="2"/>
                <w:lang w:eastAsia="zh-CN"/>
              </w:rPr>
              <w:t>及表</w:t>
            </w:r>
            <w:r>
              <w:rPr>
                <w:rFonts w:hint="eastAsia" w:cs="Times New Roman"/>
                <w:bCs/>
                <w:color w:val="auto"/>
                <w:kern w:val="2"/>
                <w:lang w:val="en-US" w:eastAsia="zh-CN"/>
              </w:rPr>
              <w:t>3</w:t>
            </w:r>
            <w:r>
              <w:rPr>
                <w:rFonts w:hint="eastAsia" w:ascii="Times New Roman" w:hAnsi="Times New Roman" w:cs="Times New Roman"/>
                <w:bCs/>
                <w:color w:val="auto"/>
                <w:kern w:val="2"/>
              </w:rPr>
              <w:t>限值</w:t>
            </w:r>
            <w:r>
              <w:rPr>
                <w:rFonts w:hint="eastAsia" w:cs="Times New Roman"/>
                <w:bCs/>
                <w:color w:val="auto"/>
                <w:kern w:val="2"/>
                <w:lang w:val="en-US" w:eastAsia="zh-CN"/>
              </w:rPr>
              <w:t>要求</w:t>
            </w:r>
            <w:r>
              <w:rPr>
                <w:rFonts w:hint="default" w:ascii="Times New Roman" w:hAnsi="Times New Roman" w:eastAsia="宋体" w:cs="Times New Roman"/>
                <w:color w:val="auto"/>
                <w:lang w:val="en-US" w:eastAsia="zh-CN"/>
              </w:rPr>
              <w:t>。</w:t>
            </w:r>
            <w:r>
              <w:rPr>
                <w:rFonts w:hint="eastAsia" w:cs="Times New Roman"/>
                <w:color w:val="auto"/>
                <w:lang w:val="en-US" w:eastAsia="zh-CN"/>
              </w:rPr>
              <w:t>具体见表3.3-2、3.3-3。</w:t>
            </w:r>
            <w:r>
              <w:rPr>
                <w:rFonts w:hint="eastAsia" w:ascii="Times New Roman" w:hAnsi="Times New Roman" w:eastAsia="宋体" w:cs="Times New Roman"/>
                <w:color w:val="auto"/>
                <w:kern w:val="2"/>
                <w:sz w:val="24"/>
                <w:szCs w:val="24"/>
                <w:lang w:val="en-US" w:eastAsia="zh-CN" w:bidi="ar-SA"/>
              </w:rPr>
              <w:t>厂区内非甲烷总烃执行</w:t>
            </w:r>
            <w:r>
              <w:rPr>
                <w:rFonts w:hint="eastAsia"/>
                <w:color w:val="auto"/>
              </w:rPr>
              <w:t>《大气污染物综合排放标准》（</w:t>
            </w:r>
            <w:r>
              <w:rPr>
                <w:rFonts w:hint="eastAsia" w:ascii="Times New Roman" w:hAnsi="Times New Roman" w:cs="Times New Roman"/>
                <w:bCs/>
                <w:color w:val="auto"/>
                <w:kern w:val="2"/>
              </w:rPr>
              <w:t>DB32/4041-2021）</w:t>
            </w:r>
            <w:r>
              <w:rPr>
                <w:rFonts w:hint="eastAsia" w:cs="Times New Roman"/>
                <w:bCs/>
                <w:color w:val="auto"/>
                <w:kern w:val="2"/>
                <w:lang w:eastAsia="zh-CN"/>
              </w:rPr>
              <w:t>表</w:t>
            </w:r>
            <w:r>
              <w:rPr>
                <w:rFonts w:hint="eastAsia" w:ascii="Times New Roman" w:hAnsi="Times New Roman" w:eastAsia="宋体" w:cs="Times New Roman"/>
                <w:color w:val="auto"/>
                <w:kern w:val="2"/>
                <w:sz w:val="24"/>
                <w:szCs w:val="24"/>
                <w:lang w:val="en-US" w:eastAsia="zh-CN" w:bidi="ar-SA"/>
              </w:rPr>
              <w:t>2厂区内无组织排放限值</w:t>
            </w:r>
            <w:r>
              <w:rPr>
                <w:rFonts w:hint="eastAsia" w:cs="Times New Roman"/>
                <w:color w:val="auto"/>
                <w:kern w:val="2"/>
                <w:sz w:val="24"/>
                <w:szCs w:val="24"/>
                <w:lang w:val="en-US" w:eastAsia="zh-CN" w:bidi="ar-SA"/>
              </w:rPr>
              <w:t>，动物房恶臭无组织排放执行</w:t>
            </w:r>
            <w:r>
              <w:rPr>
                <w:rFonts w:hint="eastAsia" w:cstheme="minorBidi"/>
                <w:color w:val="auto"/>
                <w:sz w:val="24"/>
                <w:szCs w:val="24"/>
                <w:lang w:eastAsia="zh-CN"/>
              </w:rPr>
              <w:t>《恶臭污染物排放标准》（GB14554-93）表</w:t>
            </w:r>
            <w:r>
              <w:rPr>
                <w:rFonts w:hint="eastAsia" w:cstheme="minorBidi"/>
                <w:color w:val="auto"/>
                <w:sz w:val="24"/>
                <w:szCs w:val="24"/>
                <w:lang w:val="en-US" w:eastAsia="zh-CN"/>
              </w:rPr>
              <w:t>1中二级新建标准要求</w:t>
            </w:r>
            <w:r>
              <w:rPr>
                <w:rFonts w:hint="eastAsia" w:ascii="Times New Roman" w:hAnsi="Times New Roman" w:eastAsia="宋体" w:cs="Times New Roman"/>
                <w:color w:val="auto"/>
                <w:kern w:val="2"/>
                <w:sz w:val="24"/>
                <w:szCs w:val="24"/>
                <w:lang w:val="en-US" w:eastAsia="zh-CN" w:bidi="ar-SA"/>
              </w:rPr>
              <w:t>。</w:t>
            </w:r>
          </w:p>
          <w:p w14:paraId="457F7859">
            <w:pPr>
              <w:pStyle w:val="11"/>
              <w:keepNext w:val="0"/>
              <w:keepLines w:val="0"/>
              <w:suppressLineNumbers w:val="0"/>
              <w:adjustRightInd w:val="0"/>
              <w:snapToGrid w:val="0"/>
              <w:spacing w:before="0" w:beforeAutospacing="0" w:after="0" w:afterAutospacing="0" w:line="240" w:lineRule="auto"/>
              <w:ind w:left="1141" w:right="0" w:firstLine="0" w:firstLineChars="0"/>
              <w:jc w:val="center"/>
              <w:rPr>
                <w:rFonts w:hint="eastAsia" w:eastAsia="宋体"/>
                <w:b/>
                <w:color w:val="auto"/>
              </w:rPr>
            </w:pPr>
            <w:r>
              <w:rPr>
                <w:rFonts w:hint="eastAsia" w:eastAsia="宋体"/>
                <w:b/>
                <w:color w:val="auto"/>
              </w:rPr>
              <w:t>表3</w:t>
            </w:r>
            <w:r>
              <w:rPr>
                <w:rFonts w:hint="eastAsia" w:eastAsia="宋体"/>
                <w:b/>
                <w:color w:val="auto"/>
                <w:lang w:val="en-US" w:eastAsia="zh-CN"/>
              </w:rPr>
              <w:t>.3</w:t>
            </w:r>
            <w:r>
              <w:rPr>
                <w:rFonts w:hint="eastAsia" w:eastAsia="宋体"/>
                <w:b/>
                <w:color w:val="auto"/>
              </w:rPr>
              <w:t>-</w:t>
            </w:r>
            <w:r>
              <w:rPr>
                <w:rFonts w:hint="eastAsia"/>
                <w:b/>
                <w:color w:val="auto"/>
                <w:lang w:val="en-US" w:eastAsia="zh-CN"/>
              </w:rPr>
              <w:t>2</w:t>
            </w:r>
            <w:r>
              <w:rPr>
                <w:rFonts w:hint="eastAsia" w:eastAsia="宋体"/>
                <w:b/>
                <w:color w:val="auto"/>
              </w:rPr>
              <w:t xml:space="preserve"> 有组织废气污染物排放标准</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04"/>
              <w:gridCol w:w="1316"/>
              <w:gridCol w:w="1497"/>
              <w:gridCol w:w="1433"/>
              <w:gridCol w:w="2301"/>
            </w:tblGrid>
            <w:tr w14:paraId="6C9C98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4" w:hRule="atLeast"/>
                <w:jc w:val="center"/>
              </w:trPr>
              <w:tc>
                <w:tcPr>
                  <w:tcW w:w="830" w:type="pct"/>
                  <w:vAlign w:val="center"/>
                </w:tcPr>
                <w:p w14:paraId="2153F2D4">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b/>
                      <w:bCs/>
                      <w:color w:val="auto"/>
                      <w:sz w:val="18"/>
                      <w:szCs w:val="18"/>
                    </w:rPr>
                  </w:pPr>
                  <w:r>
                    <w:rPr>
                      <w:rFonts w:hint="eastAsia" w:eastAsiaTheme="minorEastAsia"/>
                      <w:b/>
                      <w:bCs/>
                      <w:color w:val="auto"/>
                      <w:sz w:val="18"/>
                      <w:szCs w:val="18"/>
                    </w:rPr>
                    <w:t>污染物</w:t>
                  </w:r>
                </w:p>
                <w:p w14:paraId="3609D3FE">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b/>
                      <w:bCs/>
                      <w:color w:val="auto"/>
                      <w:sz w:val="18"/>
                      <w:szCs w:val="18"/>
                    </w:rPr>
                  </w:pPr>
                  <w:r>
                    <w:rPr>
                      <w:rFonts w:hint="eastAsia" w:eastAsiaTheme="minorEastAsia"/>
                      <w:b/>
                      <w:bCs/>
                      <w:color w:val="auto"/>
                      <w:sz w:val="18"/>
                      <w:szCs w:val="18"/>
                    </w:rPr>
                    <w:t>名称</w:t>
                  </w:r>
                </w:p>
              </w:tc>
              <w:tc>
                <w:tcPr>
                  <w:tcW w:w="838" w:type="pct"/>
                  <w:vAlign w:val="center"/>
                </w:tcPr>
                <w:p w14:paraId="50D6DDBD">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Theme="minorEastAsia"/>
                      <w:b/>
                      <w:bCs/>
                      <w:color w:val="auto"/>
                      <w:sz w:val="18"/>
                      <w:szCs w:val="18"/>
                      <w:lang w:val="en-US" w:eastAsia="zh-CN"/>
                    </w:rPr>
                  </w:pPr>
                  <w:r>
                    <w:rPr>
                      <w:rFonts w:hint="eastAsia" w:eastAsiaTheme="minorEastAsia"/>
                      <w:b/>
                      <w:bCs/>
                      <w:color w:val="auto"/>
                      <w:sz w:val="18"/>
                      <w:szCs w:val="18"/>
                      <w:lang w:val="en-US" w:eastAsia="zh-CN"/>
                    </w:rPr>
                    <w:t>排气筒高度及编号</w:t>
                  </w:r>
                </w:p>
              </w:tc>
              <w:tc>
                <w:tcPr>
                  <w:tcW w:w="953" w:type="pct"/>
                  <w:vAlign w:val="center"/>
                </w:tcPr>
                <w:p w14:paraId="07538C1C">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b/>
                      <w:bCs/>
                      <w:color w:val="auto"/>
                      <w:sz w:val="18"/>
                      <w:szCs w:val="18"/>
                    </w:rPr>
                  </w:pPr>
                  <w:r>
                    <w:rPr>
                      <w:rFonts w:hint="eastAsia" w:eastAsiaTheme="minorEastAsia"/>
                      <w:b/>
                      <w:bCs/>
                      <w:color w:val="auto"/>
                      <w:sz w:val="18"/>
                      <w:szCs w:val="18"/>
                    </w:rPr>
                    <w:t>最高允许排放浓度（mg/m</w:t>
                  </w:r>
                  <w:r>
                    <w:rPr>
                      <w:rFonts w:hint="eastAsia" w:eastAsiaTheme="minorEastAsia"/>
                      <w:b/>
                      <w:bCs/>
                      <w:color w:val="auto"/>
                      <w:sz w:val="18"/>
                      <w:szCs w:val="18"/>
                      <w:vertAlign w:val="superscript"/>
                    </w:rPr>
                    <w:t>3</w:t>
                  </w:r>
                  <w:r>
                    <w:rPr>
                      <w:rFonts w:hint="eastAsia" w:eastAsiaTheme="minorEastAsia"/>
                      <w:b/>
                      <w:bCs/>
                      <w:color w:val="auto"/>
                      <w:sz w:val="18"/>
                      <w:szCs w:val="18"/>
                    </w:rPr>
                    <w:t>）</w:t>
                  </w:r>
                </w:p>
              </w:tc>
              <w:tc>
                <w:tcPr>
                  <w:tcW w:w="912" w:type="pct"/>
                  <w:vAlign w:val="center"/>
                </w:tcPr>
                <w:p w14:paraId="3A739129">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b/>
                      <w:bCs/>
                      <w:color w:val="auto"/>
                      <w:sz w:val="18"/>
                      <w:szCs w:val="18"/>
                    </w:rPr>
                  </w:pPr>
                  <w:r>
                    <w:rPr>
                      <w:rFonts w:hint="eastAsia" w:eastAsiaTheme="minorEastAsia"/>
                      <w:b/>
                      <w:bCs/>
                      <w:color w:val="auto"/>
                      <w:sz w:val="18"/>
                      <w:szCs w:val="18"/>
                    </w:rPr>
                    <w:t>最高允许排放速率（kg/h）</w:t>
                  </w:r>
                </w:p>
              </w:tc>
              <w:tc>
                <w:tcPr>
                  <w:tcW w:w="1465" w:type="pct"/>
                  <w:vAlign w:val="center"/>
                </w:tcPr>
                <w:p w14:paraId="658578B7">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Theme="minorEastAsia"/>
                      <w:b/>
                      <w:bCs/>
                      <w:color w:val="auto"/>
                      <w:sz w:val="18"/>
                      <w:szCs w:val="18"/>
                      <w:lang w:val="en-US" w:eastAsia="zh-CN"/>
                    </w:rPr>
                  </w:pPr>
                  <w:r>
                    <w:rPr>
                      <w:rFonts w:hint="eastAsia" w:eastAsiaTheme="minorEastAsia"/>
                      <w:b/>
                      <w:bCs/>
                      <w:color w:val="auto"/>
                      <w:sz w:val="18"/>
                      <w:szCs w:val="18"/>
                      <w:lang w:val="en-US" w:eastAsia="zh-CN"/>
                    </w:rPr>
                    <w:t>标准来源</w:t>
                  </w:r>
                </w:p>
              </w:tc>
            </w:tr>
            <w:tr w14:paraId="6627AE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4" w:hRule="atLeast"/>
                <w:jc w:val="center"/>
              </w:trPr>
              <w:tc>
                <w:tcPr>
                  <w:tcW w:w="830" w:type="pct"/>
                  <w:vAlign w:val="center"/>
                </w:tcPr>
                <w:p w14:paraId="5DC89688">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b/>
                      <w:bCs/>
                      <w:color w:val="auto"/>
                      <w:sz w:val="18"/>
                      <w:szCs w:val="18"/>
                      <w:lang w:val="en-US" w:eastAsia="zh-CN"/>
                    </w:rPr>
                  </w:pPr>
                  <w:r>
                    <w:rPr>
                      <w:rFonts w:hint="eastAsia" w:eastAsiaTheme="minorEastAsia"/>
                      <w:b w:val="0"/>
                      <w:bCs w:val="0"/>
                      <w:color w:val="auto"/>
                      <w:sz w:val="18"/>
                      <w:szCs w:val="18"/>
                      <w:lang w:val="en-US" w:eastAsia="zh-CN"/>
                    </w:rPr>
                    <w:t>非甲烷总烃</w:t>
                  </w:r>
                </w:p>
              </w:tc>
              <w:tc>
                <w:tcPr>
                  <w:tcW w:w="838" w:type="pct"/>
                  <w:vAlign w:val="center"/>
                </w:tcPr>
                <w:p w14:paraId="39BE7BAE">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Theme="minorEastAsia"/>
                      <w:b w:val="0"/>
                      <w:bCs w:val="0"/>
                      <w:color w:val="auto"/>
                      <w:sz w:val="18"/>
                      <w:szCs w:val="18"/>
                      <w:lang w:val="en-US" w:eastAsia="zh-CN"/>
                    </w:rPr>
                  </w:pPr>
                  <w:r>
                    <w:rPr>
                      <w:rFonts w:hint="eastAsia" w:eastAsiaTheme="minorEastAsia"/>
                      <w:b w:val="0"/>
                      <w:bCs w:val="0"/>
                      <w:color w:val="auto"/>
                      <w:sz w:val="18"/>
                      <w:szCs w:val="18"/>
                      <w:lang w:val="en-US" w:eastAsia="zh-CN"/>
                    </w:rPr>
                    <w:t>20m/DA001</w:t>
                  </w:r>
                </w:p>
              </w:tc>
              <w:tc>
                <w:tcPr>
                  <w:tcW w:w="953" w:type="pct"/>
                  <w:vAlign w:val="center"/>
                </w:tcPr>
                <w:p w14:paraId="2BD3F75C">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Theme="minorEastAsia"/>
                      <w:b w:val="0"/>
                      <w:bCs w:val="0"/>
                      <w:color w:val="auto"/>
                      <w:sz w:val="18"/>
                      <w:szCs w:val="18"/>
                      <w:lang w:val="en-US" w:eastAsia="zh-CN"/>
                    </w:rPr>
                  </w:pPr>
                  <w:r>
                    <w:rPr>
                      <w:rFonts w:hint="eastAsia" w:eastAsiaTheme="minorEastAsia"/>
                      <w:b w:val="0"/>
                      <w:bCs w:val="0"/>
                      <w:color w:val="auto"/>
                      <w:sz w:val="18"/>
                      <w:szCs w:val="18"/>
                      <w:lang w:val="en-US" w:eastAsia="zh-CN"/>
                    </w:rPr>
                    <w:t>60</w:t>
                  </w:r>
                </w:p>
              </w:tc>
              <w:tc>
                <w:tcPr>
                  <w:tcW w:w="912" w:type="pct"/>
                  <w:vAlign w:val="center"/>
                </w:tcPr>
                <w:p w14:paraId="2A405B01">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b w:val="0"/>
                      <w:bCs w:val="0"/>
                      <w:color w:val="auto"/>
                      <w:sz w:val="18"/>
                      <w:szCs w:val="18"/>
                      <w:lang w:val="en-US" w:eastAsia="zh-CN"/>
                    </w:rPr>
                  </w:pPr>
                  <w:r>
                    <w:rPr>
                      <w:rFonts w:hint="eastAsia" w:eastAsiaTheme="minorEastAsia"/>
                      <w:b w:val="0"/>
                      <w:bCs w:val="0"/>
                      <w:color w:val="auto"/>
                      <w:sz w:val="18"/>
                      <w:szCs w:val="18"/>
                      <w:lang w:val="en-US" w:eastAsia="zh-CN"/>
                    </w:rPr>
                    <w:t>3</w:t>
                  </w:r>
                </w:p>
              </w:tc>
              <w:tc>
                <w:tcPr>
                  <w:tcW w:w="1465" w:type="pct"/>
                  <w:vAlign w:val="center"/>
                </w:tcPr>
                <w:p w14:paraId="2A8964B3">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b/>
                      <w:bCs/>
                      <w:color w:val="auto"/>
                      <w:sz w:val="18"/>
                      <w:szCs w:val="18"/>
                      <w:lang w:val="en-US" w:eastAsia="zh-CN"/>
                    </w:rPr>
                  </w:pPr>
                  <w:r>
                    <w:rPr>
                      <w:rFonts w:hint="default" w:ascii="Times New Roman" w:hAnsi="Times New Roman" w:eastAsia="宋体" w:cs="Times New Roman"/>
                      <w:color w:val="auto"/>
                      <w:sz w:val="18"/>
                      <w:szCs w:val="18"/>
                    </w:rPr>
                    <w:t>《大气污染物综合排放标准》（DB32/4041</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rPr>
                    <w:t>2021）</w:t>
                  </w:r>
                </w:p>
              </w:tc>
            </w:tr>
          </w:tbl>
          <w:p w14:paraId="636A52C0">
            <w:pPr>
              <w:pStyle w:val="11"/>
              <w:keepNext w:val="0"/>
              <w:keepLines w:val="0"/>
              <w:suppressLineNumbers w:val="0"/>
              <w:adjustRightInd w:val="0"/>
              <w:snapToGrid w:val="0"/>
              <w:spacing w:before="0" w:beforeAutospacing="0" w:after="0" w:afterAutospacing="0" w:line="240" w:lineRule="auto"/>
              <w:ind w:left="1141" w:right="0" w:firstLine="0" w:firstLineChars="0"/>
              <w:jc w:val="center"/>
              <w:rPr>
                <w:rFonts w:hint="eastAsia"/>
                <w:b/>
                <w:color w:val="auto"/>
              </w:rPr>
            </w:pPr>
            <w:r>
              <w:rPr>
                <w:rFonts w:hint="eastAsia"/>
                <w:b/>
                <w:color w:val="auto"/>
              </w:rPr>
              <w:t>表3</w:t>
            </w:r>
            <w:r>
              <w:rPr>
                <w:rFonts w:hint="eastAsia"/>
                <w:b/>
                <w:color w:val="auto"/>
                <w:lang w:val="en-US" w:eastAsia="zh-CN"/>
              </w:rPr>
              <w:t>.3</w:t>
            </w:r>
            <w:r>
              <w:rPr>
                <w:rFonts w:hint="eastAsia"/>
                <w:b/>
                <w:color w:val="auto"/>
              </w:rPr>
              <w:t>-</w:t>
            </w:r>
            <w:r>
              <w:rPr>
                <w:rFonts w:hint="eastAsia"/>
                <w:b/>
                <w:color w:val="auto"/>
                <w:lang w:val="en-US" w:eastAsia="zh-CN"/>
              </w:rPr>
              <w:t xml:space="preserve">3 </w:t>
            </w:r>
            <w:r>
              <w:rPr>
                <w:rFonts w:hint="eastAsia"/>
                <w:b/>
                <w:color w:val="auto"/>
              </w:rPr>
              <w:t>厂界无组织</w:t>
            </w:r>
            <w:r>
              <w:rPr>
                <w:rFonts w:hint="eastAsia"/>
                <w:b/>
                <w:color w:val="auto"/>
                <w:lang w:eastAsia="zh-CN"/>
              </w:rPr>
              <w:t>废气</w:t>
            </w:r>
            <w:r>
              <w:rPr>
                <w:rFonts w:hint="eastAsia"/>
                <w:b/>
                <w:color w:val="auto"/>
              </w:rPr>
              <w:t>排放标准</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408"/>
              <w:gridCol w:w="2062"/>
              <w:gridCol w:w="1687"/>
              <w:gridCol w:w="2697"/>
            </w:tblGrid>
            <w:tr w14:paraId="3A72C67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0" w:hRule="atLeast"/>
                <w:jc w:val="center"/>
              </w:trPr>
              <w:tc>
                <w:tcPr>
                  <w:tcW w:w="896" w:type="pct"/>
                  <w:vAlign w:val="center"/>
                </w:tcPr>
                <w:p w14:paraId="7F714D6A">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污染物名称</w:t>
                  </w:r>
                </w:p>
              </w:tc>
              <w:tc>
                <w:tcPr>
                  <w:tcW w:w="1312" w:type="pct"/>
                  <w:vAlign w:val="center"/>
                </w:tcPr>
                <w:p w14:paraId="6EA2A196">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监控浓度限值（mg/m</w:t>
                  </w:r>
                  <w:r>
                    <w:rPr>
                      <w:rFonts w:hint="eastAsia"/>
                      <w:b/>
                      <w:bCs/>
                      <w:color w:val="auto"/>
                      <w:sz w:val="18"/>
                      <w:szCs w:val="18"/>
                      <w:vertAlign w:val="superscript"/>
                    </w:rPr>
                    <w:t>3</w:t>
                  </w:r>
                  <w:r>
                    <w:rPr>
                      <w:rFonts w:hint="eastAsia"/>
                      <w:b/>
                      <w:bCs/>
                      <w:color w:val="auto"/>
                      <w:sz w:val="18"/>
                      <w:szCs w:val="18"/>
                    </w:rPr>
                    <w:t>）</w:t>
                  </w:r>
                </w:p>
              </w:tc>
              <w:tc>
                <w:tcPr>
                  <w:tcW w:w="1073" w:type="pct"/>
                  <w:vAlign w:val="center"/>
                </w:tcPr>
                <w:p w14:paraId="4B496048">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color w:val="auto"/>
                      <w:sz w:val="18"/>
                      <w:szCs w:val="18"/>
                    </w:rPr>
                  </w:pPr>
                  <w:r>
                    <w:rPr>
                      <w:rFonts w:hint="eastAsia"/>
                      <w:b/>
                      <w:bCs/>
                      <w:color w:val="auto"/>
                      <w:sz w:val="18"/>
                      <w:szCs w:val="18"/>
                      <w:lang w:val="en-US" w:eastAsia="zh-CN"/>
                    </w:rPr>
                    <w:t>监控位置</w:t>
                  </w:r>
                </w:p>
              </w:tc>
              <w:tc>
                <w:tcPr>
                  <w:tcW w:w="1716" w:type="pct"/>
                  <w:vAlign w:val="center"/>
                </w:tcPr>
                <w:p w14:paraId="2C22D081">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依据</w:t>
                  </w:r>
                </w:p>
              </w:tc>
            </w:tr>
            <w:tr w14:paraId="3E02346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896" w:type="pct"/>
                  <w:vAlign w:val="center"/>
                </w:tcPr>
                <w:p w14:paraId="30265097">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Cs/>
                      <w:color w:val="auto"/>
                      <w:sz w:val="18"/>
                      <w:szCs w:val="18"/>
                    </w:rPr>
                  </w:pPr>
                  <w:r>
                    <w:rPr>
                      <w:rFonts w:hint="eastAsia" w:eastAsiaTheme="minorEastAsia"/>
                      <w:b w:val="0"/>
                      <w:bCs w:val="0"/>
                      <w:color w:val="auto"/>
                      <w:sz w:val="18"/>
                      <w:szCs w:val="18"/>
                      <w:lang w:val="en-US" w:eastAsia="zh-CN"/>
                    </w:rPr>
                    <w:t>非甲烷总烃</w:t>
                  </w:r>
                </w:p>
              </w:tc>
              <w:tc>
                <w:tcPr>
                  <w:tcW w:w="1312" w:type="pct"/>
                  <w:vAlign w:val="center"/>
                </w:tcPr>
                <w:p w14:paraId="4BBA416E">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auto"/>
                      <w:sz w:val="18"/>
                      <w:szCs w:val="18"/>
                      <w:lang w:val="en-US" w:eastAsia="zh-CN"/>
                    </w:rPr>
                  </w:pPr>
                  <w:r>
                    <w:rPr>
                      <w:rFonts w:hint="eastAsia" w:eastAsia="宋体"/>
                      <w:bCs/>
                      <w:color w:val="auto"/>
                      <w:sz w:val="18"/>
                      <w:szCs w:val="18"/>
                      <w:lang w:val="en-US" w:eastAsia="zh-CN"/>
                    </w:rPr>
                    <w:t>4</w:t>
                  </w:r>
                  <w:r>
                    <w:rPr>
                      <w:rFonts w:hint="eastAsia"/>
                      <w:bCs/>
                      <w:color w:val="auto"/>
                      <w:sz w:val="18"/>
                      <w:szCs w:val="18"/>
                      <w:lang w:val="en-US" w:eastAsia="zh-CN"/>
                    </w:rPr>
                    <w:t>.0</w:t>
                  </w:r>
                </w:p>
              </w:tc>
              <w:tc>
                <w:tcPr>
                  <w:tcW w:w="1073" w:type="pct"/>
                  <w:vMerge w:val="restart"/>
                  <w:vAlign w:val="center"/>
                </w:tcPr>
                <w:p w14:paraId="0A23FC49">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Cs/>
                      <w:color w:val="auto"/>
                      <w:sz w:val="18"/>
                      <w:szCs w:val="18"/>
                    </w:rPr>
                  </w:pPr>
                  <w:r>
                    <w:rPr>
                      <w:rFonts w:hint="eastAsia"/>
                      <w:bCs/>
                      <w:color w:val="auto"/>
                      <w:sz w:val="18"/>
                      <w:szCs w:val="18"/>
                    </w:rPr>
                    <w:t>边界外浓度</w:t>
                  </w:r>
                  <w:r>
                    <w:rPr>
                      <w:rFonts w:hint="eastAsia"/>
                      <w:bCs/>
                      <w:color w:val="auto"/>
                      <w:sz w:val="18"/>
                      <w:szCs w:val="18"/>
                      <w:lang w:eastAsia="zh-CN"/>
                    </w:rPr>
                    <w:t>最高</w:t>
                  </w:r>
                  <w:r>
                    <w:rPr>
                      <w:rFonts w:hint="eastAsia"/>
                      <w:bCs/>
                      <w:color w:val="auto"/>
                      <w:sz w:val="18"/>
                      <w:szCs w:val="18"/>
                    </w:rPr>
                    <w:t>点</w:t>
                  </w:r>
                </w:p>
              </w:tc>
              <w:tc>
                <w:tcPr>
                  <w:tcW w:w="1716" w:type="pct"/>
                  <w:vAlign w:val="center"/>
                </w:tcPr>
                <w:p w14:paraId="76EDEDC6">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Cs/>
                      <w:color w:val="auto"/>
                      <w:sz w:val="18"/>
                      <w:szCs w:val="18"/>
                    </w:rPr>
                  </w:pPr>
                  <w:r>
                    <w:rPr>
                      <w:rFonts w:hint="eastAsia"/>
                      <w:bCs/>
                      <w:color w:val="auto"/>
                      <w:sz w:val="18"/>
                      <w:szCs w:val="18"/>
                    </w:rPr>
                    <w:t>《大气污染物综合排放标准》（DB32/4041-2021）</w:t>
                  </w:r>
                </w:p>
              </w:tc>
            </w:tr>
            <w:tr w14:paraId="101C83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896" w:type="pct"/>
                  <w:vAlign w:val="center"/>
                </w:tcPr>
                <w:p w14:paraId="6A6C227C">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b w:val="0"/>
                      <w:bCs w:val="0"/>
                      <w:color w:val="auto"/>
                      <w:sz w:val="18"/>
                      <w:szCs w:val="18"/>
                      <w:lang w:val="en-US" w:eastAsia="zh-CN"/>
                    </w:rPr>
                  </w:pPr>
                  <w:r>
                    <w:rPr>
                      <w:rFonts w:hint="eastAsia" w:eastAsiaTheme="minorEastAsia"/>
                      <w:b w:val="0"/>
                      <w:bCs w:val="0"/>
                      <w:color w:val="auto"/>
                      <w:sz w:val="18"/>
                      <w:szCs w:val="18"/>
                      <w:lang w:val="en-US" w:eastAsia="zh-CN"/>
                    </w:rPr>
                    <w:t>氨</w:t>
                  </w:r>
                </w:p>
              </w:tc>
              <w:tc>
                <w:tcPr>
                  <w:tcW w:w="1312" w:type="pct"/>
                  <w:vAlign w:val="center"/>
                </w:tcPr>
                <w:p w14:paraId="40420C37">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auto"/>
                      <w:sz w:val="18"/>
                      <w:szCs w:val="18"/>
                      <w:lang w:val="en-US" w:eastAsia="zh-CN"/>
                    </w:rPr>
                  </w:pPr>
                  <w:r>
                    <w:rPr>
                      <w:rFonts w:hint="eastAsia"/>
                      <w:bCs/>
                      <w:color w:val="auto"/>
                      <w:sz w:val="18"/>
                      <w:szCs w:val="18"/>
                      <w:lang w:val="en-US" w:eastAsia="zh-CN"/>
                    </w:rPr>
                    <w:t>1.5</w:t>
                  </w:r>
                </w:p>
              </w:tc>
              <w:tc>
                <w:tcPr>
                  <w:tcW w:w="1073" w:type="pct"/>
                  <w:vMerge w:val="continue"/>
                  <w:vAlign w:val="center"/>
                </w:tcPr>
                <w:p w14:paraId="5B09174D">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Cs/>
                      <w:color w:val="auto"/>
                      <w:sz w:val="18"/>
                      <w:szCs w:val="18"/>
                    </w:rPr>
                  </w:pPr>
                </w:p>
              </w:tc>
              <w:tc>
                <w:tcPr>
                  <w:tcW w:w="1716" w:type="pct"/>
                  <w:vMerge w:val="restart"/>
                  <w:vAlign w:val="center"/>
                </w:tcPr>
                <w:p w14:paraId="1475B62E">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Cs/>
                      <w:color w:val="auto"/>
                      <w:sz w:val="18"/>
                      <w:szCs w:val="18"/>
                    </w:rPr>
                  </w:pPr>
                  <w:r>
                    <w:rPr>
                      <w:rFonts w:hint="eastAsia"/>
                      <w:bCs/>
                      <w:color w:val="auto"/>
                      <w:sz w:val="18"/>
                      <w:szCs w:val="18"/>
                      <w:lang w:eastAsia="zh-CN"/>
                    </w:rPr>
                    <w:t>《恶臭污染物排放标准》（GB14554-93）</w:t>
                  </w:r>
                </w:p>
              </w:tc>
            </w:tr>
            <w:tr w14:paraId="7655D5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896" w:type="pct"/>
                  <w:vAlign w:val="center"/>
                </w:tcPr>
                <w:p w14:paraId="5EC4BA99">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b w:val="0"/>
                      <w:bCs w:val="0"/>
                      <w:color w:val="auto"/>
                      <w:sz w:val="18"/>
                      <w:szCs w:val="18"/>
                      <w:lang w:val="en-US" w:eastAsia="zh-CN"/>
                    </w:rPr>
                  </w:pPr>
                  <w:r>
                    <w:rPr>
                      <w:rFonts w:hint="eastAsia" w:eastAsiaTheme="minorEastAsia"/>
                      <w:b w:val="0"/>
                      <w:bCs w:val="0"/>
                      <w:color w:val="auto"/>
                      <w:sz w:val="18"/>
                      <w:szCs w:val="18"/>
                      <w:lang w:val="en-US" w:eastAsia="zh-CN"/>
                    </w:rPr>
                    <w:t>硫化氢</w:t>
                  </w:r>
                </w:p>
              </w:tc>
              <w:tc>
                <w:tcPr>
                  <w:tcW w:w="1312" w:type="pct"/>
                  <w:vAlign w:val="center"/>
                </w:tcPr>
                <w:p w14:paraId="7CC6811F">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auto"/>
                      <w:sz w:val="18"/>
                      <w:szCs w:val="18"/>
                      <w:lang w:val="en-US" w:eastAsia="zh-CN"/>
                    </w:rPr>
                  </w:pPr>
                  <w:r>
                    <w:rPr>
                      <w:rFonts w:hint="eastAsia"/>
                      <w:bCs/>
                      <w:color w:val="auto"/>
                      <w:sz w:val="18"/>
                      <w:szCs w:val="18"/>
                      <w:lang w:val="en-US" w:eastAsia="zh-CN"/>
                    </w:rPr>
                    <w:t>0.06</w:t>
                  </w:r>
                </w:p>
              </w:tc>
              <w:tc>
                <w:tcPr>
                  <w:tcW w:w="1073" w:type="pct"/>
                  <w:vMerge w:val="continue"/>
                  <w:vAlign w:val="center"/>
                </w:tcPr>
                <w:p w14:paraId="579D3526">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Cs/>
                      <w:color w:val="auto"/>
                      <w:sz w:val="18"/>
                      <w:szCs w:val="18"/>
                    </w:rPr>
                  </w:pPr>
                </w:p>
              </w:tc>
              <w:tc>
                <w:tcPr>
                  <w:tcW w:w="1716" w:type="pct"/>
                  <w:vMerge w:val="continue"/>
                  <w:vAlign w:val="center"/>
                </w:tcPr>
                <w:p w14:paraId="6484879A">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Cs/>
                      <w:color w:val="auto"/>
                      <w:sz w:val="18"/>
                      <w:szCs w:val="18"/>
                    </w:rPr>
                  </w:pPr>
                </w:p>
              </w:tc>
            </w:tr>
          </w:tbl>
          <w:p w14:paraId="2C2AE547">
            <w:pPr>
              <w:pStyle w:val="11"/>
              <w:keepNext w:val="0"/>
              <w:keepLines w:val="0"/>
              <w:suppressLineNumbers w:val="0"/>
              <w:adjustRightInd w:val="0"/>
              <w:snapToGrid w:val="0"/>
              <w:spacing w:before="0" w:beforeAutospacing="0" w:after="0" w:afterAutospacing="0" w:line="240" w:lineRule="auto"/>
              <w:ind w:left="1141" w:right="0" w:firstLine="0" w:firstLineChars="0"/>
              <w:jc w:val="center"/>
              <w:rPr>
                <w:rFonts w:hint="eastAsia"/>
                <w:b/>
                <w:color w:val="auto"/>
              </w:rPr>
            </w:pPr>
            <w:r>
              <w:rPr>
                <w:rFonts w:hint="eastAsia"/>
                <w:b/>
                <w:color w:val="auto"/>
              </w:rPr>
              <w:t>表3</w:t>
            </w:r>
            <w:r>
              <w:rPr>
                <w:rFonts w:hint="eastAsia"/>
                <w:b/>
                <w:color w:val="auto"/>
                <w:lang w:val="en-US" w:eastAsia="zh-CN"/>
              </w:rPr>
              <w:t>.3</w:t>
            </w:r>
            <w:r>
              <w:rPr>
                <w:rFonts w:hint="eastAsia"/>
                <w:b/>
                <w:color w:val="auto"/>
              </w:rPr>
              <w:t>-</w:t>
            </w:r>
            <w:r>
              <w:rPr>
                <w:rFonts w:hint="eastAsia"/>
                <w:b/>
                <w:color w:val="auto"/>
                <w:lang w:val="en-US" w:eastAsia="zh-CN"/>
              </w:rPr>
              <w:t>4</w:t>
            </w:r>
            <w:r>
              <w:rPr>
                <w:rFonts w:hint="eastAsia"/>
                <w:b/>
                <w:color w:val="auto"/>
              </w:rPr>
              <w:t xml:space="preserve"> 厂区内挥发性有机物排放标准</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44"/>
              <w:gridCol w:w="913"/>
              <w:gridCol w:w="2259"/>
              <w:gridCol w:w="1347"/>
              <w:gridCol w:w="2391"/>
            </w:tblGrid>
            <w:tr w14:paraId="48D792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tblHeader/>
                <w:jc w:val="center"/>
              </w:trPr>
              <w:tc>
                <w:tcPr>
                  <w:tcW w:w="601" w:type="pct"/>
                  <w:vMerge w:val="restart"/>
                  <w:vAlign w:val="center"/>
                </w:tcPr>
                <w:p w14:paraId="5F9E743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18"/>
                      <w:szCs w:val="18"/>
                    </w:rPr>
                  </w:pPr>
                  <w:r>
                    <w:rPr>
                      <w:rFonts w:hint="eastAsia" w:hAnsiTheme="minorEastAsia"/>
                      <w:b/>
                      <w:color w:val="auto"/>
                      <w:sz w:val="18"/>
                      <w:szCs w:val="18"/>
                    </w:rPr>
                    <w:t>废气</w:t>
                  </w:r>
                </w:p>
              </w:tc>
              <w:tc>
                <w:tcPr>
                  <w:tcW w:w="2876" w:type="pct"/>
                  <w:gridSpan w:val="3"/>
                  <w:vAlign w:val="center"/>
                </w:tcPr>
                <w:p w14:paraId="2655929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18"/>
                      <w:szCs w:val="18"/>
                    </w:rPr>
                  </w:pPr>
                  <w:r>
                    <w:rPr>
                      <w:rFonts w:hint="eastAsia" w:hAnsiTheme="minorEastAsia"/>
                      <w:b/>
                      <w:color w:val="auto"/>
                      <w:sz w:val="18"/>
                      <w:szCs w:val="18"/>
                    </w:rPr>
                    <w:t>无组织排放监控浓度限值</w:t>
                  </w:r>
                </w:p>
              </w:tc>
              <w:tc>
                <w:tcPr>
                  <w:tcW w:w="1522" w:type="pct"/>
                  <w:vMerge w:val="restart"/>
                  <w:vAlign w:val="center"/>
                </w:tcPr>
                <w:p w14:paraId="18498B5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18"/>
                      <w:szCs w:val="18"/>
                    </w:rPr>
                  </w:pPr>
                  <w:r>
                    <w:rPr>
                      <w:rFonts w:hint="eastAsia" w:hAnsiTheme="minorEastAsia"/>
                      <w:b/>
                      <w:color w:val="auto"/>
                      <w:sz w:val="18"/>
                      <w:szCs w:val="18"/>
                    </w:rPr>
                    <w:t>执行标准</w:t>
                  </w:r>
                </w:p>
              </w:tc>
            </w:tr>
            <w:tr w14:paraId="07AA7E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3" w:hRule="atLeast"/>
                <w:tblHeader/>
                <w:jc w:val="center"/>
              </w:trPr>
              <w:tc>
                <w:tcPr>
                  <w:tcW w:w="601" w:type="pct"/>
                  <w:vMerge w:val="continue"/>
                  <w:vAlign w:val="center"/>
                </w:tcPr>
                <w:p w14:paraId="2C2721C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b/>
                      <w:color w:val="auto"/>
                      <w:sz w:val="18"/>
                      <w:szCs w:val="18"/>
                    </w:rPr>
                  </w:pPr>
                </w:p>
              </w:tc>
              <w:tc>
                <w:tcPr>
                  <w:tcW w:w="2019" w:type="pct"/>
                  <w:gridSpan w:val="2"/>
                  <w:vAlign w:val="center"/>
                </w:tcPr>
                <w:p w14:paraId="6C593AE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18"/>
                      <w:szCs w:val="18"/>
                    </w:rPr>
                  </w:pPr>
                  <w:r>
                    <w:rPr>
                      <w:rFonts w:hint="eastAsia" w:hAnsiTheme="minorEastAsia"/>
                      <w:b/>
                      <w:color w:val="auto"/>
                      <w:sz w:val="18"/>
                      <w:szCs w:val="18"/>
                    </w:rPr>
                    <w:t>监控点</w:t>
                  </w:r>
                </w:p>
              </w:tc>
              <w:tc>
                <w:tcPr>
                  <w:tcW w:w="856" w:type="pct"/>
                  <w:vAlign w:val="center"/>
                </w:tcPr>
                <w:p w14:paraId="37C44BA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18"/>
                      <w:szCs w:val="18"/>
                    </w:rPr>
                  </w:pPr>
                  <w:r>
                    <w:rPr>
                      <w:rFonts w:hint="eastAsia" w:hAnsiTheme="minorEastAsia"/>
                      <w:b/>
                      <w:color w:val="auto"/>
                      <w:sz w:val="18"/>
                      <w:szCs w:val="18"/>
                    </w:rPr>
                    <w:t>浓度（</w:t>
                  </w:r>
                  <w:r>
                    <w:rPr>
                      <w:rFonts w:hint="eastAsia"/>
                      <w:b/>
                      <w:color w:val="auto"/>
                      <w:sz w:val="18"/>
                      <w:szCs w:val="18"/>
                    </w:rPr>
                    <w:t>mg/m</w:t>
                  </w:r>
                  <w:r>
                    <w:rPr>
                      <w:rFonts w:hint="eastAsia"/>
                      <w:b/>
                      <w:color w:val="auto"/>
                      <w:sz w:val="18"/>
                      <w:szCs w:val="18"/>
                      <w:vertAlign w:val="superscript"/>
                    </w:rPr>
                    <w:t>3</w:t>
                  </w:r>
                  <w:r>
                    <w:rPr>
                      <w:rFonts w:hint="eastAsia" w:hAnsiTheme="minorEastAsia"/>
                      <w:b/>
                      <w:color w:val="auto"/>
                      <w:sz w:val="18"/>
                      <w:szCs w:val="18"/>
                    </w:rPr>
                    <w:t>）</w:t>
                  </w:r>
                </w:p>
              </w:tc>
              <w:tc>
                <w:tcPr>
                  <w:tcW w:w="1522" w:type="pct"/>
                  <w:vMerge w:val="continue"/>
                  <w:vAlign w:val="center"/>
                </w:tcPr>
                <w:p w14:paraId="02407A3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Theme="minorEastAsia"/>
                      <w:color w:val="auto"/>
                      <w:sz w:val="18"/>
                      <w:szCs w:val="18"/>
                    </w:rPr>
                  </w:pPr>
                </w:p>
              </w:tc>
            </w:tr>
            <w:tr w14:paraId="5EF5C3A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5" w:hRule="atLeast"/>
                <w:tblHeader/>
                <w:jc w:val="center"/>
              </w:trPr>
              <w:tc>
                <w:tcPr>
                  <w:tcW w:w="601" w:type="pct"/>
                  <w:vMerge w:val="restart"/>
                  <w:vAlign w:val="center"/>
                </w:tcPr>
                <w:p w14:paraId="4195404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18"/>
                      <w:szCs w:val="18"/>
                    </w:rPr>
                  </w:pPr>
                  <w:r>
                    <w:rPr>
                      <w:rFonts w:hint="eastAsia" w:hAnsiTheme="minorEastAsia"/>
                      <w:color w:val="auto"/>
                      <w:sz w:val="18"/>
                      <w:szCs w:val="18"/>
                    </w:rPr>
                    <w:t>非甲烷总烃</w:t>
                  </w:r>
                </w:p>
              </w:tc>
              <w:tc>
                <w:tcPr>
                  <w:tcW w:w="581" w:type="pct"/>
                  <w:vMerge w:val="restart"/>
                  <w:vAlign w:val="center"/>
                </w:tcPr>
                <w:p w14:paraId="484BADA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18"/>
                      <w:szCs w:val="18"/>
                    </w:rPr>
                  </w:pPr>
                  <w:r>
                    <w:rPr>
                      <w:rFonts w:hint="eastAsia" w:hAnsiTheme="minorEastAsia"/>
                      <w:color w:val="auto"/>
                      <w:sz w:val="18"/>
                      <w:szCs w:val="18"/>
                    </w:rPr>
                    <w:t>在厂房外设置监控点</w:t>
                  </w:r>
                </w:p>
              </w:tc>
              <w:tc>
                <w:tcPr>
                  <w:tcW w:w="1438" w:type="pct"/>
                  <w:vAlign w:val="center"/>
                </w:tcPr>
                <w:p w14:paraId="73B6FE2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18"/>
                      <w:szCs w:val="18"/>
                    </w:rPr>
                  </w:pPr>
                  <w:r>
                    <w:rPr>
                      <w:rFonts w:hint="eastAsia" w:hAnsiTheme="minorEastAsia"/>
                      <w:color w:val="auto"/>
                      <w:sz w:val="18"/>
                      <w:szCs w:val="18"/>
                    </w:rPr>
                    <w:t>监控点处</w:t>
                  </w:r>
                  <w:r>
                    <w:rPr>
                      <w:rFonts w:hint="eastAsia"/>
                      <w:color w:val="auto"/>
                      <w:sz w:val="18"/>
                      <w:szCs w:val="18"/>
                    </w:rPr>
                    <w:t>1h</w:t>
                  </w:r>
                  <w:r>
                    <w:rPr>
                      <w:rFonts w:hint="eastAsia" w:hAnsiTheme="minorEastAsia"/>
                      <w:color w:val="auto"/>
                      <w:sz w:val="18"/>
                      <w:szCs w:val="18"/>
                    </w:rPr>
                    <w:t>平均浓度值</w:t>
                  </w:r>
                </w:p>
              </w:tc>
              <w:tc>
                <w:tcPr>
                  <w:tcW w:w="856" w:type="pct"/>
                  <w:vAlign w:val="center"/>
                </w:tcPr>
                <w:p w14:paraId="1D8A465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6</w:t>
                  </w:r>
                </w:p>
              </w:tc>
              <w:tc>
                <w:tcPr>
                  <w:tcW w:w="1522" w:type="pct"/>
                  <w:vMerge w:val="restart"/>
                  <w:vAlign w:val="center"/>
                </w:tcPr>
                <w:p w14:paraId="578BACCF">
                  <w:pPr>
                    <w:pStyle w:val="43"/>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color w:val="auto"/>
                      <w:sz w:val="18"/>
                      <w:szCs w:val="18"/>
                      <w:lang w:eastAsia="zh-CN"/>
                    </w:rPr>
                  </w:pPr>
                  <w:r>
                    <w:rPr>
                      <w:rFonts w:hint="eastAsia" w:hAnsi="宋体"/>
                      <w:bCs/>
                      <w:color w:val="auto"/>
                      <w:sz w:val="18"/>
                      <w:szCs w:val="18"/>
                    </w:rPr>
                    <w:t>《大气污染物综合排放标准》（DB32/4041-2021）表</w:t>
                  </w:r>
                  <w:r>
                    <w:rPr>
                      <w:rFonts w:hint="eastAsia" w:hAnsi="宋体"/>
                      <w:bCs/>
                      <w:color w:val="auto"/>
                      <w:sz w:val="18"/>
                      <w:szCs w:val="18"/>
                      <w:lang w:val="en-US" w:eastAsia="zh-CN"/>
                    </w:rPr>
                    <w:t>2</w:t>
                  </w:r>
                </w:p>
              </w:tc>
            </w:tr>
            <w:tr w14:paraId="20F514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0" w:hRule="atLeast"/>
                <w:tblHeader/>
                <w:jc w:val="center"/>
              </w:trPr>
              <w:tc>
                <w:tcPr>
                  <w:tcW w:w="601" w:type="pct"/>
                  <w:vMerge w:val="continue"/>
                  <w:vAlign w:val="center"/>
                </w:tcPr>
                <w:p w14:paraId="4DF3ACF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18"/>
                      <w:szCs w:val="18"/>
                    </w:rPr>
                  </w:pPr>
                </w:p>
              </w:tc>
              <w:tc>
                <w:tcPr>
                  <w:tcW w:w="581" w:type="pct"/>
                  <w:vMerge w:val="continue"/>
                  <w:vAlign w:val="center"/>
                </w:tcPr>
                <w:p w14:paraId="69835CE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18"/>
                      <w:szCs w:val="18"/>
                    </w:rPr>
                  </w:pPr>
                </w:p>
              </w:tc>
              <w:tc>
                <w:tcPr>
                  <w:tcW w:w="1438" w:type="pct"/>
                  <w:vAlign w:val="center"/>
                </w:tcPr>
                <w:p w14:paraId="73323FE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18"/>
                      <w:szCs w:val="18"/>
                    </w:rPr>
                  </w:pPr>
                  <w:r>
                    <w:rPr>
                      <w:rFonts w:hint="eastAsia" w:hAnsiTheme="minorEastAsia"/>
                      <w:color w:val="auto"/>
                      <w:sz w:val="18"/>
                      <w:szCs w:val="18"/>
                    </w:rPr>
                    <w:t>监控点处任意一次浓度值</w:t>
                  </w:r>
                </w:p>
              </w:tc>
              <w:tc>
                <w:tcPr>
                  <w:tcW w:w="856" w:type="pct"/>
                  <w:vAlign w:val="center"/>
                </w:tcPr>
                <w:p w14:paraId="72EABE4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20</w:t>
                  </w:r>
                </w:p>
              </w:tc>
              <w:tc>
                <w:tcPr>
                  <w:tcW w:w="1522" w:type="pct"/>
                  <w:vMerge w:val="continue"/>
                  <w:vAlign w:val="center"/>
                </w:tcPr>
                <w:p w14:paraId="6FBC5CD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auto"/>
                      <w:sz w:val="18"/>
                      <w:szCs w:val="18"/>
                    </w:rPr>
                  </w:pPr>
                </w:p>
              </w:tc>
            </w:tr>
          </w:tbl>
          <w:p w14:paraId="6453C6FA">
            <w:pPr>
              <w:keepNext w:val="0"/>
              <w:keepLines w:val="0"/>
              <w:numPr>
                <w:ilvl w:val="0"/>
                <w:numId w:val="0"/>
              </w:numPr>
              <w:suppressLineNumbers w:val="0"/>
              <w:bidi w:val="0"/>
              <w:spacing w:before="0" w:beforeAutospacing="0" w:after="0" w:afterAutospacing="0"/>
              <w:ind w:left="480" w:leftChars="200" w:right="0" w:rightChars="0"/>
              <w:rPr>
                <w:rFonts w:hint="default"/>
                <w:b/>
                <w:bCs/>
                <w:color w:val="auto"/>
                <w:lang w:val="en-US" w:eastAsia="zh-CN"/>
              </w:rPr>
            </w:pPr>
            <w:r>
              <w:rPr>
                <w:rFonts w:hint="eastAsia"/>
                <w:b/>
                <w:bCs/>
                <w:color w:val="auto"/>
                <w:lang w:val="en-US" w:eastAsia="zh-CN"/>
              </w:rPr>
              <w:t>2.废水</w:t>
            </w:r>
          </w:p>
          <w:p w14:paraId="71661372">
            <w:pPr>
              <w:keepNext w:val="0"/>
              <w:keepLines w:val="0"/>
              <w:suppressLineNumbers w:val="0"/>
              <w:spacing w:before="0" w:beforeAutospacing="0" w:after="0" w:afterAutospacing="0"/>
              <w:ind w:left="0" w:right="0" w:firstLine="480"/>
              <w:rPr>
                <w:rFonts w:hint="eastAsia"/>
                <w:color w:val="auto"/>
              </w:rPr>
            </w:pPr>
            <w:r>
              <w:rPr>
                <w:rFonts w:hint="eastAsia"/>
                <w:color w:val="auto"/>
                <w:lang w:val="en-US" w:eastAsia="zh-CN"/>
              </w:rPr>
              <w:t>建设项目医疗废水（实验室检测仪器设备及器皿清洗用排水、笼具清洗废水、纯水制备浓水）排入厂区现有污水处理站处理，污水处理站处理后的废水排放执行《医疗机构水污染物排放标准》（GB18466-2005）表2综合医疗机构和其他医疗机构水污染物排放限值</w:t>
            </w:r>
            <w:r>
              <w:rPr>
                <w:rFonts w:hint="eastAsia"/>
                <w:color w:val="auto"/>
              </w:rPr>
              <w:t>，</w:t>
            </w:r>
            <w:r>
              <w:rPr>
                <w:rFonts w:hint="eastAsia"/>
                <w:color w:val="auto"/>
                <w:lang w:eastAsia="zh-CN"/>
              </w:rPr>
              <w:t>生活污水排放执行</w:t>
            </w:r>
            <w:r>
              <w:rPr>
                <w:rFonts w:hint="eastAsia" w:eastAsiaTheme="minorEastAsia"/>
                <w:bCs/>
                <w:color w:val="auto"/>
                <w:szCs w:val="21"/>
                <w:lang w:val="en-US" w:eastAsia="zh-CN"/>
              </w:rPr>
              <w:t>涟水县污水处理厂接管标准限值，全厂综合废水排放执行</w:t>
            </w:r>
            <w:r>
              <w:rPr>
                <w:rFonts w:hint="eastAsia"/>
                <w:color w:val="auto"/>
                <w:lang w:val="en-US" w:eastAsia="zh-CN"/>
              </w:rPr>
              <w:t>《医疗机构水污染物排放标准》（GB18466-2005）表2综合医疗机构和其他医疗机构水污染物排放限值，对于《医疗机构水污染物排放标准》（GB18466-2005）未作规定的污染因子执行</w:t>
            </w:r>
            <w:r>
              <w:rPr>
                <w:rFonts w:hint="eastAsia" w:eastAsiaTheme="minorEastAsia"/>
                <w:bCs/>
                <w:color w:val="auto"/>
                <w:szCs w:val="21"/>
                <w:lang w:val="en-US" w:eastAsia="zh-CN"/>
              </w:rPr>
              <w:t>涟水县污水处理厂接管标准限值</w:t>
            </w:r>
            <w:r>
              <w:rPr>
                <w:rFonts w:hint="eastAsia"/>
                <w:color w:val="auto"/>
              </w:rPr>
              <w:t>，</w:t>
            </w:r>
            <w:r>
              <w:rPr>
                <w:rFonts w:hint="eastAsia" w:eastAsiaTheme="minorEastAsia"/>
                <w:bCs/>
                <w:color w:val="auto"/>
                <w:szCs w:val="21"/>
                <w:lang w:val="en-US" w:eastAsia="zh-CN"/>
              </w:rPr>
              <w:t>涟水县</w:t>
            </w:r>
            <w:r>
              <w:rPr>
                <w:rFonts w:hint="eastAsia"/>
                <w:color w:val="auto"/>
                <w:lang w:eastAsia="zh-CN"/>
              </w:rPr>
              <w:t>污水处理厂</w:t>
            </w:r>
            <w:r>
              <w:rPr>
                <w:rFonts w:hint="eastAsia" w:eastAsiaTheme="minorEastAsia"/>
                <w:bCs/>
                <w:color w:val="auto"/>
                <w:szCs w:val="21"/>
                <w:lang w:val="en-US" w:eastAsia="zh-CN"/>
              </w:rPr>
              <w:t>尾水排入涟中总干渠</w:t>
            </w:r>
            <w:r>
              <w:rPr>
                <w:rFonts w:hint="eastAsia"/>
                <w:color w:val="auto"/>
              </w:rPr>
              <w:t>。</w:t>
            </w:r>
            <w:r>
              <w:rPr>
                <w:rFonts w:hint="eastAsia" w:eastAsiaTheme="minorEastAsia"/>
                <w:bCs/>
                <w:color w:val="auto"/>
                <w:szCs w:val="21"/>
                <w:lang w:val="en-US" w:eastAsia="zh-CN"/>
              </w:rPr>
              <w:t>涟水县</w:t>
            </w:r>
            <w:r>
              <w:rPr>
                <w:rFonts w:hint="eastAsia"/>
                <w:color w:val="auto"/>
                <w:lang w:eastAsia="zh-CN"/>
              </w:rPr>
              <w:t>污水处理厂</w:t>
            </w:r>
            <w:r>
              <w:rPr>
                <w:rFonts w:hint="eastAsia"/>
                <w:color w:val="auto"/>
              </w:rPr>
              <w:t>尾水排放标准执行《城镇污水处理厂污染物排放标准》（GB18918-2002）一级A标准，详见表3.</w:t>
            </w:r>
            <w:r>
              <w:rPr>
                <w:rFonts w:hint="eastAsia"/>
                <w:color w:val="auto"/>
                <w:lang w:val="en-US" w:eastAsia="zh-CN"/>
              </w:rPr>
              <w:t>3</w:t>
            </w:r>
            <w:r>
              <w:rPr>
                <w:rFonts w:hint="eastAsia"/>
                <w:color w:val="auto"/>
              </w:rPr>
              <w:t>-</w:t>
            </w:r>
            <w:r>
              <w:rPr>
                <w:rFonts w:hint="eastAsia"/>
                <w:color w:val="auto"/>
                <w:lang w:val="en-US" w:eastAsia="zh-CN"/>
              </w:rPr>
              <w:t>5</w:t>
            </w:r>
            <w:r>
              <w:rPr>
                <w:rFonts w:hint="eastAsia"/>
                <w:color w:val="auto"/>
              </w:rPr>
              <w:t>。</w:t>
            </w:r>
          </w:p>
          <w:p w14:paraId="0A6F03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Cs w:val="21"/>
              </w:rPr>
            </w:pPr>
            <w:r>
              <w:rPr>
                <w:rFonts w:hint="eastAsia" w:eastAsiaTheme="minorEastAsia"/>
                <w:b/>
                <w:bCs/>
                <w:color w:val="auto"/>
                <w:szCs w:val="21"/>
              </w:rPr>
              <w:t>表3</w:t>
            </w:r>
            <w:r>
              <w:rPr>
                <w:rFonts w:hint="eastAsia" w:eastAsiaTheme="minorEastAsia"/>
                <w:b/>
                <w:bCs/>
                <w:color w:val="auto"/>
                <w:szCs w:val="21"/>
                <w:lang w:val="en-US" w:eastAsia="zh-CN"/>
              </w:rPr>
              <w:t>.3-5</w:t>
            </w:r>
            <w:r>
              <w:rPr>
                <w:rFonts w:hint="eastAsia" w:eastAsiaTheme="minorEastAsia"/>
                <w:b/>
                <w:bCs/>
                <w:color w:val="auto"/>
                <w:szCs w:val="21"/>
              </w:rPr>
              <w:t xml:space="preserve"> 废污水排放标准限值表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320"/>
              <w:gridCol w:w="1740"/>
              <w:gridCol w:w="1457"/>
              <w:gridCol w:w="1195"/>
              <w:gridCol w:w="1423"/>
            </w:tblGrid>
            <w:tr w14:paraId="155F8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3D4B52AE">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序号</w:t>
                  </w:r>
                </w:p>
              </w:tc>
              <w:tc>
                <w:tcPr>
                  <w:tcW w:w="1319" w:type="dxa"/>
                  <w:tcBorders>
                    <w:tl2br w:val="nil"/>
                    <w:tr2bl w:val="nil"/>
                  </w:tcBorders>
                  <w:vAlign w:val="center"/>
                </w:tcPr>
                <w:p w14:paraId="4E3F0301">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污染项目</w:t>
                  </w:r>
                </w:p>
              </w:tc>
              <w:tc>
                <w:tcPr>
                  <w:tcW w:w="1738" w:type="dxa"/>
                  <w:tcBorders>
                    <w:tl2br w:val="nil"/>
                    <w:tr2bl w:val="nil"/>
                  </w:tcBorders>
                  <w:vAlign w:val="center"/>
                </w:tcPr>
                <w:p w14:paraId="4F741274">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（GB18466-2005）</w:t>
                  </w:r>
                  <w:r>
                    <w:rPr>
                      <w:rFonts w:hint="eastAsia" w:ascii="Times New Roman" w:hAnsi="Times New Roman" w:eastAsia="宋体" w:cs="Times New Roman"/>
                      <w:b/>
                      <w:bCs/>
                      <w:color w:val="auto"/>
                      <w:sz w:val="18"/>
                      <w:szCs w:val="18"/>
                      <w:vertAlign w:val="baseline"/>
                      <w:lang w:val="en-US" w:eastAsia="zh-CN"/>
                    </w:rPr>
                    <w:t>表2</w:t>
                  </w:r>
                </w:p>
              </w:tc>
              <w:tc>
                <w:tcPr>
                  <w:tcW w:w="1456" w:type="dxa"/>
                  <w:tcBorders>
                    <w:tl2br w:val="nil"/>
                    <w:tr2bl w:val="nil"/>
                  </w:tcBorders>
                  <w:vAlign w:val="center"/>
                </w:tcPr>
                <w:p w14:paraId="3E01B719">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涟水县污水处理厂接管标准</w:t>
                  </w:r>
                </w:p>
              </w:tc>
              <w:tc>
                <w:tcPr>
                  <w:tcW w:w="1194" w:type="dxa"/>
                  <w:tcBorders>
                    <w:tl2br w:val="nil"/>
                    <w:tr2bl w:val="nil"/>
                  </w:tcBorders>
                  <w:vAlign w:val="center"/>
                </w:tcPr>
                <w:p w14:paraId="2B198378">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本项目废水排放标准</w:t>
                  </w:r>
                </w:p>
              </w:tc>
              <w:tc>
                <w:tcPr>
                  <w:tcW w:w="1421" w:type="dxa"/>
                  <w:tcBorders>
                    <w:tl2br w:val="nil"/>
                    <w:tr2bl w:val="nil"/>
                  </w:tcBorders>
                  <w:vAlign w:val="center"/>
                </w:tcPr>
                <w:p w14:paraId="248F0CCB">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涟水县污水处理厂</w:t>
                  </w:r>
                  <w:r>
                    <w:rPr>
                      <w:rFonts w:hint="eastAsia" w:ascii="Times New Roman" w:hAnsi="Times New Roman" w:eastAsia="宋体" w:cs="Times New Roman"/>
                      <w:b/>
                      <w:bCs/>
                      <w:color w:val="auto"/>
                      <w:sz w:val="18"/>
                      <w:szCs w:val="18"/>
                      <w:vertAlign w:val="baseline"/>
                      <w:lang w:val="en-US" w:eastAsia="zh-CN"/>
                    </w:rPr>
                    <w:t>尾水排放</w:t>
                  </w:r>
                  <w:r>
                    <w:rPr>
                      <w:rFonts w:hint="default" w:ascii="Times New Roman" w:hAnsi="Times New Roman" w:eastAsia="宋体" w:cs="Times New Roman"/>
                      <w:b/>
                      <w:bCs/>
                      <w:color w:val="auto"/>
                      <w:sz w:val="18"/>
                      <w:szCs w:val="18"/>
                      <w:vertAlign w:val="baseline"/>
                      <w:lang w:val="en-US" w:eastAsia="zh-CN"/>
                    </w:rPr>
                    <w:t>标准</w:t>
                  </w:r>
                </w:p>
              </w:tc>
            </w:tr>
            <w:tr w14:paraId="201B2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4E532919">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w:t>
                  </w:r>
                </w:p>
              </w:tc>
              <w:tc>
                <w:tcPr>
                  <w:tcW w:w="1319" w:type="dxa"/>
                  <w:tcBorders>
                    <w:tl2br w:val="nil"/>
                    <w:tr2bl w:val="nil"/>
                  </w:tcBorders>
                  <w:vAlign w:val="center"/>
                </w:tcPr>
                <w:p w14:paraId="6E61573B">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cs="Times New Roman" w:eastAsiaTheme="minorEastAsia"/>
                      <w:b w:val="0"/>
                      <w:bCs w:val="0"/>
                      <w:color w:val="auto"/>
                      <w:sz w:val="18"/>
                      <w:szCs w:val="18"/>
                    </w:rPr>
                    <w:t>pH（无量纲）</w:t>
                  </w:r>
                </w:p>
              </w:tc>
              <w:tc>
                <w:tcPr>
                  <w:tcW w:w="1738" w:type="dxa"/>
                  <w:tcBorders>
                    <w:tl2br w:val="nil"/>
                    <w:tr2bl w:val="nil"/>
                  </w:tcBorders>
                  <w:vAlign w:val="center"/>
                </w:tcPr>
                <w:p w14:paraId="1FA243CE">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6-9</w:t>
                  </w:r>
                </w:p>
              </w:tc>
              <w:tc>
                <w:tcPr>
                  <w:tcW w:w="1456" w:type="dxa"/>
                  <w:tcBorders>
                    <w:tl2br w:val="nil"/>
                    <w:tr2bl w:val="nil"/>
                  </w:tcBorders>
                  <w:vAlign w:val="center"/>
                </w:tcPr>
                <w:p w14:paraId="3427FA7B">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6-9</w:t>
                  </w:r>
                </w:p>
              </w:tc>
              <w:tc>
                <w:tcPr>
                  <w:tcW w:w="1194" w:type="dxa"/>
                  <w:tcBorders>
                    <w:tl2br w:val="nil"/>
                    <w:tr2bl w:val="nil"/>
                  </w:tcBorders>
                  <w:vAlign w:val="center"/>
                </w:tcPr>
                <w:p w14:paraId="3707F484">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6-9</w:t>
                  </w:r>
                </w:p>
              </w:tc>
              <w:tc>
                <w:tcPr>
                  <w:tcW w:w="1421" w:type="dxa"/>
                  <w:tcBorders>
                    <w:tl2br w:val="nil"/>
                    <w:tr2bl w:val="nil"/>
                  </w:tcBorders>
                  <w:vAlign w:val="center"/>
                </w:tcPr>
                <w:p w14:paraId="0D5EB0C5">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6-9</w:t>
                  </w:r>
                </w:p>
              </w:tc>
            </w:tr>
            <w:tr w14:paraId="31AB1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tcBorders>
                    <w:tl2br w:val="nil"/>
                    <w:tr2bl w:val="nil"/>
                  </w:tcBorders>
                  <w:vAlign w:val="center"/>
                </w:tcPr>
                <w:p w14:paraId="190BB152">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2</w:t>
                  </w:r>
                </w:p>
              </w:tc>
              <w:tc>
                <w:tcPr>
                  <w:tcW w:w="1319" w:type="dxa"/>
                  <w:tcBorders>
                    <w:tl2br w:val="nil"/>
                    <w:tr2bl w:val="nil"/>
                  </w:tcBorders>
                  <w:vAlign w:val="center"/>
                </w:tcPr>
                <w:p w14:paraId="04619A38">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cs="Times New Roman" w:eastAsiaTheme="minorEastAsia"/>
                      <w:b w:val="0"/>
                      <w:bCs w:val="0"/>
                      <w:color w:val="auto"/>
                      <w:sz w:val="18"/>
                      <w:szCs w:val="18"/>
                    </w:rPr>
                    <w:t>COD</w:t>
                  </w:r>
                  <w:r>
                    <w:rPr>
                      <w:rFonts w:hint="eastAsia"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b w:val="0"/>
                      <w:bCs w:val="0"/>
                      <w:color w:val="auto"/>
                      <w:sz w:val="18"/>
                      <w:szCs w:val="18"/>
                    </w:rPr>
                    <w:t>mg/L</w:t>
                  </w:r>
                  <w:r>
                    <w:rPr>
                      <w:rFonts w:hint="eastAsia" w:ascii="Times New Roman" w:hAnsi="Times New Roman" w:cs="Times New Roman" w:eastAsiaTheme="minorEastAsia"/>
                      <w:b w:val="0"/>
                      <w:bCs w:val="0"/>
                      <w:color w:val="auto"/>
                      <w:sz w:val="18"/>
                      <w:szCs w:val="18"/>
                      <w:lang w:eastAsia="zh-CN"/>
                    </w:rPr>
                    <w:t>)</w:t>
                  </w:r>
                </w:p>
              </w:tc>
              <w:tc>
                <w:tcPr>
                  <w:tcW w:w="1738" w:type="dxa"/>
                  <w:tcBorders>
                    <w:tl2br w:val="nil"/>
                    <w:tr2bl w:val="nil"/>
                  </w:tcBorders>
                  <w:vAlign w:val="center"/>
                </w:tcPr>
                <w:p w14:paraId="34F90F52">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250</w:t>
                  </w:r>
                </w:p>
              </w:tc>
              <w:tc>
                <w:tcPr>
                  <w:tcW w:w="1456" w:type="dxa"/>
                  <w:tcBorders>
                    <w:tl2br w:val="nil"/>
                    <w:tr2bl w:val="nil"/>
                  </w:tcBorders>
                  <w:vAlign w:val="center"/>
                </w:tcPr>
                <w:p w14:paraId="1EB244BD">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320</w:t>
                  </w:r>
                </w:p>
              </w:tc>
              <w:tc>
                <w:tcPr>
                  <w:tcW w:w="1194" w:type="dxa"/>
                  <w:tcBorders>
                    <w:tl2br w:val="nil"/>
                    <w:tr2bl w:val="nil"/>
                  </w:tcBorders>
                  <w:vAlign w:val="center"/>
                </w:tcPr>
                <w:p w14:paraId="1DE9E349">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250</w:t>
                  </w:r>
                </w:p>
              </w:tc>
              <w:tc>
                <w:tcPr>
                  <w:tcW w:w="1421" w:type="dxa"/>
                  <w:tcBorders>
                    <w:tl2br w:val="nil"/>
                    <w:tr2bl w:val="nil"/>
                  </w:tcBorders>
                  <w:vAlign w:val="center"/>
                </w:tcPr>
                <w:p w14:paraId="515596EC">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50</w:t>
                  </w:r>
                </w:p>
              </w:tc>
            </w:tr>
            <w:tr w14:paraId="461F1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614181EC">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3</w:t>
                  </w:r>
                </w:p>
              </w:tc>
              <w:tc>
                <w:tcPr>
                  <w:tcW w:w="1319" w:type="dxa"/>
                  <w:tcBorders>
                    <w:tl2br w:val="nil"/>
                    <w:tr2bl w:val="nil"/>
                  </w:tcBorders>
                  <w:vAlign w:val="center"/>
                </w:tcPr>
                <w:p w14:paraId="44EEA8F4">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cs="Times New Roman" w:eastAsiaTheme="minorEastAsia"/>
                      <w:b w:val="0"/>
                      <w:bCs w:val="0"/>
                      <w:color w:val="auto"/>
                      <w:sz w:val="18"/>
                      <w:szCs w:val="18"/>
                    </w:rPr>
                    <w:t>BOD</w:t>
                  </w:r>
                  <w:r>
                    <w:rPr>
                      <w:rFonts w:hint="default" w:ascii="Times New Roman" w:hAnsi="Times New Roman" w:cs="Times New Roman" w:eastAsiaTheme="minorEastAsia"/>
                      <w:b w:val="0"/>
                      <w:bCs w:val="0"/>
                      <w:color w:val="auto"/>
                      <w:sz w:val="18"/>
                      <w:szCs w:val="18"/>
                      <w:vertAlign w:val="subscript"/>
                    </w:rPr>
                    <w:t>5</w:t>
                  </w:r>
                  <w:r>
                    <w:rPr>
                      <w:rFonts w:hint="eastAsia" w:ascii="Times New Roman" w:hAnsi="Times New Roman" w:cs="Times New Roman" w:eastAsiaTheme="minorEastAsia"/>
                      <w:b w:val="0"/>
                      <w:bCs w:val="0"/>
                      <w:color w:val="auto"/>
                      <w:sz w:val="18"/>
                      <w:szCs w:val="18"/>
                      <w:vertAlign w:val="subscript"/>
                      <w:lang w:eastAsia="zh-CN"/>
                    </w:rPr>
                    <w:t>(</w:t>
                  </w:r>
                  <w:r>
                    <w:rPr>
                      <w:rFonts w:hint="default" w:ascii="Times New Roman" w:hAnsi="Times New Roman" w:cs="Times New Roman" w:eastAsiaTheme="minorEastAsia"/>
                      <w:b w:val="0"/>
                      <w:bCs w:val="0"/>
                      <w:color w:val="auto"/>
                      <w:sz w:val="18"/>
                      <w:szCs w:val="18"/>
                    </w:rPr>
                    <w:t>mg/L</w:t>
                  </w:r>
                  <w:r>
                    <w:rPr>
                      <w:rFonts w:hint="eastAsia" w:ascii="Times New Roman" w:hAnsi="Times New Roman" w:cs="Times New Roman" w:eastAsiaTheme="minorEastAsia"/>
                      <w:b w:val="0"/>
                      <w:bCs w:val="0"/>
                      <w:color w:val="auto"/>
                      <w:sz w:val="18"/>
                      <w:szCs w:val="18"/>
                      <w:lang w:eastAsia="zh-CN"/>
                    </w:rPr>
                    <w:t>)</w:t>
                  </w:r>
                </w:p>
              </w:tc>
              <w:tc>
                <w:tcPr>
                  <w:tcW w:w="1738" w:type="dxa"/>
                  <w:tcBorders>
                    <w:tl2br w:val="nil"/>
                    <w:tr2bl w:val="nil"/>
                  </w:tcBorders>
                  <w:vAlign w:val="center"/>
                </w:tcPr>
                <w:p w14:paraId="3F7DA7AF">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100</w:t>
                  </w:r>
                </w:p>
              </w:tc>
              <w:tc>
                <w:tcPr>
                  <w:tcW w:w="1456" w:type="dxa"/>
                  <w:tcBorders>
                    <w:tl2br w:val="nil"/>
                    <w:tr2bl w:val="nil"/>
                  </w:tcBorders>
                  <w:vAlign w:val="center"/>
                </w:tcPr>
                <w:p w14:paraId="73A44768">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150</w:t>
                  </w:r>
                </w:p>
              </w:tc>
              <w:tc>
                <w:tcPr>
                  <w:tcW w:w="1194" w:type="dxa"/>
                  <w:tcBorders>
                    <w:tl2br w:val="nil"/>
                    <w:tr2bl w:val="nil"/>
                  </w:tcBorders>
                  <w:vAlign w:val="center"/>
                </w:tcPr>
                <w:p w14:paraId="01C28340">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100</w:t>
                  </w:r>
                </w:p>
              </w:tc>
              <w:tc>
                <w:tcPr>
                  <w:tcW w:w="1421" w:type="dxa"/>
                  <w:tcBorders>
                    <w:tl2br w:val="nil"/>
                    <w:tr2bl w:val="nil"/>
                  </w:tcBorders>
                  <w:vAlign w:val="center"/>
                </w:tcPr>
                <w:p w14:paraId="21E480A6">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10</w:t>
                  </w:r>
                </w:p>
              </w:tc>
            </w:tr>
            <w:tr w14:paraId="372C8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003B6BD9">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4</w:t>
                  </w:r>
                </w:p>
              </w:tc>
              <w:tc>
                <w:tcPr>
                  <w:tcW w:w="1319" w:type="dxa"/>
                  <w:tcBorders>
                    <w:tl2br w:val="nil"/>
                    <w:tr2bl w:val="nil"/>
                  </w:tcBorders>
                  <w:vAlign w:val="center"/>
                </w:tcPr>
                <w:p w14:paraId="6AB6A914">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cs="Times New Roman" w:eastAsiaTheme="minorEastAsia"/>
                      <w:b w:val="0"/>
                      <w:bCs w:val="0"/>
                      <w:color w:val="auto"/>
                      <w:sz w:val="18"/>
                      <w:szCs w:val="18"/>
                    </w:rPr>
                    <w:t>SS</w:t>
                  </w:r>
                  <w:r>
                    <w:rPr>
                      <w:rFonts w:hint="eastAsia" w:ascii="Times New Roman" w:hAnsi="Times New Roman" w:cs="Times New Roman" w:eastAsiaTheme="minorEastAsia"/>
                      <w:b w:val="0"/>
                      <w:bCs w:val="0"/>
                      <w:color w:val="auto"/>
                      <w:sz w:val="18"/>
                      <w:szCs w:val="18"/>
                      <w:lang w:eastAsia="zh-CN"/>
                    </w:rPr>
                    <w:t>(</w:t>
                  </w:r>
                  <w:r>
                    <w:rPr>
                      <w:rFonts w:hint="default" w:ascii="Times New Roman" w:hAnsi="Times New Roman" w:cs="Times New Roman" w:eastAsiaTheme="minorEastAsia"/>
                      <w:b w:val="0"/>
                      <w:bCs w:val="0"/>
                      <w:color w:val="auto"/>
                      <w:sz w:val="18"/>
                      <w:szCs w:val="18"/>
                    </w:rPr>
                    <w:t>mg/L</w:t>
                  </w:r>
                  <w:r>
                    <w:rPr>
                      <w:rFonts w:hint="eastAsia" w:ascii="Times New Roman" w:hAnsi="Times New Roman" w:cs="Times New Roman" w:eastAsiaTheme="minorEastAsia"/>
                      <w:b w:val="0"/>
                      <w:bCs w:val="0"/>
                      <w:color w:val="auto"/>
                      <w:sz w:val="18"/>
                      <w:szCs w:val="18"/>
                      <w:lang w:eastAsia="zh-CN"/>
                    </w:rPr>
                    <w:t>)</w:t>
                  </w:r>
                </w:p>
              </w:tc>
              <w:tc>
                <w:tcPr>
                  <w:tcW w:w="1738" w:type="dxa"/>
                  <w:tcBorders>
                    <w:tl2br w:val="nil"/>
                    <w:tr2bl w:val="nil"/>
                  </w:tcBorders>
                  <w:vAlign w:val="center"/>
                </w:tcPr>
                <w:p w14:paraId="49E5ADC6">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60</w:t>
                  </w:r>
                </w:p>
              </w:tc>
              <w:tc>
                <w:tcPr>
                  <w:tcW w:w="1456" w:type="dxa"/>
                  <w:tcBorders>
                    <w:tl2br w:val="nil"/>
                    <w:tr2bl w:val="nil"/>
                  </w:tcBorders>
                  <w:vAlign w:val="center"/>
                </w:tcPr>
                <w:p w14:paraId="005BE591">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200</w:t>
                  </w:r>
                </w:p>
              </w:tc>
              <w:tc>
                <w:tcPr>
                  <w:tcW w:w="1194" w:type="dxa"/>
                  <w:tcBorders>
                    <w:tl2br w:val="nil"/>
                    <w:tr2bl w:val="nil"/>
                  </w:tcBorders>
                  <w:vAlign w:val="center"/>
                </w:tcPr>
                <w:p w14:paraId="57EB2262">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60</w:t>
                  </w:r>
                </w:p>
              </w:tc>
              <w:tc>
                <w:tcPr>
                  <w:tcW w:w="1421" w:type="dxa"/>
                  <w:tcBorders>
                    <w:tl2br w:val="nil"/>
                    <w:tr2bl w:val="nil"/>
                  </w:tcBorders>
                  <w:vAlign w:val="center"/>
                </w:tcPr>
                <w:p w14:paraId="1944407D">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10</w:t>
                  </w:r>
                </w:p>
              </w:tc>
            </w:tr>
            <w:tr w14:paraId="60D459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1BACDC71">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5</w:t>
                  </w:r>
                </w:p>
              </w:tc>
              <w:tc>
                <w:tcPr>
                  <w:tcW w:w="1319" w:type="dxa"/>
                  <w:tcBorders>
                    <w:tl2br w:val="nil"/>
                    <w:tr2bl w:val="nil"/>
                  </w:tcBorders>
                  <w:vAlign w:val="center"/>
                </w:tcPr>
                <w:p w14:paraId="1A27D34C">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cs="Times New Roman" w:eastAsiaTheme="minorEastAsia"/>
                      <w:b w:val="0"/>
                      <w:bCs w:val="0"/>
                      <w:color w:val="auto"/>
                      <w:sz w:val="18"/>
                      <w:szCs w:val="18"/>
                    </w:rPr>
                    <w:t>氨氮（mg/L）</w:t>
                  </w:r>
                </w:p>
              </w:tc>
              <w:tc>
                <w:tcPr>
                  <w:tcW w:w="1738" w:type="dxa"/>
                  <w:tcBorders>
                    <w:tl2br w:val="nil"/>
                    <w:tr2bl w:val="nil"/>
                  </w:tcBorders>
                  <w:vAlign w:val="center"/>
                </w:tcPr>
                <w:p w14:paraId="6DE90AE4">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p>
              </w:tc>
              <w:tc>
                <w:tcPr>
                  <w:tcW w:w="1456" w:type="dxa"/>
                  <w:tcBorders>
                    <w:tl2br w:val="nil"/>
                    <w:tr2bl w:val="nil"/>
                  </w:tcBorders>
                  <w:vAlign w:val="center"/>
                </w:tcPr>
                <w:p w14:paraId="08A4F56F">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30</w:t>
                  </w:r>
                </w:p>
              </w:tc>
              <w:tc>
                <w:tcPr>
                  <w:tcW w:w="1194" w:type="dxa"/>
                  <w:tcBorders>
                    <w:tl2br w:val="nil"/>
                    <w:tr2bl w:val="nil"/>
                  </w:tcBorders>
                  <w:vAlign w:val="center"/>
                </w:tcPr>
                <w:p w14:paraId="736F39EE">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30</w:t>
                  </w:r>
                </w:p>
              </w:tc>
              <w:tc>
                <w:tcPr>
                  <w:tcW w:w="1421" w:type="dxa"/>
                  <w:tcBorders>
                    <w:tl2br w:val="nil"/>
                    <w:tr2bl w:val="nil"/>
                  </w:tcBorders>
                  <w:vAlign w:val="center"/>
                </w:tcPr>
                <w:p w14:paraId="098363C0">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5</w:t>
                  </w:r>
                  <w:r>
                    <w:rPr>
                      <w:rFonts w:hint="eastAsia"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8</w:t>
                  </w:r>
                  <w:r>
                    <w:rPr>
                      <w:rFonts w:hint="eastAsia" w:ascii="Times New Roman" w:hAnsi="Times New Roman" w:eastAsia="宋体" w:cs="Times New Roman"/>
                      <w:b w:val="0"/>
                      <w:bCs w:val="0"/>
                      <w:color w:val="auto"/>
                      <w:sz w:val="18"/>
                      <w:szCs w:val="18"/>
                      <w:vertAlign w:val="baseline"/>
                      <w:lang w:val="en-US" w:eastAsia="zh-CN"/>
                    </w:rPr>
                    <w:t>)</w:t>
                  </w:r>
                </w:p>
              </w:tc>
            </w:tr>
            <w:tr w14:paraId="55F84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58B1E18B">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6</w:t>
                  </w:r>
                </w:p>
              </w:tc>
              <w:tc>
                <w:tcPr>
                  <w:tcW w:w="1319" w:type="dxa"/>
                  <w:tcBorders>
                    <w:tl2br w:val="nil"/>
                    <w:tr2bl w:val="nil"/>
                  </w:tcBorders>
                  <w:vAlign w:val="center"/>
                </w:tcPr>
                <w:p w14:paraId="2A06F25D">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总磷</w:t>
                  </w:r>
                  <w:r>
                    <w:rPr>
                      <w:rFonts w:hint="default" w:ascii="Times New Roman" w:hAnsi="Times New Roman" w:cs="Times New Roman" w:eastAsiaTheme="minorEastAsia"/>
                      <w:b w:val="0"/>
                      <w:bCs w:val="0"/>
                      <w:color w:val="auto"/>
                      <w:sz w:val="18"/>
                      <w:szCs w:val="18"/>
                    </w:rPr>
                    <w:t>（mg/L）</w:t>
                  </w:r>
                </w:p>
              </w:tc>
              <w:tc>
                <w:tcPr>
                  <w:tcW w:w="1738" w:type="dxa"/>
                  <w:tcBorders>
                    <w:tl2br w:val="nil"/>
                    <w:tr2bl w:val="nil"/>
                  </w:tcBorders>
                  <w:vAlign w:val="center"/>
                </w:tcPr>
                <w:p w14:paraId="53F0DA60">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p>
              </w:tc>
              <w:tc>
                <w:tcPr>
                  <w:tcW w:w="1456" w:type="dxa"/>
                  <w:tcBorders>
                    <w:tl2br w:val="nil"/>
                    <w:tr2bl w:val="nil"/>
                  </w:tcBorders>
                  <w:vAlign w:val="center"/>
                </w:tcPr>
                <w:p w14:paraId="6477D9E7">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5</w:t>
                  </w:r>
                </w:p>
              </w:tc>
              <w:tc>
                <w:tcPr>
                  <w:tcW w:w="1194" w:type="dxa"/>
                  <w:tcBorders>
                    <w:tl2br w:val="nil"/>
                    <w:tr2bl w:val="nil"/>
                  </w:tcBorders>
                  <w:vAlign w:val="center"/>
                </w:tcPr>
                <w:p w14:paraId="659911ED">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5</w:t>
                  </w:r>
                </w:p>
              </w:tc>
              <w:tc>
                <w:tcPr>
                  <w:tcW w:w="1421" w:type="dxa"/>
                  <w:tcBorders>
                    <w:tl2br w:val="nil"/>
                    <w:tr2bl w:val="nil"/>
                  </w:tcBorders>
                  <w:vAlign w:val="center"/>
                </w:tcPr>
                <w:p w14:paraId="7F738BA7">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0.5</w:t>
                  </w:r>
                </w:p>
              </w:tc>
            </w:tr>
            <w:tr w14:paraId="280ED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2ED6C0AE">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7</w:t>
                  </w:r>
                </w:p>
              </w:tc>
              <w:tc>
                <w:tcPr>
                  <w:tcW w:w="1319" w:type="dxa"/>
                  <w:tcBorders>
                    <w:tl2br w:val="nil"/>
                    <w:tr2bl w:val="nil"/>
                  </w:tcBorders>
                  <w:vAlign w:val="center"/>
                </w:tcPr>
                <w:p w14:paraId="15AFFD22">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总氮</w:t>
                  </w:r>
                  <w:r>
                    <w:rPr>
                      <w:rFonts w:hint="default" w:ascii="Times New Roman" w:hAnsi="Times New Roman" w:cs="Times New Roman" w:eastAsiaTheme="minorEastAsia"/>
                      <w:b w:val="0"/>
                      <w:bCs w:val="0"/>
                      <w:color w:val="auto"/>
                      <w:sz w:val="18"/>
                      <w:szCs w:val="18"/>
                    </w:rPr>
                    <w:t>（mg/L）</w:t>
                  </w:r>
                </w:p>
              </w:tc>
              <w:tc>
                <w:tcPr>
                  <w:tcW w:w="1738" w:type="dxa"/>
                  <w:tcBorders>
                    <w:tl2br w:val="nil"/>
                    <w:tr2bl w:val="nil"/>
                  </w:tcBorders>
                  <w:vAlign w:val="center"/>
                </w:tcPr>
                <w:p w14:paraId="41229DC8">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p>
              </w:tc>
              <w:tc>
                <w:tcPr>
                  <w:tcW w:w="1456" w:type="dxa"/>
                  <w:tcBorders>
                    <w:tl2br w:val="nil"/>
                    <w:tr2bl w:val="nil"/>
                  </w:tcBorders>
                  <w:vAlign w:val="center"/>
                </w:tcPr>
                <w:p w14:paraId="7FBE1520">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45</w:t>
                  </w:r>
                </w:p>
              </w:tc>
              <w:tc>
                <w:tcPr>
                  <w:tcW w:w="1194" w:type="dxa"/>
                  <w:tcBorders>
                    <w:tl2br w:val="nil"/>
                    <w:tr2bl w:val="nil"/>
                  </w:tcBorders>
                  <w:vAlign w:val="center"/>
                </w:tcPr>
                <w:p w14:paraId="14A69FD0">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rPr>
                  </w:pPr>
                  <w:r>
                    <w:rPr>
                      <w:rFonts w:hint="eastAsia" w:ascii="Times New Roman" w:hAnsi="Times New Roman" w:eastAsia="宋体" w:cs="Times New Roman"/>
                      <w:b w:val="0"/>
                      <w:bCs w:val="0"/>
                      <w:color w:val="auto"/>
                      <w:sz w:val="18"/>
                      <w:szCs w:val="18"/>
                      <w:vertAlign w:val="baseline"/>
                      <w:lang w:val="en-US" w:eastAsia="zh-CN"/>
                    </w:rPr>
                    <w:t>45</w:t>
                  </w:r>
                </w:p>
              </w:tc>
              <w:tc>
                <w:tcPr>
                  <w:tcW w:w="1421" w:type="dxa"/>
                  <w:tcBorders>
                    <w:tl2br w:val="nil"/>
                    <w:tr2bl w:val="nil"/>
                  </w:tcBorders>
                  <w:vAlign w:val="center"/>
                </w:tcPr>
                <w:p w14:paraId="320E1E49">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15</w:t>
                  </w:r>
                </w:p>
              </w:tc>
            </w:tr>
            <w:tr w14:paraId="01CE9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515EF3E7">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8</w:t>
                  </w:r>
                </w:p>
              </w:tc>
              <w:tc>
                <w:tcPr>
                  <w:tcW w:w="1319" w:type="dxa"/>
                  <w:tcBorders>
                    <w:tl2br w:val="nil"/>
                    <w:tr2bl w:val="nil"/>
                  </w:tcBorders>
                  <w:vAlign w:val="center"/>
                </w:tcPr>
                <w:p w14:paraId="3BB84291">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粪大肠菌群数（</w:t>
                  </w:r>
                  <w:r>
                    <w:rPr>
                      <w:rFonts w:hint="default" w:ascii="Times New Roman" w:hAnsi="Times New Roman" w:cs="Times New Roman" w:eastAsiaTheme="minorEastAsia"/>
                      <w:b w:val="0"/>
                      <w:bCs w:val="0"/>
                      <w:color w:val="auto"/>
                      <w:sz w:val="18"/>
                      <w:szCs w:val="18"/>
                    </w:rPr>
                    <w:t>MPN/L</w:t>
                  </w:r>
                  <w:r>
                    <w:rPr>
                      <w:rFonts w:hint="default" w:ascii="Times New Roman" w:hAnsi="Times New Roman" w:eastAsia="宋体" w:cs="Times New Roman"/>
                      <w:b w:val="0"/>
                      <w:bCs w:val="0"/>
                      <w:color w:val="auto"/>
                      <w:sz w:val="18"/>
                      <w:szCs w:val="18"/>
                      <w:vertAlign w:val="baseline"/>
                      <w:lang w:val="en-US" w:eastAsia="zh-CN"/>
                    </w:rPr>
                    <w:t>）</w:t>
                  </w:r>
                </w:p>
              </w:tc>
              <w:tc>
                <w:tcPr>
                  <w:tcW w:w="1738" w:type="dxa"/>
                  <w:tcBorders>
                    <w:tl2br w:val="nil"/>
                    <w:tr2bl w:val="nil"/>
                  </w:tcBorders>
                  <w:vAlign w:val="center"/>
                </w:tcPr>
                <w:p w14:paraId="69767E46">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5000</w:t>
                  </w:r>
                </w:p>
              </w:tc>
              <w:tc>
                <w:tcPr>
                  <w:tcW w:w="1456" w:type="dxa"/>
                  <w:tcBorders>
                    <w:tl2br w:val="nil"/>
                    <w:tr2bl w:val="nil"/>
                  </w:tcBorders>
                  <w:vAlign w:val="center"/>
                </w:tcPr>
                <w:p w14:paraId="55BB12ED">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w:t>
                  </w:r>
                </w:p>
              </w:tc>
              <w:tc>
                <w:tcPr>
                  <w:tcW w:w="1194" w:type="dxa"/>
                  <w:tcBorders>
                    <w:tl2br w:val="nil"/>
                    <w:tr2bl w:val="nil"/>
                  </w:tcBorders>
                  <w:vAlign w:val="center"/>
                </w:tcPr>
                <w:p w14:paraId="538AEAD2">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5000</w:t>
                  </w:r>
                </w:p>
              </w:tc>
              <w:tc>
                <w:tcPr>
                  <w:tcW w:w="1421" w:type="dxa"/>
                  <w:tcBorders>
                    <w:tl2br w:val="nil"/>
                    <w:tr2bl w:val="nil"/>
                  </w:tcBorders>
                  <w:vAlign w:val="center"/>
                </w:tcPr>
                <w:p w14:paraId="0147916F">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1000</w:t>
                  </w:r>
                </w:p>
              </w:tc>
            </w:tr>
            <w:tr w14:paraId="4417B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77A44CE7">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9</w:t>
                  </w:r>
                </w:p>
              </w:tc>
              <w:tc>
                <w:tcPr>
                  <w:tcW w:w="1319" w:type="dxa"/>
                  <w:tcBorders>
                    <w:tl2br w:val="nil"/>
                    <w:tr2bl w:val="nil"/>
                  </w:tcBorders>
                  <w:vAlign w:val="center"/>
                </w:tcPr>
                <w:p w14:paraId="400FAA18">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阴离子表面活性剂</w:t>
                  </w:r>
                  <w:r>
                    <w:rPr>
                      <w:rFonts w:hint="default" w:ascii="Times New Roman" w:hAnsi="Times New Roman" w:cs="Times New Roman" w:eastAsiaTheme="minorEastAsia"/>
                      <w:b w:val="0"/>
                      <w:bCs w:val="0"/>
                      <w:color w:val="auto"/>
                      <w:sz w:val="18"/>
                      <w:szCs w:val="18"/>
                    </w:rPr>
                    <w:t>（mg/L）</w:t>
                  </w:r>
                </w:p>
              </w:tc>
              <w:tc>
                <w:tcPr>
                  <w:tcW w:w="1738" w:type="dxa"/>
                  <w:tcBorders>
                    <w:tl2br w:val="nil"/>
                    <w:tr2bl w:val="nil"/>
                  </w:tcBorders>
                  <w:vAlign w:val="center"/>
                </w:tcPr>
                <w:p w14:paraId="21A86E8F">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10</w:t>
                  </w:r>
                </w:p>
              </w:tc>
              <w:tc>
                <w:tcPr>
                  <w:tcW w:w="1456" w:type="dxa"/>
                  <w:tcBorders>
                    <w:tl2br w:val="nil"/>
                    <w:tr2bl w:val="nil"/>
                  </w:tcBorders>
                  <w:vAlign w:val="center"/>
                </w:tcPr>
                <w:p w14:paraId="6D6C5F7F">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w:t>
                  </w:r>
                </w:p>
              </w:tc>
              <w:tc>
                <w:tcPr>
                  <w:tcW w:w="1194" w:type="dxa"/>
                  <w:tcBorders>
                    <w:tl2br w:val="nil"/>
                    <w:tr2bl w:val="nil"/>
                  </w:tcBorders>
                  <w:vAlign w:val="center"/>
                </w:tcPr>
                <w:p w14:paraId="45BC18BF">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lang w:val="en-US" w:eastAsia="zh-CN"/>
                    </w:rPr>
                    <w:t>10</w:t>
                  </w:r>
                </w:p>
              </w:tc>
              <w:tc>
                <w:tcPr>
                  <w:tcW w:w="1421" w:type="dxa"/>
                  <w:tcBorders>
                    <w:tl2br w:val="nil"/>
                    <w:tr2bl w:val="nil"/>
                  </w:tcBorders>
                  <w:vAlign w:val="center"/>
                </w:tcPr>
                <w:p w14:paraId="14FBF945">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0.5</w:t>
                  </w:r>
                </w:p>
              </w:tc>
            </w:tr>
            <w:tr w14:paraId="5E2F7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32CD78B2">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10</w:t>
                  </w:r>
                </w:p>
              </w:tc>
              <w:tc>
                <w:tcPr>
                  <w:tcW w:w="1319" w:type="dxa"/>
                  <w:tcBorders>
                    <w:tl2br w:val="nil"/>
                    <w:tr2bl w:val="nil"/>
                  </w:tcBorders>
                  <w:vAlign w:val="center"/>
                </w:tcPr>
                <w:p w14:paraId="4F6E2EF0">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肠道病毒</w:t>
                  </w:r>
                </w:p>
              </w:tc>
              <w:tc>
                <w:tcPr>
                  <w:tcW w:w="1738" w:type="dxa"/>
                  <w:tcBorders>
                    <w:tl2br w:val="nil"/>
                    <w:tr2bl w:val="nil"/>
                  </w:tcBorders>
                  <w:vAlign w:val="center"/>
                </w:tcPr>
                <w:p w14:paraId="5FD24A2E">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不得检出</w:t>
                  </w:r>
                </w:p>
              </w:tc>
              <w:tc>
                <w:tcPr>
                  <w:tcW w:w="1456" w:type="dxa"/>
                  <w:tcBorders>
                    <w:tl2br w:val="nil"/>
                    <w:tr2bl w:val="nil"/>
                  </w:tcBorders>
                  <w:vAlign w:val="center"/>
                </w:tcPr>
                <w:p w14:paraId="65F34EAA">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w:t>
                  </w:r>
                </w:p>
              </w:tc>
              <w:tc>
                <w:tcPr>
                  <w:tcW w:w="1194" w:type="dxa"/>
                  <w:tcBorders>
                    <w:tl2br w:val="nil"/>
                    <w:tr2bl w:val="nil"/>
                  </w:tcBorders>
                  <w:vAlign w:val="center"/>
                </w:tcPr>
                <w:p w14:paraId="6329C1CA">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不得检出</w:t>
                  </w:r>
                </w:p>
              </w:tc>
              <w:tc>
                <w:tcPr>
                  <w:tcW w:w="1421" w:type="dxa"/>
                  <w:tcBorders>
                    <w:tl2br w:val="nil"/>
                    <w:tr2bl w:val="nil"/>
                  </w:tcBorders>
                  <w:vAlign w:val="center"/>
                </w:tcPr>
                <w:p w14:paraId="73D80A87">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不得检出</w:t>
                  </w:r>
                </w:p>
              </w:tc>
            </w:tr>
            <w:tr w14:paraId="0C9D9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42E567E1">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11</w:t>
                  </w:r>
                </w:p>
              </w:tc>
              <w:tc>
                <w:tcPr>
                  <w:tcW w:w="1319" w:type="dxa"/>
                  <w:tcBorders>
                    <w:tl2br w:val="nil"/>
                    <w:tr2bl w:val="nil"/>
                  </w:tcBorders>
                  <w:vAlign w:val="center"/>
                </w:tcPr>
                <w:p w14:paraId="04C56FBF">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肠道致病菌</w:t>
                  </w:r>
                </w:p>
              </w:tc>
              <w:tc>
                <w:tcPr>
                  <w:tcW w:w="1738" w:type="dxa"/>
                  <w:tcBorders>
                    <w:tl2br w:val="nil"/>
                    <w:tr2bl w:val="nil"/>
                  </w:tcBorders>
                  <w:vAlign w:val="center"/>
                </w:tcPr>
                <w:p w14:paraId="5BB42410">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不得检出</w:t>
                  </w:r>
                </w:p>
              </w:tc>
              <w:tc>
                <w:tcPr>
                  <w:tcW w:w="1456" w:type="dxa"/>
                  <w:tcBorders>
                    <w:tl2br w:val="nil"/>
                    <w:tr2bl w:val="nil"/>
                  </w:tcBorders>
                  <w:vAlign w:val="center"/>
                </w:tcPr>
                <w:p w14:paraId="7B175106">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w:t>
                  </w:r>
                </w:p>
              </w:tc>
              <w:tc>
                <w:tcPr>
                  <w:tcW w:w="1194" w:type="dxa"/>
                  <w:tcBorders>
                    <w:tl2br w:val="nil"/>
                    <w:tr2bl w:val="nil"/>
                  </w:tcBorders>
                  <w:vAlign w:val="center"/>
                </w:tcPr>
                <w:p w14:paraId="3E49A73E">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不得检出</w:t>
                  </w:r>
                </w:p>
              </w:tc>
              <w:tc>
                <w:tcPr>
                  <w:tcW w:w="1421" w:type="dxa"/>
                  <w:tcBorders>
                    <w:tl2br w:val="nil"/>
                    <w:tr2bl w:val="nil"/>
                  </w:tcBorders>
                  <w:vAlign w:val="center"/>
                </w:tcPr>
                <w:p w14:paraId="323ECA21">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不得检出</w:t>
                  </w:r>
                </w:p>
              </w:tc>
            </w:tr>
            <w:tr w14:paraId="6D077F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74E83F40">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12</w:t>
                  </w:r>
                </w:p>
              </w:tc>
              <w:tc>
                <w:tcPr>
                  <w:tcW w:w="1319" w:type="dxa"/>
                  <w:tcBorders>
                    <w:tl2br w:val="nil"/>
                    <w:tr2bl w:val="nil"/>
                  </w:tcBorders>
                  <w:vAlign w:val="center"/>
                </w:tcPr>
                <w:p w14:paraId="17A30B76">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ascii="Times New Roman" w:hAnsi="Times New Roman" w:eastAsia="宋体" w:cs="Times New Roman"/>
                      <w:b w:val="0"/>
                      <w:bCs w:val="0"/>
                      <w:color w:val="auto"/>
                      <w:sz w:val="18"/>
                      <w:szCs w:val="18"/>
                      <w:vertAlign w:val="baseline"/>
                      <w:lang w:val="en-US" w:eastAsia="zh-CN"/>
                    </w:rPr>
                    <w:t>结核分枝杆菌</w:t>
                  </w:r>
                </w:p>
              </w:tc>
              <w:tc>
                <w:tcPr>
                  <w:tcW w:w="1738" w:type="dxa"/>
                  <w:tcBorders>
                    <w:tl2br w:val="nil"/>
                    <w:tr2bl w:val="nil"/>
                  </w:tcBorders>
                  <w:vAlign w:val="center"/>
                </w:tcPr>
                <w:p w14:paraId="4506927D">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不得检出</w:t>
                  </w:r>
                </w:p>
              </w:tc>
              <w:tc>
                <w:tcPr>
                  <w:tcW w:w="1456" w:type="dxa"/>
                  <w:tcBorders>
                    <w:tl2br w:val="nil"/>
                    <w:tr2bl w:val="nil"/>
                  </w:tcBorders>
                  <w:vAlign w:val="center"/>
                </w:tcPr>
                <w:p w14:paraId="09593E25">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w:t>
                  </w:r>
                </w:p>
              </w:tc>
              <w:tc>
                <w:tcPr>
                  <w:tcW w:w="1194" w:type="dxa"/>
                  <w:tcBorders>
                    <w:tl2br w:val="nil"/>
                    <w:tr2bl w:val="nil"/>
                  </w:tcBorders>
                  <w:vAlign w:val="center"/>
                </w:tcPr>
                <w:p w14:paraId="6CCE9C2E">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不得检出</w:t>
                  </w:r>
                </w:p>
              </w:tc>
              <w:tc>
                <w:tcPr>
                  <w:tcW w:w="1421" w:type="dxa"/>
                  <w:tcBorders>
                    <w:tl2br w:val="nil"/>
                    <w:tr2bl w:val="nil"/>
                  </w:tcBorders>
                  <w:vAlign w:val="center"/>
                </w:tcPr>
                <w:p w14:paraId="41B915A0">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不得检出</w:t>
                  </w:r>
                </w:p>
              </w:tc>
            </w:tr>
            <w:tr w14:paraId="29DE2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8" w:type="dxa"/>
                  <w:tcBorders>
                    <w:tl2br w:val="nil"/>
                    <w:tr2bl w:val="nil"/>
                  </w:tcBorders>
                  <w:vAlign w:val="center"/>
                </w:tcPr>
                <w:p w14:paraId="0F8AA6AB">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备注要求</w:t>
                  </w:r>
                </w:p>
              </w:tc>
              <w:tc>
                <w:tcPr>
                  <w:tcW w:w="7128" w:type="dxa"/>
                  <w:gridSpan w:val="5"/>
                  <w:tcBorders>
                    <w:tl2br w:val="nil"/>
                    <w:tr2bl w:val="nil"/>
                  </w:tcBorders>
                  <w:vAlign w:val="center"/>
                </w:tcPr>
                <w:p w14:paraId="5FEB4A47">
                  <w:pPr>
                    <w:pStyle w:val="2"/>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rPr>
                    <w:t>括号外数值为水温＞12℃时的控制指标，括号内数值为水温≤12℃时的控制指标。</w:t>
                  </w:r>
                </w:p>
              </w:tc>
            </w:tr>
          </w:tbl>
          <w:p w14:paraId="6826B2ED">
            <w:pPr>
              <w:keepNext w:val="0"/>
              <w:keepLines w:val="0"/>
              <w:numPr>
                <w:ilvl w:val="0"/>
                <w:numId w:val="0"/>
              </w:numPr>
              <w:suppressLineNumbers w:val="0"/>
              <w:bidi w:val="0"/>
              <w:spacing w:before="0" w:beforeAutospacing="0" w:after="0" w:afterAutospacing="0"/>
              <w:ind w:left="480" w:leftChars="0" w:right="0" w:rightChars="0"/>
              <w:rPr>
                <w:rFonts w:hint="eastAsia" w:cs="Times New Roman"/>
                <w:b/>
                <w:bCs/>
                <w:color w:val="auto"/>
              </w:rPr>
            </w:pPr>
            <w:r>
              <w:rPr>
                <w:rFonts w:hint="eastAsia"/>
                <w:b/>
                <w:bCs/>
                <w:color w:val="auto"/>
                <w:lang w:val="en-US" w:eastAsia="zh-CN"/>
              </w:rPr>
              <w:t>3.噪声</w:t>
            </w:r>
          </w:p>
          <w:p w14:paraId="623813F5">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Theme="minorEastAsia"/>
                <w:color w:val="auto"/>
                <w:sz w:val="24"/>
              </w:rPr>
            </w:pPr>
            <w:r>
              <w:rPr>
                <w:rFonts w:hint="eastAsia" w:eastAsiaTheme="minorEastAsia"/>
                <w:color w:val="auto"/>
                <w:sz w:val="24"/>
              </w:rPr>
              <w:t>（1）施工期</w:t>
            </w:r>
          </w:p>
          <w:p w14:paraId="7D339064">
            <w:pPr>
              <w:keepNext w:val="0"/>
              <w:keepLines w:val="0"/>
              <w:widowControl/>
              <w:suppressLineNumbers w:val="0"/>
              <w:adjustRightInd w:val="0"/>
              <w:snapToGrid w:val="0"/>
              <w:spacing w:before="0" w:beforeAutospacing="0" w:after="0" w:afterAutospacing="0" w:line="336" w:lineRule="auto"/>
              <w:ind w:left="0" w:right="0" w:firstLine="480" w:firstLineChars="200"/>
              <w:rPr>
                <w:rFonts w:hint="eastAsia"/>
                <w:color w:val="auto"/>
                <w:sz w:val="24"/>
              </w:rPr>
            </w:pPr>
            <w:r>
              <w:rPr>
                <w:rFonts w:hint="eastAsia"/>
                <w:color w:val="auto"/>
                <w:sz w:val="24"/>
                <w:lang w:val="en-US" w:eastAsia="zh-CN"/>
              </w:rPr>
              <w:t>建设项目</w:t>
            </w:r>
            <w:r>
              <w:rPr>
                <w:rFonts w:hint="eastAsia"/>
                <w:color w:val="auto"/>
                <w:sz w:val="24"/>
              </w:rPr>
              <w:t>施工期噪声执行《建筑施工场界环境噪声排放标准》（</w:t>
            </w:r>
            <w:r>
              <w:rPr>
                <w:rFonts w:hint="eastAsia"/>
                <w:color w:val="auto"/>
                <w:kern w:val="0"/>
                <w:sz w:val="24"/>
              </w:rPr>
              <w:t>GB12523-2011</w:t>
            </w:r>
            <w:r>
              <w:rPr>
                <w:rFonts w:hint="eastAsia"/>
                <w:color w:val="auto"/>
                <w:sz w:val="24"/>
              </w:rPr>
              <w:t>），具体见表3.3-</w:t>
            </w:r>
            <w:r>
              <w:rPr>
                <w:rFonts w:hint="eastAsia"/>
                <w:color w:val="auto"/>
                <w:sz w:val="24"/>
                <w:lang w:val="en-US" w:eastAsia="zh-CN"/>
              </w:rPr>
              <w:t>6</w:t>
            </w:r>
            <w:r>
              <w:rPr>
                <w:rFonts w:hint="eastAsia"/>
                <w:color w:val="auto"/>
                <w:sz w:val="24"/>
              </w:rPr>
              <w:t>。</w:t>
            </w:r>
          </w:p>
          <w:p w14:paraId="2CCAC52C">
            <w:pPr>
              <w:keepNext w:val="0"/>
              <w:keepLines w:val="0"/>
              <w:widowControl/>
              <w:suppressLineNumbers w:val="0"/>
              <w:adjustRightInd w:val="0"/>
              <w:snapToGrid w:val="0"/>
              <w:spacing w:before="0" w:beforeAutospacing="0" w:after="0" w:afterAutospacing="0" w:line="240" w:lineRule="auto"/>
              <w:ind w:left="0" w:right="0" w:firstLine="403"/>
              <w:jc w:val="center"/>
              <w:rPr>
                <w:rFonts w:hint="eastAsia"/>
                <w:color w:val="auto"/>
                <w:kern w:val="0"/>
                <w:szCs w:val="21"/>
              </w:rPr>
            </w:pPr>
            <w:r>
              <w:rPr>
                <w:rFonts w:hint="eastAsia"/>
                <w:b/>
                <w:color w:val="auto"/>
                <w:kern w:val="0"/>
                <w:sz w:val="24"/>
              </w:rPr>
              <w:t>表3.3-</w:t>
            </w:r>
            <w:r>
              <w:rPr>
                <w:rFonts w:hint="eastAsia"/>
                <w:b/>
                <w:color w:val="auto"/>
                <w:kern w:val="0"/>
                <w:sz w:val="24"/>
                <w:lang w:val="en-US" w:eastAsia="zh-CN"/>
              </w:rPr>
              <w:t xml:space="preserve">6  </w:t>
            </w:r>
            <w:r>
              <w:rPr>
                <w:rFonts w:hint="eastAsia"/>
                <w:b/>
                <w:color w:val="auto"/>
                <w:kern w:val="0"/>
                <w:sz w:val="24"/>
              </w:rPr>
              <w:t>建筑施工场界环境噪声排放标准</w:t>
            </w:r>
            <w:r>
              <w:rPr>
                <w:rFonts w:hint="eastAsia"/>
                <w:b/>
                <w:color w:val="auto"/>
                <w:kern w:val="0"/>
                <w:sz w:val="24"/>
                <w:lang w:val="en-US" w:eastAsia="zh-CN"/>
              </w:rPr>
              <w:t xml:space="preserve"> </w:t>
            </w:r>
            <w:r>
              <w:rPr>
                <w:rFonts w:hint="eastAsia"/>
                <w:b/>
                <w:bCs/>
                <w:color w:val="auto"/>
                <w:kern w:val="0"/>
                <w:szCs w:val="21"/>
              </w:rPr>
              <w:t>单位：dB（A）</w:t>
            </w:r>
          </w:p>
          <w:tbl>
            <w:tblPr>
              <w:tblStyle w:val="24"/>
              <w:tblW w:w="787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25"/>
              <w:gridCol w:w="1714"/>
              <w:gridCol w:w="4836"/>
            </w:tblGrid>
            <w:tr w14:paraId="7B52AE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3" w:hRule="atLeast"/>
              </w:trPr>
              <w:tc>
                <w:tcPr>
                  <w:tcW w:w="841" w:type="pct"/>
                  <w:tcBorders>
                    <w:tl2br w:val="nil"/>
                    <w:tr2bl w:val="nil"/>
                  </w:tcBorders>
                  <w:vAlign w:val="center"/>
                </w:tcPr>
                <w:p w14:paraId="11169D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val="0"/>
                      <w:color w:val="auto"/>
                      <w:kern w:val="0"/>
                      <w:sz w:val="18"/>
                      <w:szCs w:val="18"/>
                    </w:rPr>
                  </w:pPr>
                  <w:r>
                    <w:rPr>
                      <w:rFonts w:hint="eastAsia"/>
                      <w:b/>
                      <w:bCs w:val="0"/>
                      <w:color w:val="auto"/>
                      <w:kern w:val="0"/>
                      <w:sz w:val="18"/>
                      <w:szCs w:val="18"/>
                    </w:rPr>
                    <w:t>昼间</w:t>
                  </w:r>
                </w:p>
              </w:tc>
              <w:tc>
                <w:tcPr>
                  <w:tcW w:w="1088" w:type="pct"/>
                  <w:tcBorders>
                    <w:tl2br w:val="nil"/>
                    <w:tr2bl w:val="nil"/>
                  </w:tcBorders>
                  <w:vAlign w:val="center"/>
                </w:tcPr>
                <w:p w14:paraId="615890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val="0"/>
                      <w:color w:val="auto"/>
                      <w:kern w:val="0"/>
                      <w:sz w:val="18"/>
                      <w:szCs w:val="18"/>
                    </w:rPr>
                  </w:pPr>
                  <w:r>
                    <w:rPr>
                      <w:rFonts w:hint="eastAsia"/>
                      <w:b/>
                      <w:bCs w:val="0"/>
                      <w:color w:val="auto"/>
                      <w:kern w:val="0"/>
                      <w:sz w:val="18"/>
                      <w:szCs w:val="18"/>
                    </w:rPr>
                    <w:t>夜间</w:t>
                  </w:r>
                </w:p>
              </w:tc>
              <w:tc>
                <w:tcPr>
                  <w:tcW w:w="3070" w:type="pct"/>
                  <w:tcBorders>
                    <w:tl2br w:val="nil"/>
                    <w:tr2bl w:val="nil"/>
                  </w:tcBorders>
                  <w:vAlign w:val="center"/>
                </w:tcPr>
                <w:p w14:paraId="11870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val="0"/>
                      <w:color w:val="auto"/>
                      <w:kern w:val="0"/>
                      <w:sz w:val="18"/>
                      <w:szCs w:val="18"/>
                    </w:rPr>
                  </w:pPr>
                  <w:r>
                    <w:rPr>
                      <w:rFonts w:hint="eastAsia"/>
                      <w:b/>
                      <w:bCs w:val="0"/>
                      <w:color w:val="auto"/>
                      <w:kern w:val="0"/>
                      <w:sz w:val="18"/>
                      <w:szCs w:val="18"/>
                    </w:rPr>
                    <w:t>标准来源</w:t>
                  </w:r>
                </w:p>
              </w:tc>
            </w:tr>
            <w:tr w14:paraId="0D1254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 w:hRule="atLeast"/>
              </w:trPr>
              <w:tc>
                <w:tcPr>
                  <w:tcW w:w="841" w:type="pct"/>
                  <w:tcBorders>
                    <w:tl2br w:val="nil"/>
                    <w:tr2bl w:val="nil"/>
                  </w:tcBorders>
                  <w:vAlign w:val="center"/>
                </w:tcPr>
                <w:p w14:paraId="20FB03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0"/>
                      <w:sz w:val="18"/>
                      <w:szCs w:val="18"/>
                    </w:rPr>
                  </w:pPr>
                  <w:r>
                    <w:rPr>
                      <w:rFonts w:hint="eastAsia"/>
                      <w:color w:val="auto"/>
                      <w:kern w:val="0"/>
                      <w:sz w:val="18"/>
                      <w:szCs w:val="18"/>
                    </w:rPr>
                    <w:t>70</w:t>
                  </w:r>
                </w:p>
              </w:tc>
              <w:tc>
                <w:tcPr>
                  <w:tcW w:w="1088" w:type="pct"/>
                  <w:tcBorders>
                    <w:tl2br w:val="nil"/>
                    <w:tr2bl w:val="nil"/>
                  </w:tcBorders>
                  <w:vAlign w:val="center"/>
                </w:tcPr>
                <w:p w14:paraId="2DFD0F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0"/>
                      <w:sz w:val="18"/>
                      <w:szCs w:val="18"/>
                    </w:rPr>
                  </w:pPr>
                  <w:r>
                    <w:rPr>
                      <w:rFonts w:hint="eastAsia"/>
                      <w:color w:val="auto"/>
                      <w:kern w:val="0"/>
                      <w:sz w:val="18"/>
                      <w:szCs w:val="18"/>
                    </w:rPr>
                    <w:t>55</w:t>
                  </w:r>
                </w:p>
              </w:tc>
              <w:tc>
                <w:tcPr>
                  <w:tcW w:w="3070" w:type="pct"/>
                  <w:tcBorders>
                    <w:tl2br w:val="nil"/>
                    <w:tr2bl w:val="nil"/>
                  </w:tcBorders>
                  <w:vAlign w:val="center"/>
                </w:tcPr>
                <w:p w14:paraId="176799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0"/>
                      <w:sz w:val="18"/>
                      <w:szCs w:val="18"/>
                    </w:rPr>
                  </w:pPr>
                  <w:r>
                    <w:rPr>
                      <w:rFonts w:hint="eastAsia"/>
                      <w:color w:val="auto"/>
                      <w:kern w:val="0"/>
                      <w:sz w:val="18"/>
                      <w:szCs w:val="18"/>
                    </w:rPr>
                    <w:t>《建筑施工场界环境噪声排放标准》（GB12523-2011）</w:t>
                  </w:r>
                </w:p>
              </w:tc>
            </w:tr>
          </w:tbl>
          <w:p w14:paraId="5DF56050">
            <w:pPr>
              <w:keepNext w:val="0"/>
              <w:keepLines w:val="0"/>
              <w:numPr>
                <w:ilvl w:val="0"/>
                <w:numId w:val="0"/>
              </w:numPr>
              <w:suppressLineNumbers w:val="0"/>
              <w:spacing w:before="0" w:beforeAutospacing="0" w:after="0" w:afterAutospacing="0"/>
              <w:ind w:left="0" w:leftChars="0" w:right="0" w:rightChars="0" w:firstLine="480" w:firstLineChars="200"/>
              <w:rPr>
                <w:rFonts w:hint="eastAsia" w:eastAsiaTheme="minorEastAsia"/>
                <w:color w:val="auto"/>
                <w:sz w:val="24"/>
              </w:rPr>
            </w:pPr>
            <w:r>
              <w:rPr>
                <w:rFonts w:hint="eastAsia" w:ascii="Times New Roman" w:hAnsi="Times New Roman" w:eastAsiaTheme="minorEastAsia" w:cstheme="minorBidi"/>
                <w:color w:val="auto"/>
                <w:kern w:val="2"/>
                <w:sz w:val="24"/>
                <w:szCs w:val="24"/>
                <w:lang w:val="en-US" w:eastAsia="zh-CN" w:bidi="ar-SA"/>
              </w:rPr>
              <w:t>（2）</w:t>
            </w:r>
            <w:r>
              <w:rPr>
                <w:rFonts w:hint="eastAsia" w:eastAsiaTheme="minorEastAsia"/>
                <w:color w:val="auto"/>
                <w:sz w:val="24"/>
              </w:rPr>
              <w:t>运营期</w:t>
            </w:r>
          </w:p>
          <w:p w14:paraId="36513CB7">
            <w:pPr>
              <w:keepNext w:val="0"/>
              <w:keepLines w:val="0"/>
              <w:suppressLineNumbers w:val="0"/>
              <w:spacing w:before="0" w:beforeAutospacing="0" w:after="0" w:afterAutospacing="0" w:line="360" w:lineRule="auto"/>
              <w:ind w:left="0" w:right="0" w:firstLine="480"/>
              <w:rPr>
                <w:rFonts w:hint="eastAsia" w:eastAsiaTheme="minorEastAsia"/>
                <w:color w:val="auto"/>
                <w:szCs w:val="21"/>
              </w:rPr>
            </w:pPr>
            <w:r>
              <w:rPr>
                <w:rFonts w:hint="eastAsia" w:cs="Times New Roman"/>
                <w:color w:val="auto"/>
                <w:lang w:val="en-US" w:eastAsia="zh-CN"/>
              </w:rPr>
              <w:t>建设项目</w:t>
            </w:r>
            <w:r>
              <w:rPr>
                <w:rFonts w:hint="eastAsia" w:cs="Times New Roman"/>
                <w:color w:val="auto"/>
              </w:rPr>
              <w:t>位于</w:t>
            </w:r>
            <w:r>
              <w:rPr>
                <w:rFonts w:hint="eastAsia" w:cs="Times New Roman"/>
                <w:color w:val="auto"/>
                <w:lang w:val="en-US" w:eastAsia="zh-CN"/>
              </w:rPr>
              <w:t>涟水县人民医院院内东北角地块，选址不临近城市道路</w:t>
            </w:r>
            <w:r>
              <w:rPr>
                <w:rFonts w:hint="eastAsia" w:cs="Times New Roman"/>
                <w:color w:val="auto"/>
                <w:kern w:val="0"/>
                <w:sz w:val="24"/>
                <w:lang w:val="en-US" w:eastAsia="zh-CN"/>
              </w:rPr>
              <w:t>，</w:t>
            </w:r>
            <w:r>
              <w:rPr>
                <w:rFonts w:hint="eastAsia" w:eastAsiaTheme="minorEastAsia"/>
                <w:color w:val="auto"/>
                <w:szCs w:val="21"/>
                <w:lang w:val="en-US" w:eastAsia="zh-CN"/>
              </w:rPr>
              <w:t>厂界及周边声环境敏感点</w:t>
            </w:r>
            <w:r>
              <w:rPr>
                <w:rFonts w:hint="eastAsia" w:eastAsiaTheme="minorEastAsia"/>
                <w:color w:val="auto"/>
                <w:szCs w:val="21"/>
              </w:rPr>
              <w:t>噪声执行《工业企业厂界环境噪声排放标准》（GB12348-2008）中的</w:t>
            </w:r>
            <w:r>
              <w:rPr>
                <w:rFonts w:hint="eastAsia" w:eastAsiaTheme="minorEastAsia"/>
                <w:color w:val="auto"/>
                <w:szCs w:val="21"/>
                <w:lang w:val="en-US" w:eastAsia="zh-CN"/>
              </w:rPr>
              <w:t>2</w:t>
            </w:r>
            <w:r>
              <w:rPr>
                <w:rFonts w:hint="eastAsia" w:eastAsiaTheme="minorEastAsia"/>
                <w:color w:val="auto"/>
                <w:szCs w:val="21"/>
              </w:rPr>
              <w:t>类标准，具体见表3.10-1；</w:t>
            </w:r>
            <w:r>
              <w:rPr>
                <w:rFonts w:hint="eastAsia" w:eastAsiaTheme="minorEastAsia"/>
                <w:color w:val="auto"/>
                <w:szCs w:val="21"/>
                <w:lang w:eastAsia="zh-CN"/>
              </w:rPr>
              <w:t>实验室</w:t>
            </w:r>
            <w:r>
              <w:rPr>
                <w:rFonts w:hint="eastAsia" w:eastAsiaTheme="minorEastAsia"/>
                <w:color w:val="auto"/>
                <w:szCs w:val="21"/>
              </w:rPr>
              <w:t>内噪声级应符合《民用建筑隔声设计规范》（GB50118-2010）中表6.1.1室内允许噪声级低限标准，见表3.</w:t>
            </w:r>
            <w:r>
              <w:rPr>
                <w:rFonts w:hint="eastAsia" w:eastAsiaTheme="minorEastAsia"/>
                <w:color w:val="auto"/>
                <w:szCs w:val="21"/>
                <w:lang w:val="en-US" w:eastAsia="zh-CN"/>
              </w:rPr>
              <w:t>3-7</w:t>
            </w:r>
            <w:r>
              <w:rPr>
                <w:rFonts w:hint="eastAsia" w:eastAsiaTheme="minorEastAsia"/>
                <w:color w:val="auto"/>
                <w:szCs w:val="21"/>
              </w:rPr>
              <w:t>。</w:t>
            </w:r>
          </w:p>
          <w:p w14:paraId="02D8DD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0"/>
              <w:rPr>
                <w:rFonts w:hint="eastAsia" w:eastAsiaTheme="minorEastAsia"/>
                <w:b/>
                <w:color w:val="auto"/>
                <w:szCs w:val="21"/>
              </w:rPr>
            </w:pPr>
            <w:bookmarkStart w:id="12" w:name="_Toc12231"/>
            <w:r>
              <w:rPr>
                <w:rFonts w:hint="eastAsia" w:eastAsiaTheme="minorEastAsia"/>
                <w:b/>
                <w:color w:val="auto"/>
                <w:szCs w:val="21"/>
              </w:rPr>
              <w:t>表3.</w:t>
            </w:r>
            <w:r>
              <w:rPr>
                <w:rFonts w:hint="eastAsia" w:eastAsiaTheme="minorEastAsia"/>
                <w:b/>
                <w:color w:val="auto"/>
                <w:szCs w:val="21"/>
                <w:lang w:val="en-US" w:eastAsia="zh-CN"/>
              </w:rPr>
              <w:t>3-7</w:t>
            </w:r>
            <w:r>
              <w:rPr>
                <w:rFonts w:hint="eastAsia" w:eastAsiaTheme="minorEastAsia"/>
                <w:b/>
                <w:color w:val="auto"/>
                <w:szCs w:val="21"/>
              </w:rPr>
              <w:t xml:space="preserve">  噪声排放标准限值</w:t>
            </w:r>
            <w:bookmarkEnd w:id="12"/>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3949"/>
              <w:gridCol w:w="1013"/>
              <w:gridCol w:w="997"/>
              <w:gridCol w:w="648"/>
            </w:tblGrid>
            <w:tr w14:paraId="35BBE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92" w:type="pct"/>
                  <w:vMerge w:val="restart"/>
                  <w:tcBorders>
                    <w:tl2br w:val="nil"/>
                    <w:tr2bl w:val="nil"/>
                  </w:tcBorders>
                  <w:vAlign w:val="center"/>
                </w:tcPr>
                <w:p w14:paraId="5EA89A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点位</w:t>
                  </w:r>
                </w:p>
              </w:tc>
              <w:tc>
                <w:tcPr>
                  <w:tcW w:w="2514" w:type="pct"/>
                  <w:vMerge w:val="restart"/>
                  <w:tcBorders>
                    <w:tl2br w:val="nil"/>
                    <w:tr2bl w:val="nil"/>
                  </w:tcBorders>
                  <w:vAlign w:val="center"/>
                </w:tcPr>
                <w:p w14:paraId="0350C7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执行标准</w:t>
                  </w:r>
                </w:p>
              </w:tc>
              <w:tc>
                <w:tcPr>
                  <w:tcW w:w="645" w:type="pct"/>
                  <w:vMerge w:val="restart"/>
                  <w:tcBorders>
                    <w:tl2br w:val="nil"/>
                    <w:tr2bl w:val="nil"/>
                  </w:tcBorders>
                  <w:vAlign w:val="center"/>
                </w:tcPr>
                <w:p w14:paraId="6DEDCA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类别</w:t>
                  </w:r>
                </w:p>
              </w:tc>
              <w:tc>
                <w:tcPr>
                  <w:tcW w:w="1047" w:type="pct"/>
                  <w:gridSpan w:val="2"/>
                  <w:tcBorders>
                    <w:tl2br w:val="nil"/>
                    <w:tr2bl w:val="nil"/>
                  </w:tcBorders>
                  <w:vAlign w:val="center"/>
                </w:tcPr>
                <w:p w14:paraId="0DBC48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标准限值dB</w:t>
                  </w:r>
                  <w:r>
                    <w:rPr>
                      <w:rFonts w:hint="default" w:ascii="Times New Roman" w:hAnsi="Times New Roman" w:eastAsia="宋体" w:cs="Times New Roman"/>
                      <w:b/>
                      <w:bCs/>
                      <w:color w:val="auto"/>
                      <w:sz w:val="18"/>
                      <w:szCs w:val="18"/>
                      <w:lang w:eastAsia="zh-CN"/>
                    </w:rPr>
                    <w:t>（</w:t>
                  </w:r>
                  <w:r>
                    <w:rPr>
                      <w:rFonts w:hint="default" w:ascii="Times New Roman" w:hAnsi="Times New Roman" w:eastAsia="宋体" w:cs="Times New Roman"/>
                      <w:b/>
                      <w:bCs/>
                      <w:color w:val="auto"/>
                      <w:sz w:val="18"/>
                      <w:szCs w:val="18"/>
                    </w:rPr>
                    <w:t>A</w:t>
                  </w:r>
                  <w:r>
                    <w:rPr>
                      <w:rFonts w:hint="default" w:ascii="Times New Roman" w:hAnsi="Times New Roman" w:eastAsia="宋体" w:cs="Times New Roman"/>
                      <w:b/>
                      <w:bCs/>
                      <w:color w:val="auto"/>
                      <w:sz w:val="18"/>
                      <w:szCs w:val="18"/>
                      <w:lang w:eastAsia="zh-CN"/>
                    </w:rPr>
                    <w:t>）</w:t>
                  </w:r>
                </w:p>
              </w:tc>
            </w:tr>
            <w:tr w14:paraId="062D0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2" w:hRule="atLeast"/>
                <w:jc w:val="center"/>
              </w:trPr>
              <w:tc>
                <w:tcPr>
                  <w:tcW w:w="792" w:type="pct"/>
                  <w:vMerge w:val="continue"/>
                  <w:tcBorders>
                    <w:tl2br w:val="nil"/>
                    <w:tr2bl w:val="nil"/>
                  </w:tcBorders>
                  <w:vAlign w:val="center"/>
                </w:tcPr>
                <w:p w14:paraId="6B8F91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p>
              </w:tc>
              <w:tc>
                <w:tcPr>
                  <w:tcW w:w="2514" w:type="pct"/>
                  <w:vMerge w:val="continue"/>
                  <w:tcBorders>
                    <w:tl2br w:val="nil"/>
                    <w:tr2bl w:val="nil"/>
                  </w:tcBorders>
                  <w:vAlign w:val="center"/>
                </w:tcPr>
                <w:p w14:paraId="4A67F9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p>
              </w:tc>
              <w:tc>
                <w:tcPr>
                  <w:tcW w:w="645" w:type="pct"/>
                  <w:vMerge w:val="continue"/>
                  <w:tcBorders>
                    <w:tl2br w:val="nil"/>
                    <w:tr2bl w:val="nil"/>
                  </w:tcBorders>
                  <w:vAlign w:val="center"/>
                </w:tcPr>
                <w:p w14:paraId="5251E9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p>
              </w:tc>
              <w:tc>
                <w:tcPr>
                  <w:tcW w:w="635" w:type="pct"/>
                  <w:tcBorders>
                    <w:tl2br w:val="nil"/>
                    <w:tr2bl w:val="nil"/>
                  </w:tcBorders>
                  <w:vAlign w:val="center"/>
                </w:tcPr>
                <w:p w14:paraId="1E3786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昼</w:t>
                  </w:r>
                </w:p>
              </w:tc>
              <w:tc>
                <w:tcPr>
                  <w:tcW w:w="411" w:type="pct"/>
                  <w:tcBorders>
                    <w:tl2br w:val="nil"/>
                    <w:tr2bl w:val="nil"/>
                  </w:tcBorders>
                  <w:vAlign w:val="center"/>
                </w:tcPr>
                <w:p w14:paraId="77FDF6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夜</w:t>
                  </w:r>
                </w:p>
              </w:tc>
            </w:tr>
            <w:tr w14:paraId="25747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792" w:type="pct"/>
                  <w:tcBorders>
                    <w:tl2br w:val="nil"/>
                    <w:tr2bl w:val="nil"/>
                  </w:tcBorders>
                  <w:vAlign w:val="center"/>
                </w:tcPr>
                <w:p w14:paraId="56A0C9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厂界四周</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周边</w:t>
                  </w:r>
                  <w:r>
                    <w:rPr>
                      <w:rFonts w:hint="default" w:ascii="Times New Roman" w:hAnsi="Times New Roman" w:eastAsia="宋体" w:cs="Times New Roman"/>
                      <w:color w:val="auto"/>
                      <w:sz w:val="18"/>
                      <w:szCs w:val="18"/>
                      <w:lang w:val="en-US" w:eastAsia="zh-CN"/>
                    </w:rPr>
                    <w:t>敏感点</w:t>
                  </w:r>
                </w:p>
              </w:tc>
              <w:tc>
                <w:tcPr>
                  <w:tcW w:w="2514" w:type="pct"/>
                  <w:tcBorders>
                    <w:tl2br w:val="nil"/>
                    <w:tr2bl w:val="nil"/>
                  </w:tcBorders>
                  <w:vAlign w:val="center"/>
                </w:tcPr>
                <w:p w14:paraId="643E96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《工业企业厂界环境噪声排放标准》</w:t>
                  </w:r>
                </w:p>
                <w:p w14:paraId="54D0DE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eastAsia="zh-CN"/>
                    </w:rPr>
                    <w:t>(</w:t>
                  </w:r>
                  <w:r>
                    <w:rPr>
                      <w:rFonts w:hint="default" w:ascii="Times New Roman" w:hAnsi="Times New Roman" w:eastAsia="宋体" w:cs="Times New Roman"/>
                      <w:color w:val="auto"/>
                      <w:sz w:val="18"/>
                      <w:szCs w:val="18"/>
                    </w:rPr>
                    <w:t>GB12348-2008</w:t>
                  </w:r>
                  <w:r>
                    <w:rPr>
                      <w:rFonts w:hint="eastAsia" w:cs="Times New Roman"/>
                      <w:color w:val="auto"/>
                      <w:sz w:val="18"/>
                      <w:szCs w:val="18"/>
                      <w:lang w:eastAsia="zh-CN"/>
                    </w:rPr>
                    <w:t>)</w:t>
                  </w:r>
                </w:p>
              </w:tc>
              <w:tc>
                <w:tcPr>
                  <w:tcW w:w="645" w:type="pct"/>
                  <w:tcBorders>
                    <w:tl2br w:val="nil"/>
                    <w:tr2bl w:val="nil"/>
                  </w:tcBorders>
                  <w:vAlign w:val="center"/>
                </w:tcPr>
                <w:p w14:paraId="7F9886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类</w:t>
                  </w:r>
                </w:p>
              </w:tc>
              <w:tc>
                <w:tcPr>
                  <w:tcW w:w="635" w:type="pct"/>
                  <w:tcBorders>
                    <w:tl2br w:val="nil"/>
                    <w:tr2bl w:val="nil"/>
                  </w:tcBorders>
                  <w:vAlign w:val="center"/>
                </w:tcPr>
                <w:p w14:paraId="42FC2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w:t>
                  </w:r>
                </w:p>
              </w:tc>
              <w:tc>
                <w:tcPr>
                  <w:tcW w:w="411" w:type="pct"/>
                  <w:tcBorders>
                    <w:tl2br w:val="nil"/>
                    <w:tr2bl w:val="nil"/>
                  </w:tcBorders>
                  <w:vAlign w:val="center"/>
                </w:tcPr>
                <w:p w14:paraId="6FD905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w:t>
                  </w:r>
                </w:p>
              </w:tc>
            </w:tr>
          </w:tbl>
          <w:p w14:paraId="220B20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0"/>
              <w:rPr>
                <w:rFonts w:hint="eastAsia" w:eastAsiaTheme="minorEastAsia"/>
                <w:b/>
                <w:color w:val="auto"/>
                <w:szCs w:val="21"/>
              </w:rPr>
            </w:pPr>
            <w:r>
              <w:rPr>
                <w:rFonts w:hint="eastAsia" w:eastAsiaTheme="minorEastAsia"/>
                <w:b/>
                <w:color w:val="auto"/>
                <w:szCs w:val="21"/>
              </w:rPr>
              <w:t>表3.</w:t>
            </w:r>
            <w:r>
              <w:rPr>
                <w:rFonts w:hint="eastAsia" w:eastAsiaTheme="minorEastAsia"/>
                <w:b/>
                <w:color w:val="auto"/>
                <w:szCs w:val="21"/>
                <w:lang w:val="en-US" w:eastAsia="zh-CN"/>
              </w:rPr>
              <w:t>3-8</w:t>
            </w:r>
            <w:r>
              <w:rPr>
                <w:rFonts w:hint="eastAsia" w:eastAsiaTheme="minorEastAsia"/>
                <w:b/>
                <w:color w:val="auto"/>
                <w:szCs w:val="21"/>
              </w:rPr>
              <w:t xml:space="preserve"> 室内允许噪声级   单位：dB（A）</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000"/>
              <w:gridCol w:w="1574"/>
              <w:gridCol w:w="1574"/>
              <w:gridCol w:w="1703"/>
            </w:tblGrid>
            <w:tr w14:paraId="558B3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10" w:type="pct"/>
                  <w:vMerge w:val="restart"/>
                  <w:tcBorders>
                    <w:tl2br w:val="nil"/>
                    <w:tr2bl w:val="nil"/>
                  </w:tcBorders>
                  <w:tcMar>
                    <w:top w:w="0" w:type="dxa"/>
                    <w:left w:w="108" w:type="dxa"/>
                    <w:bottom w:w="0" w:type="dxa"/>
                    <w:right w:w="108" w:type="dxa"/>
                  </w:tcMar>
                  <w:vAlign w:val="center"/>
                </w:tcPr>
                <w:p w14:paraId="7359AD1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房间名称</w:t>
                  </w:r>
                </w:p>
              </w:tc>
              <w:tc>
                <w:tcPr>
                  <w:tcW w:w="2004" w:type="pct"/>
                  <w:gridSpan w:val="2"/>
                  <w:tcBorders>
                    <w:tl2br w:val="nil"/>
                    <w:tr2bl w:val="nil"/>
                  </w:tcBorders>
                  <w:vAlign w:val="center"/>
                </w:tcPr>
                <w:p w14:paraId="136FA3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标准值</w:t>
                  </w:r>
                </w:p>
              </w:tc>
              <w:tc>
                <w:tcPr>
                  <w:tcW w:w="1084" w:type="pct"/>
                  <w:vMerge w:val="restart"/>
                  <w:tcBorders>
                    <w:tl2br w:val="nil"/>
                    <w:tr2bl w:val="nil"/>
                  </w:tcBorders>
                  <w:vAlign w:val="center"/>
                </w:tcPr>
                <w:p w14:paraId="03DD2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b/>
                      <w:bCs/>
                      <w:color w:val="auto"/>
                      <w:sz w:val="18"/>
                      <w:szCs w:val="18"/>
                    </w:rPr>
                    <w:t>标准来源</w:t>
                  </w:r>
                </w:p>
              </w:tc>
            </w:tr>
            <w:tr w14:paraId="2BDDE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10" w:type="pct"/>
                  <w:vMerge w:val="continue"/>
                  <w:tcBorders>
                    <w:tl2br w:val="nil"/>
                    <w:tr2bl w:val="nil"/>
                  </w:tcBorders>
                  <w:tcMar>
                    <w:top w:w="0" w:type="dxa"/>
                    <w:left w:w="108" w:type="dxa"/>
                    <w:bottom w:w="0" w:type="dxa"/>
                    <w:right w:w="108" w:type="dxa"/>
                  </w:tcMar>
                  <w:vAlign w:val="center"/>
                </w:tcPr>
                <w:p w14:paraId="620148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p>
              </w:tc>
              <w:tc>
                <w:tcPr>
                  <w:tcW w:w="1002" w:type="pct"/>
                  <w:tcBorders>
                    <w:tl2br w:val="nil"/>
                    <w:tr2bl w:val="nil"/>
                  </w:tcBorders>
                  <w:vAlign w:val="center"/>
                </w:tcPr>
                <w:p w14:paraId="1B43A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昼间</w:t>
                  </w:r>
                </w:p>
              </w:tc>
              <w:tc>
                <w:tcPr>
                  <w:tcW w:w="1002" w:type="pct"/>
                  <w:tcBorders>
                    <w:tl2br w:val="nil"/>
                    <w:tr2bl w:val="nil"/>
                  </w:tcBorders>
                  <w:vAlign w:val="center"/>
                </w:tcPr>
                <w:p w14:paraId="46208D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夜间</w:t>
                  </w:r>
                </w:p>
              </w:tc>
              <w:tc>
                <w:tcPr>
                  <w:tcW w:w="1084" w:type="pct"/>
                  <w:vMerge w:val="continue"/>
                  <w:tcBorders>
                    <w:tl2br w:val="nil"/>
                    <w:tr2bl w:val="nil"/>
                  </w:tcBorders>
                  <w:vAlign w:val="center"/>
                </w:tcPr>
                <w:p w14:paraId="2002FC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r>
            <w:tr w14:paraId="40790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10" w:type="pct"/>
                  <w:tcBorders>
                    <w:tl2br w:val="nil"/>
                    <w:tr2bl w:val="nil"/>
                  </w:tcBorders>
                  <w:tcMar>
                    <w:top w:w="0" w:type="dxa"/>
                    <w:left w:w="108" w:type="dxa"/>
                    <w:bottom w:w="0" w:type="dxa"/>
                    <w:right w:w="108" w:type="dxa"/>
                  </w:tcMar>
                  <w:vAlign w:val="center"/>
                </w:tcPr>
                <w:p w14:paraId="75C7BB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化验室、分析实验室</w:t>
                  </w:r>
                </w:p>
              </w:tc>
              <w:tc>
                <w:tcPr>
                  <w:tcW w:w="2004" w:type="pct"/>
                  <w:gridSpan w:val="2"/>
                  <w:tcBorders>
                    <w:tl2br w:val="nil"/>
                    <w:tr2bl w:val="nil"/>
                  </w:tcBorders>
                  <w:vAlign w:val="center"/>
                </w:tcPr>
                <w:p w14:paraId="16D5D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≤40</w:t>
                  </w:r>
                </w:p>
              </w:tc>
              <w:tc>
                <w:tcPr>
                  <w:tcW w:w="1084" w:type="pct"/>
                  <w:vMerge w:val="continue"/>
                  <w:tcBorders>
                    <w:tl2br w:val="nil"/>
                    <w:tr2bl w:val="nil"/>
                  </w:tcBorders>
                  <w:vAlign w:val="center"/>
                </w:tcPr>
                <w:p w14:paraId="095096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r>
          </w:tbl>
          <w:p w14:paraId="65299B3C">
            <w:pPr>
              <w:keepNext w:val="0"/>
              <w:keepLines w:val="0"/>
              <w:pageBreakBefore w:val="0"/>
              <w:widowControl w:val="0"/>
              <w:suppressLineNumbers w:val="0"/>
              <w:kinsoku/>
              <w:wordWrap/>
              <w:overflowPunct/>
              <w:topLinePunct w:val="0"/>
              <w:autoSpaceDE/>
              <w:autoSpaceDN/>
              <w:bidi w:val="0"/>
              <w:adjustRightInd/>
              <w:snapToGrid/>
              <w:spacing w:before="156" w:beforeLines="50" w:beforeAutospacing="0" w:after="0" w:afterAutospacing="0" w:line="360" w:lineRule="auto"/>
              <w:ind w:left="0" w:right="0" w:firstLine="482"/>
              <w:textAlignment w:val="auto"/>
              <w:rPr>
                <w:rFonts w:hint="eastAsia" w:cs="Times New Roman"/>
                <w:b/>
                <w:bCs/>
                <w:color w:val="auto"/>
              </w:rPr>
            </w:pPr>
            <w:r>
              <w:rPr>
                <w:rFonts w:hint="eastAsia" w:cs="Times New Roman"/>
                <w:b/>
                <w:bCs/>
                <w:color w:val="auto"/>
              </w:rPr>
              <w:t>4.固废</w:t>
            </w:r>
          </w:p>
          <w:p w14:paraId="22E18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活垃圾的储存与处置参照执行《城市生活垃圾管理办法》（建设部令2007年第157号）中相关规定；一般工业固废储存执行《一般工业固体废物贮存和填埋污染控制标准》（GB18599-2020）中相关规定；医疗废物暂存、储运过程执行《医疗废物管理条例》（国务院令第380号）、《医疗卫生机构医疗废物管理方法》（中华人民共和国</w:t>
            </w:r>
            <w:r>
              <w:rPr>
                <w:rFonts w:hint="eastAsia" w:cs="Times New Roman"/>
                <w:color w:val="auto"/>
                <w:lang w:eastAsia="zh-CN"/>
              </w:rPr>
              <w:t>卫健委</w:t>
            </w:r>
            <w:r>
              <w:rPr>
                <w:rFonts w:hint="default" w:ascii="Times New Roman" w:hAnsi="Times New Roman" w:eastAsia="宋体" w:cs="Times New Roman"/>
                <w:color w:val="auto"/>
              </w:rPr>
              <w:t>第36号令）、《危险废物收集 贮存 运输技术规范》（HJ2025-2012）</w:t>
            </w:r>
            <w:r>
              <w:rPr>
                <w:rFonts w:hint="eastAsia" w:cs="Times New Roman"/>
                <w:color w:val="auto"/>
                <w:lang w:eastAsia="zh-CN"/>
              </w:rPr>
              <w:t>以及</w:t>
            </w:r>
            <w:r>
              <w:rPr>
                <w:rFonts w:hint="default" w:ascii="Times New Roman" w:hAnsi="Times New Roman" w:eastAsia="宋体" w:cs="Times New Roman"/>
                <w:color w:val="auto"/>
              </w:rPr>
              <w:t>《关于进一步加强危险废物污染防治工作的实施意见》（苏环办</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2019</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327号）</w:t>
            </w:r>
            <w:r>
              <w:rPr>
                <w:rFonts w:hint="eastAsia" w:cs="Times New Roman"/>
                <w:color w:val="auto"/>
                <w:lang w:eastAsia="zh-CN"/>
              </w:rPr>
              <w:t>、</w:t>
            </w:r>
            <w:r>
              <w:rPr>
                <w:rFonts w:hint="default" w:ascii="Times New Roman" w:hAnsi="Times New Roman" w:eastAsia="宋体" w:cs="Times New Roman"/>
                <w:color w:val="auto"/>
              </w:rPr>
              <w:t>《危险废物贮存污染控制标准》（GB18597-20</w:t>
            </w:r>
            <w:r>
              <w:rPr>
                <w:rFonts w:hint="default" w:ascii="Times New Roman" w:hAnsi="Times New Roman" w:eastAsia="宋体" w:cs="Times New Roman"/>
                <w:color w:val="auto"/>
                <w:lang w:val="en-US" w:eastAsia="zh-CN"/>
              </w:rPr>
              <w:t>23</w:t>
            </w:r>
            <w:r>
              <w:rPr>
                <w:rFonts w:hint="default" w:ascii="Times New Roman" w:hAnsi="Times New Roman" w:eastAsia="宋体" w:cs="Times New Roman"/>
                <w:color w:val="auto"/>
              </w:rPr>
              <w:t>）的相关规定。</w:t>
            </w:r>
          </w:p>
          <w:p w14:paraId="09F56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69DF9B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7703B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2439E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058AC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19E37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2C870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62D41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568D5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12C42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default" w:cs="Times New Roman"/>
                <w:color w:val="auto"/>
                <w:lang w:val="en-US" w:eastAsia="zh-CN"/>
              </w:rPr>
            </w:pPr>
          </w:p>
          <w:p w14:paraId="75ABDE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37474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18EEA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textAlignment w:val="auto"/>
              <w:rPr>
                <w:rFonts w:hint="eastAsia" w:cs="Times New Roman"/>
                <w:color w:val="auto"/>
                <w:lang w:val="en-US" w:eastAsia="zh-CN"/>
              </w:rPr>
            </w:pPr>
          </w:p>
          <w:p w14:paraId="5BD8E1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leftChars="0" w:right="0" w:firstLine="0" w:firstLineChars="0"/>
              <w:textAlignment w:val="auto"/>
              <w:rPr>
                <w:rFonts w:hint="eastAsia" w:ascii="Times New Roman" w:hAnsi="Times New Roman" w:eastAsia="宋体" w:cs="Times New Roman"/>
                <w:color w:val="auto"/>
                <w:lang w:val="en-US" w:eastAsia="zh-CN"/>
              </w:rPr>
            </w:pPr>
          </w:p>
        </w:tc>
      </w:tr>
      <w:tr w14:paraId="0276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1" w:hRule="atLeast"/>
        </w:trPr>
        <w:tc>
          <w:tcPr>
            <w:tcW w:w="460" w:type="dxa"/>
            <w:vAlign w:val="center"/>
          </w:tcPr>
          <w:p w14:paraId="11A984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vertAlign w:val="baseline"/>
                <w:lang w:val="en-US" w:eastAsia="zh-CN"/>
              </w:rPr>
            </w:pPr>
            <w:r>
              <w:rPr>
                <w:rFonts w:hint="eastAsia"/>
                <w:b/>
                <w:bCs/>
                <w:color w:val="auto"/>
                <w:vertAlign w:val="baseline"/>
                <w:lang w:val="en-US" w:eastAsia="zh-CN"/>
              </w:rPr>
              <w:t>总量控制指标</w:t>
            </w:r>
          </w:p>
        </w:tc>
        <w:tc>
          <w:tcPr>
            <w:tcW w:w="8062" w:type="dxa"/>
          </w:tcPr>
          <w:p w14:paraId="4C682B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olor w:val="auto"/>
                <w:lang w:val="en-US" w:eastAsia="zh-CN"/>
              </w:rPr>
            </w:pPr>
            <w:r>
              <w:rPr>
                <w:rFonts w:hint="eastAsia"/>
                <w:b/>
                <w:bCs/>
                <w:color w:val="auto"/>
                <w:lang w:val="en-US" w:eastAsia="zh-CN"/>
              </w:rPr>
              <w:t>表3.3-9  本项目污染物排放情况一览表  单位：t/a</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12"/>
              <w:gridCol w:w="826"/>
              <w:gridCol w:w="2313"/>
              <w:gridCol w:w="1217"/>
              <w:gridCol w:w="843"/>
              <w:gridCol w:w="889"/>
              <w:gridCol w:w="1248"/>
            </w:tblGrid>
            <w:tr w14:paraId="047B3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326" w:type="pct"/>
                  <w:tcBorders>
                    <w:top w:val="single" w:color="auto" w:sz="12" w:space="0"/>
                  </w:tcBorders>
                  <w:vAlign w:val="center"/>
                </w:tcPr>
                <w:p w14:paraId="6A1916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种类</w:t>
                  </w:r>
                </w:p>
              </w:tc>
              <w:tc>
                <w:tcPr>
                  <w:tcW w:w="1999" w:type="pct"/>
                  <w:gridSpan w:val="2"/>
                  <w:tcBorders>
                    <w:top w:val="single" w:color="auto" w:sz="12" w:space="0"/>
                  </w:tcBorders>
                  <w:vAlign w:val="center"/>
                </w:tcPr>
                <w:p w14:paraId="6ACD40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污染物名称</w:t>
                  </w:r>
                </w:p>
              </w:tc>
              <w:tc>
                <w:tcPr>
                  <w:tcW w:w="775" w:type="pct"/>
                  <w:tcBorders>
                    <w:top w:val="single" w:color="auto" w:sz="12" w:space="0"/>
                  </w:tcBorders>
                  <w:vAlign w:val="center"/>
                </w:tcPr>
                <w:p w14:paraId="6FCFB2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产生量</w:t>
                  </w:r>
                </w:p>
              </w:tc>
              <w:tc>
                <w:tcPr>
                  <w:tcW w:w="537" w:type="pct"/>
                  <w:tcBorders>
                    <w:top w:val="single" w:color="auto" w:sz="12" w:space="0"/>
                  </w:tcBorders>
                  <w:vAlign w:val="center"/>
                </w:tcPr>
                <w:p w14:paraId="609181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削减量</w:t>
                  </w:r>
                </w:p>
              </w:tc>
              <w:tc>
                <w:tcPr>
                  <w:tcW w:w="566" w:type="pct"/>
                  <w:tcBorders>
                    <w:top w:val="single" w:color="auto" w:sz="12" w:space="0"/>
                  </w:tcBorders>
                  <w:vAlign w:val="center"/>
                </w:tcPr>
                <w:p w14:paraId="3D3178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接管量</w:t>
                  </w:r>
                </w:p>
              </w:tc>
              <w:tc>
                <w:tcPr>
                  <w:tcW w:w="795" w:type="pct"/>
                  <w:tcBorders>
                    <w:top w:val="single" w:color="auto" w:sz="12" w:space="0"/>
                  </w:tcBorders>
                  <w:vAlign w:val="center"/>
                </w:tcPr>
                <w:p w14:paraId="76350D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color w:val="auto"/>
                      <w:sz w:val="18"/>
                      <w:szCs w:val="18"/>
                    </w:rPr>
                  </w:pPr>
                  <w:r>
                    <w:rPr>
                      <w:rFonts w:hint="default" w:ascii="Times New Roman" w:hAnsi="Times New Roman" w:cs="Times New Roman" w:eastAsiaTheme="minorEastAsia"/>
                      <w:b/>
                      <w:color w:val="auto"/>
                      <w:sz w:val="18"/>
                      <w:szCs w:val="18"/>
                    </w:rPr>
                    <w:t>环境排放量</w:t>
                  </w:r>
                </w:p>
              </w:tc>
            </w:tr>
            <w:tr w14:paraId="6605E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restart"/>
                  <w:vAlign w:val="center"/>
                </w:tcPr>
                <w:p w14:paraId="4760DA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废气</w:t>
                  </w:r>
                </w:p>
              </w:tc>
              <w:tc>
                <w:tcPr>
                  <w:tcW w:w="526" w:type="pct"/>
                  <w:tcBorders>
                    <w:right w:val="single" w:color="000000" w:sz="4" w:space="0"/>
                  </w:tcBorders>
                  <w:vAlign w:val="center"/>
                </w:tcPr>
                <w:p w14:paraId="0C9436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有组织</w:t>
                  </w:r>
                </w:p>
              </w:tc>
              <w:tc>
                <w:tcPr>
                  <w:tcW w:w="1473" w:type="pct"/>
                  <w:tcBorders>
                    <w:left w:val="single" w:color="000000" w:sz="4" w:space="0"/>
                    <w:bottom w:val="single" w:color="000000" w:sz="4" w:space="0"/>
                  </w:tcBorders>
                  <w:vAlign w:val="center"/>
                </w:tcPr>
                <w:p w14:paraId="5C7E51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kern w:val="0"/>
                      <w:sz w:val="18"/>
                      <w:szCs w:val="18"/>
                      <w:lang w:eastAsia="zh-CN"/>
                    </w:rPr>
                  </w:pPr>
                  <w:r>
                    <w:rPr>
                      <w:rFonts w:hint="eastAsia" w:cs="Times New Roman"/>
                      <w:color w:val="auto"/>
                      <w:sz w:val="18"/>
                      <w:szCs w:val="18"/>
                      <w:highlight w:val="none"/>
                      <w:lang w:val="en-US" w:eastAsia="zh-CN"/>
                    </w:rPr>
                    <w:t>VOCs（</w:t>
                  </w:r>
                  <w:r>
                    <w:rPr>
                      <w:rFonts w:hint="eastAsia" w:cs="Times New Roman" w:eastAsiaTheme="minorEastAsia"/>
                      <w:color w:val="auto"/>
                      <w:kern w:val="0"/>
                      <w:sz w:val="18"/>
                      <w:szCs w:val="18"/>
                      <w:lang w:eastAsia="zh-CN"/>
                    </w:rPr>
                    <w:t>非甲烷总烃</w:t>
                  </w:r>
                  <w:r>
                    <w:rPr>
                      <w:rFonts w:hint="eastAsia" w:cs="Times New Roman"/>
                      <w:color w:val="auto"/>
                      <w:sz w:val="18"/>
                      <w:szCs w:val="18"/>
                      <w:highlight w:val="none"/>
                      <w:lang w:val="en-US" w:eastAsia="zh-CN"/>
                    </w:rPr>
                    <w:t>）</w:t>
                  </w:r>
                </w:p>
              </w:tc>
              <w:tc>
                <w:tcPr>
                  <w:tcW w:w="1216" w:type="dxa"/>
                  <w:vAlign w:val="center"/>
                </w:tcPr>
                <w:p w14:paraId="1C5427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bidi="ar"/>
                    </w:rPr>
                    <w:t>0.177</w:t>
                  </w:r>
                </w:p>
              </w:tc>
              <w:tc>
                <w:tcPr>
                  <w:tcW w:w="843" w:type="dxa"/>
                  <w:vAlign w:val="center"/>
                </w:tcPr>
                <w:p w14:paraId="47E83B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0.159</w:t>
                  </w:r>
                </w:p>
              </w:tc>
              <w:tc>
                <w:tcPr>
                  <w:tcW w:w="566" w:type="pct"/>
                  <w:vAlign w:val="center"/>
                </w:tcPr>
                <w:p w14:paraId="1ABA97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w:t>
                  </w:r>
                </w:p>
              </w:tc>
              <w:tc>
                <w:tcPr>
                  <w:tcW w:w="795" w:type="pct"/>
                  <w:vAlign w:val="center"/>
                </w:tcPr>
                <w:p w14:paraId="0B3023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bidi="ar"/>
                    </w:rPr>
                    <w:t>0.018</w:t>
                  </w:r>
                </w:p>
              </w:tc>
            </w:tr>
            <w:tr w14:paraId="22E7F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6" w:type="pct"/>
                  <w:vMerge w:val="continue"/>
                  <w:vAlign w:val="center"/>
                </w:tcPr>
                <w:p w14:paraId="21ECDE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tcBorders>
                    <w:right w:val="single" w:color="000000" w:sz="4" w:space="0"/>
                  </w:tcBorders>
                  <w:vAlign w:val="center"/>
                </w:tcPr>
                <w:p w14:paraId="717D82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无组织</w:t>
                  </w:r>
                </w:p>
              </w:tc>
              <w:tc>
                <w:tcPr>
                  <w:tcW w:w="1473" w:type="pct"/>
                  <w:tcBorders>
                    <w:left w:val="single" w:color="000000" w:sz="4" w:space="0"/>
                    <w:bottom w:val="single" w:color="auto" w:sz="4" w:space="0"/>
                  </w:tcBorders>
                  <w:vAlign w:val="center"/>
                </w:tcPr>
                <w:p w14:paraId="133ED5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18"/>
                      <w:szCs w:val="18"/>
                      <w:lang w:eastAsia="zh-CN"/>
                    </w:rPr>
                  </w:pPr>
                  <w:r>
                    <w:rPr>
                      <w:rFonts w:hint="eastAsia" w:cs="Times New Roman"/>
                      <w:color w:val="auto"/>
                      <w:sz w:val="18"/>
                      <w:szCs w:val="18"/>
                      <w:highlight w:val="none"/>
                      <w:lang w:val="en-US" w:eastAsia="zh-CN"/>
                    </w:rPr>
                    <w:t>VOCs（</w:t>
                  </w:r>
                  <w:r>
                    <w:rPr>
                      <w:rFonts w:hint="eastAsia" w:cs="Times New Roman" w:eastAsiaTheme="minorEastAsia"/>
                      <w:color w:val="auto"/>
                      <w:kern w:val="0"/>
                      <w:sz w:val="18"/>
                      <w:szCs w:val="18"/>
                      <w:lang w:eastAsia="zh-CN"/>
                    </w:rPr>
                    <w:t>非甲烷总烃</w:t>
                  </w:r>
                  <w:r>
                    <w:rPr>
                      <w:rFonts w:hint="eastAsia" w:cs="Times New Roman"/>
                      <w:color w:val="auto"/>
                      <w:sz w:val="18"/>
                      <w:szCs w:val="18"/>
                      <w:highlight w:val="none"/>
                      <w:lang w:val="en-US" w:eastAsia="zh-CN"/>
                    </w:rPr>
                    <w:t>）</w:t>
                  </w:r>
                </w:p>
              </w:tc>
              <w:tc>
                <w:tcPr>
                  <w:tcW w:w="1216" w:type="dxa"/>
                  <w:vAlign w:val="center"/>
                </w:tcPr>
                <w:p w14:paraId="54DE97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
                    </w:rPr>
                    <w:t>0.009</w:t>
                  </w:r>
                </w:p>
              </w:tc>
              <w:tc>
                <w:tcPr>
                  <w:tcW w:w="843" w:type="dxa"/>
                  <w:vAlign w:val="center"/>
                </w:tcPr>
                <w:p w14:paraId="262AF3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w:t>
                  </w:r>
                </w:p>
              </w:tc>
              <w:tc>
                <w:tcPr>
                  <w:tcW w:w="566" w:type="pct"/>
                  <w:vAlign w:val="center"/>
                </w:tcPr>
                <w:p w14:paraId="59F819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w:t>
                  </w:r>
                </w:p>
              </w:tc>
              <w:tc>
                <w:tcPr>
                  <w:tcW w:w="795" w:type="pct"/>
                  <w:vAlign w:val="center"/>
                </w:tcPr>
                <w:p w14:paraId="0F4E31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bidi="ar"/>
                    </w:rPr>
                    <w:t>0.009</w:t>
                  </w:r>
                </w:p>
              </w:tc>
            </w:tr>
            <w:tr w14:paraId="5A456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326" w:type="pct"/>
                  <w:vMerge w:val="restart"/>
                  <w:vAlign w:val="center"/>
                </w:tcPr>
                <w:p w14:paraId="62A399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废水</w:t>
                  </w:r>
                </w:p>
                <w:p w14:paraId="13E8D3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p>
              </w:tc>
              <w:tc>
                <w:tcPr>
                  <w:tcW w:w="526" w:type="pct"/>
                  <w:vMerge w:val="restart"/>
                  <w:tcBorders>
                    <w:right w:val="single" w:color="000000" w:sz="4" w:space="0"/>
                  </w:tcBorders>
                  <w:vAlign w:val="center"/>
                </w:tcPr>
                <w:p w14:paraId="30002F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生活污水</w:t>
                  </w:r>
                </w:p>
              </w:tc>
              <w:tc>
                <w:tcPr>
                  <w:tcW w:w="1473" w:type="pct"/>
                  <w:tcBorders>
                    <w:left w:val="single" w:color="000000" w:sz="4" w:space="0"/>
                    <w:bottom w:val="single" w:color="auto" w:sz="4" w:space="0"/>
                  </w:tcBorders>
                  <w:vAlign w:val="center"/>
                </w:tcPr>
                <w:p w14:paraId="49EC92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18"/>
                      <w:szCs w:val="18"/>
                      <w:lang w:val="en-US" w:eastAsia="zh-CN" w:bidi="ar-SA"/>
                    </w:rPr>
                  </w:pPr>
                  <w:r>
                    <w:rPr>
                      <w:rFonts w:hint="default" w:ascii="Times New Roman" w:hAnsi="Times New Roman" w:cs="Times New Roman" w:eastAsiaTheme="minorEastAsia"/>
                      <w:color w:val="auto"/>
                      <w:sz w:val="18"/>
                      <w:szCs w:val="18"/>
                    </w:rPr>
                    <w:t>废水量（</w:t>
                  </w:r>
                  <w:r>
                    <w:rPr>
                      <w:rFonts w:hint="eastAsia" w:cs="Times New Roman" w:eastAsiaTheme="minorEastAsia"/>
                      <w:color w:val="auto"/>
                      <w:sz w:val="18"/>
                      <w:szCs w:val="18"/>
                      <w:lang w:val="en-US" w:eastAsia="zh-CN"/>
                    </w:rPr>
                    <w:t>t</w:t>
                  </w:r>
                  <w:r>
                    <w:rPr>
                      <w:rFonts w:hint="default" w:ascii="Times New Roman" w:hAnsi="Times New Roman" w:cs="Times New Roman" w:eastAsiaTheme="minorEastAsia"/>
                      <w:color w:val="auto"/>
                      <w:sz w:val="18"/>
                      <w:szCs w:val="18"/>
                    </w:rPr>
                    <w:t>/a）</w:t>
                  </w:r>
                </w:p>
              </w:tc>
              <w:tc>
                <w:tcPr>
                  <w:tcW w:w="775" w:type="pct"/>
                  <w:vAlign w:val="center"/>
                </w:tcPr>
                <w:p w14:paraId="76526A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color w:val="auto"/>
                      <w:kern w:val="0"/>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675</w:t>
                  </w:r>
                </w:p>
              </w:tc>
              <w:tc>
                <w:tcPr>
                  <w:tcW w:w="843" w:type="dxa"/>
                  <w:vAlign w:val="center"/>
                </w:tcPr>
                <w:p w14:paraId="56978E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color w:val="auto"/>
                      <w:kern w:val="0"/>
                      <w:sz w:val="18"/>
                      <w:szCs w:val="18"/>
                    </w:rPr>
                  </w:pPr>
                  <w:r>
                    <w:rPr>
                      <w:rFonts w:hint="default" w:ascii="Times New Roman" w:hAnsi="Times New Roman" w:eastAsia="宋体" w:cs="Times New Roman"/>
                      <w:i w:val="0"/>
                      <w:iCs w:val="0"/>
                      <w:color w:val="auto"/>
                      <w:kern w:val="0"/>
                      <w:sz w:val="18"/>
                      <w:szCs w:val="18"/>
                      <w:u w:val="none"/>
                      <w:lang w:val="en-US" w:eastAsia="zh-CN" w:bidi="ar"/>
                    </w:rPr>
                    <w:t>0</w:t>
                  </w:r>
                </w:p>
              </w:tc>
              <w:tc>
                <w:tcPr>
                  <w:tcW w:w="566" w:type="pct"/>
                  <w:vAlign w:val="center"/>
                </w:tcPr>
                <w:p w14:paraId="773404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color w:val="auto"/>
                      <w:kern w:val="0"/>
                      <w:sz w:val="18"/>
                      <w:szCs w:val="18"/>
                    </w:rPr>
                  </w:pPr>
                  <w:r>
                    <w:rPr>
                      <w:rFonts w:hint="eastAsia" w:ascii="Times New Roman" w:hAnsi="Times New Roman" w:eastAsia="宋体" w:cs="Times New Roman"/>
                      <w:color w:val="auto"/>
                      <w:kern w:val="2"/>
                      <w:sz w:val="18"/>
                      <w:szCs w:val="18"/>
                      <w:lang w:val="en-US" w:eastAsia="zh-CN" w:bidi="ar-SA"/>
                    </w:rPr>
                    <w:t>675</w:t>
                  </w:r>
                </w:p>
              </w:tc>
              <w:tc>
                <w:tcPr>
                  <w:tcW w:w="795" w:type="pct"/>
                  <w:vAlign w:val="center"/>
                </w:tcPr>
                <w:p w14:paraId="495B89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color w:val="auto"/>
                      <w:kern w:val="0"/>
                      <w:sz w:val="18"/>
                      <w:szCs w:val="18"/>
                      <w:lang w:val="en-US" w:eastAsia="zh-CN"/>
                    </w:rPr>
                  </w:pPr>
                  <w:r>
                    <w:rPr>
                      <w:rFonts w:hint="eastAsia" w:ascii="Times New Roman" w:hAnsi="Times New Roman" w:eastAsia="宋体" w:cs="Times New Roman"/>
                      <w:color w:val="auto"/>
                      <w:kern w:val="2"/>
                      <w:sz w:val="18"/>
                      <w:szCs w:val="18"/>
                      <w:lang w:val="en-US" w:eastAsia="zh-CN" w:bidi="ar-SA"/>
                    </w:rPr>
                    <w:t>675</w:t>
                  </w:r>
                </w:p>
              </w:tc>
            </w:tr>
            <w:tr w14:paraId="24DFB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0D8368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2BF0DE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sz w:val="18"/>
                      <w:szCs w:val="18"/>
                      <w:lang w:val="en-US" w:eastAsia="zh-CN"/>
                    </w:rPr>
                  </w:pPr>
                </w:p>
              </w:tc>
              <w:tc>
                <w:tcPr>
                  <w:tcW w:w="1473" w:type="pct"/>
                  <w:tcBorders>
                    <w:left w:val="single" w:color="000000" w:sz="4" w:space="0"/>
                    <w:bottom w:val="single" w:color="auto" w:sz="4" w:space="0"/>
                  </w:tcBorders>
                  <w:vAlign w:val="center"/>
                </w:tcPr>
                <w:p w14:paraId="3335F9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eastAsiaTheme="minorEastAsia"/>
                      <w:bCs/>
                      <w:color w:val="auto"/>
                      <w:sz w:val="18"/>
                      <w:szCs w:val="18"/>
                    </w:rPr>
                    <w:t>COD</w:t>
                  </w:r>
                </w:p>
              </w:tc>
              <w:tc>
                <w:tcPr>
                  <w:tcW w:w="1217" w:type="dxa"/>
                  <w:vAlign w:val="center"/>
                </w:tcPr>
                <w:p w14:paraId="6AEE79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0.236</w:t>
                  </w:r>
                </w:p>
              </w:tc>
              <w:tc>
                <w:tcPr>
                  <w:tcW w:w="843" w:type="dxa"/>
                  <w:vAlign w:val="center"/>
                </w:tcPr>
                <w:p w14:paraId="6E0F1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bCs/>
                      <w:color w:val="auto"/>
                      <w:kern w:val="2"/>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0.047</w:t>
                  </w:r>
                </w:p>
              </w:tc>
              <w:tc>
                <w:tcPr>
                  <w:tcW w:w="566" w:type="pct"/>
                  <w:vAlign w:val="center"/>
                </w:tcPr>
                <w:p w14:paraId="3EEA75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bCs/>
                      <w:color w:val="auto"/>
                      <w:kern w:val="2"/>
                      <w:sz w:val="18"/>
                      <w:szCs w:val="18"/>
                    </w:rPr>
                  </w:pPr>
                  <w:r>
                    <w:rPr>
                      <w:rFonts w:hint="default" w:ascii="Times New Roman" w:hAnsi="Times New Roman" w:eastAsia="宋体" w:cs="Times New Roman"/>
                      <w:color w:val="auto"/>
                      <w:kern w:val="2"/>
                      <w:sz w:val="18"/>
                      <w:szCs w:val="18"/>
                      <w:lang w:val="en-US" w:eastAsia="zh-CN" w:bidi="ar-SA"/>
                    </w:rPr>
                    <w:t>0.189</w:t>
                  </w:r>
                </w:p>
              </w:tc>
              <w:tc>
                <w:tcPr>
                  <w:tcW w:w="1248" w:type="dxa"/>
                  <w:vAlign w:val="center"/>
                </w:tcPr>
                <w:p w14:paraId="3D4617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eastAsia"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0.034</w:t>
                  </w:r>
                </w:p>
              </w:tc>
            </w:tr>
            <w:tr w14:paraId="0F5FA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27FBB3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6A824D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3568E3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eastAsiaTheme="minorEastAsia"/>
                      <w:bCs/>
                      <w:color w:val="auto"/>
                      <w:sz w:val="18"/>
                      <w:szCs w:val="18"/>
                    </w:rPr>
                    <w:t>SS</w:t>
                  </w:r>
                </w:p>
              </w:tc>
              <w:tc>
                <w:tcPr>
                  <w:tcW w:w="1217" w:type="dxa"/>
                  <w:vAlign w:val="center"/>
                </w:tcPr>
                <w:p w14:paraId="53436A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0.135</w:t>
                  </w:r>
                </w:p>
              </w:tc>
              <w:tc>
                <w:tcPr>
                  <w:tcW w:w="843" w:type="dxa"/>
                  <w:vAlign w:val="center"/>
                </w:tcPr>
                <w:p w14:paraId="35FD94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bCs/>
                      <w:color w:val="auto"/>
                      <w:kern w:val="2"/>
                      <w:sz w:val="18"/>
                      <w:szCs w:val="18"/>
                    </w:rPr>
                  </w:pPr>
                  <w:r>
                    <w:rPr>
                      <w:rFonts w:hint="default" w:ascii="Times New Roman" w:hAnsi="Times New Roman" w:eastAsia="宋体" w:cs="Times New Roman"/>
                      <w:i w:val="0"/>
                      <w:iCs w:val="0"/>
                      <w:color w:val="auto"/>
                      <w:kern w:val="0"/>
                      <w:sz w:val="18"/>
                      <w:szCs w:val="18"/>
                      <w:u w:val="none"/>
                      <w:lang w:val="en-US" w:eastAsia="zh-CN" w:bidi="ar"/>
                    </w:rPr>
                    <w:t>0</w:t>
                  </w:r>
                </w:p>
              </w:tc>
              <w:tc>
                <w:tcPr>
                  <w:tcW w:w="566" w:type="pct"/>
                  <w:vAlign w:val="center"/>
                </w:tcPr>
                <w:p w14:paraId="7D068E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bCs/>
                      <w:color w:val="auto"/>
                      <w:kern w:val="2"/>
                      <w:sz w:val="18"/>
                      <w:szCs w:val="18"/>
                    </w:rPr>
                  </w:pPr>
                  <w:r>
                    <w:rPr>
                      <w:rFonts w:hint="default" w:ascii="Times New Roman" w:hAnsi="Times New Roman" w:eastAsia="宋体" w:cs="Times New Roman"/>
                      <w:color w:val="auto"/>
                      <w:kern w:val="2"/>
                      <w:sz w:val="18"/>
                      <w:szCs w:val="18"/>
                      <w:lang w:val="en-US" w:eastAsia="zh-CN" w:bidi="ar-SA"/>
                    </w:rPr>
                    <w:t>0.135</w:t>
                  </w:r>
                </w:p>
              </w:tc>
              <w:tc>
                <w:tcPr>
                  <w:tcW w:w="1248" w:type="dxa"/>
                  <w:vAlign w:val="center"/>
                </w:tcPr>
                <w:p w14:paraId="4848B4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eastAsia"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0.007</w:t>
                  </w:r>
                </w:p>
              </w:tc>
            </w:tr>
            <w:tr w14:paraId="55560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5AF01D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42819D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7BCF11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eastAsiaTheme="minorEastAsia"/>
                      <w:bCs/>
                      <w:color w:val="auto"/>
                      <w:sz w:val="18"/>
                      <w:szCs w:val="18"/>
                      <w:lang w:val="en-US" w:eastAsia="zh-CN"/>
                    </w:rPr>
                    <w:t>氨氮</w:t>
                  </w:r>
                </w:p>
              </w:tc>
              <w:tc>
                <w:tcPr>
                  <w:tcW w:w="1217" w:type="dxa"/>
                  <w:vAlign w:val="center"/>
                </w:tcPr>
                <w:p w14:paraId="0C9CB1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0.020</w:t>
                  </w:r>
                </w:p>
              </w:tc>
              <w:tc>
                <w:tcPr>
                  <w:tcW w:w="843" w:type="dxa"/>
                  <w:vAlign w:val="center"/>
                </w:tcPr>
                <w:p w14:paraId="1101D4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bCs/>
                      <w:color w:val="auto"/>
                      <w:kern w:val="2"/>
                      <w:sz w:val="18"/>
                      <w:szCs w:val="18"/>
                    </w:rPr>
                  </w:pPr>
                  <w:r>
                    <w:rPr>
                      <w:rFonts w:hint="default" w:ascii="Times New Roman" w:hAnsi="Times New Roman" w:eastAsia="宋体" w:cs="Times New Roman"/>
                      <w:i w:val="0"/>
                      <w:iCs w:val="0"/>
                      <w:color w:val="auto"/>
                      <w:kern w:val="0"/>
                      <w:sz w:val="18"/>
                      <w:szCs w:val="18"/>
                      <w:u w:val="none"/>
                      <w:lang w:val="en-US" w:eastAsia="zh-CN" w:bidi="ar"/>
                    </w:rPr>
                    <w:t>0</w:t>
                  </w:r>
                </w:p>
              </w:tc>
              <w:tc>
                <w:tcPr>
                  <w:tcW w:w="566" w:type="pct"/>
                  <w:vAlign w:val="center"/>
                </w:tcPr>
                <w:p w14:paraId="2E6881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bCs/>
                      <w:color w:val="auto"/>
                      <w:kern w:val="2"/>
                      <w:sz w:val="18"/>
                      <w:szCs w:val="18"/>
                    </w:rPr>
                  </w:pPr>
                  <w:r>
                    <w:rPr>
                      <w:rFonts w:hint="default" w:ascii="Times New Roman" w:hAnsi="Times New Roman" w:eastAsia="宋体" w:cs="Times New Roman"/>
                      <w:color w:val="auto"/>
                      <w:kern w:val="2"/>
                      <w:sz w:val="18"/>
                      <w:szCs w:val="18"/>
                      <w:lang w:val="en-US" w:eastAsia="zh-CN" w:bidi="ar-SA"/>
                    </w:rPr>
                    <w:t>0.02</w:t>
                  </w:r>
                </w:p>
              </w:tc>
              <w:tc>
                <w:tcPr>
                  <w:tcW w:w="1248" w:type="dxa"/>
                  <w:vAlign w:val="center"/>
                </w:tcPr>
                <w:p w14:paraId="279F3D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eastAsia"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0.003</w:t>
                  </w:r>
                </w:p>
              </w:tc>
            </w:tr>
            <w:tr w14:paraId="5E417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6B15A2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1BCC66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18823D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eastAsiaTheme="minorEastAsia"/>
                      <w:bCs/>
                      <w:color w:val="auto"/>
                      <w:sz w:val="18"/>
                      <w:szCs w:val="18"/>
                      <w:lang w:val="en-US" w:eastAsia="zh-CN"/>
                    </w:rPr>
                    <w:t>总氮</w:t>
                  </w:r>
                </w:p>
              </w:tc>
              <w:tc>
                <w:tcPr>
                  <w:tcW w:w="1217" w:type="dxa"/>
                  <w:vAlign w:val="center"/>
                </w:tcPr>
                <w:p w14:paraId="7F1CD9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0.027</w:t>
                  </w:r>
                </w:p>
              </w:tc>
              <w:tc>
                <w:tcPr>
                  <w:tcW w:w="843" w:type="dxa"/>
                  <w:vAlign w:val="center"/>
                </w:tcPr>
                <w:p w14:paraId="795B72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bCs/>
                      <w:color w:val="auto"/>
                      <w:kern w:val="2"/>
                      <w:sz w:val="18"/>
                      <w:szCs w:val="18"/>
                    </w:rPr>
                  </w:pPr>
                  <w:r>
                    <w:rPr>
                      <w:rFonts w:hint="default" w:ascii="Times New Roman" w:hAnsi="Times New Roman" w:eastAsia="宋体" w:cs="Times New Roman"/>
                      <w:i w:val="0"/>
                      <w:iCs w:val="0"/>
                      <w:color w:val="auto"/>
                      <w:kern w:val="0"/>
                      <w:sz w:val="18"/>
                      <w:szCs w:val="18"/>
                      <w:u w:val="none"/>
                      <w:lang w:val="en-US" w:eastAsia="zh-CN" w:bidi="ar"/>
                    </w:rPr>
                    <w:t>0</w:t>
                  </w:r>
                </w:p>
              </w:tc>
              <w:tc>
                <w:tcPr>
                  <w:tcW w:w="566" w:type="pct"/>
                  <w:vAlign w:val="center"/>
                </w:tcPr>
                <w:p w14:paraId="0801FF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bCs/>
                      <w:color w:val="auto"/>
                      <w:kern w:val="2"/>
                      <w:sz w:val="18"/>
                      <w:szCs w:val="18"/>
                    </w:rPr>
                  </w:pPr>
                  <w:r>
                    <w:rPr>
                      <w:rFonts w:hint="default" w:ascii="Times New Roman" w:hAnsi="Times New Roman" w:eastAsia="宋体" w:cs="Times New Roman"/>
                      <w:color w:val="auto"/>
                      <w:kern w:val="2"/>
                      <w:sz w:val="18"/>
                      <w:szCs w:val="18"/>
                      <w:lang w:val="en-US" w:eastAsia="zh-CN" w:bidi="ar-SA"/>
                    </w:rPr>
                    <w:t>0.027</w:t>
                  </w:r>
                </w:p>
              </w:tc>
              <w:tc>
                <w:tcPr>
                  <w:tcW w:w="1248" w:type="dxa"/>
                  <w:vAlign w:val="center"/>
                </w:tcPr>
                <w:p w14:paraId="780B2C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eastAsia"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0.010</w:t>
                  </w:r>
                </w:p>
              </w:tc>
            </w:tr>
            <w:tr w14:paraId="445A5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5BCCAD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72E03D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52B7D8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bCs/>
                      <w:color w:val="auto"/>
                      <w:kern w:val="2"/>
                      <w:sz w:val="18"/>
                      <w:szCs w:val="18"/>
                      <w:lang w:val="en-US" w:eastAsia="zh-CN" w:bidi="ar-SA"/>
                    </w:rPr>
                  </w:pPr>
                  <w:r>
                    <w:rPr>
                      <w:rFonts w:hint="default" w:ascii="Times New Roman" w:hAnsi="Times New Roman" w:cs="Times New Roman" w:eastAsiaTheme="minorEastAsia"/>
                      <w:bCs/>
                      <w:color w:val="auto"/>
                      <w:sz w:val="18"/>
                      <w:szCs w:val="18"/>
                      <w:lang w:val="en-US" w:eastAsia="zh-CN"/>
                    </w:rPr>
                    <w:t>总磷</w:t>
                  </w:r>
                </w:p>
              </w:tc>
              <w:tc>
                <w:tcPr>
                  <w:tcW w:w="1217" w:type="dxa"/>
                  <w:vAlign w:val="center"/>
                </w:tcPr>
                <w:p w14:paraId="3FA5EA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bCs/>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0.003</w:t>
                  </w:r>
                </w:p>
              </w:tc>
              <w:tc>
                <w:tcPr>
                  <w:tcW w:w="843" w:type="dxa"/>
                  <w:vAlign w:val="center"/>
                </w:tcPr>
                <w:p w14:paraId="00518B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cs="Times New Roman" w:eastAsiaTheme="minorEastAsia"/>
                      <w:bCs/>
                      <w:color w:val="auto"/>
                      <w:kern w:val="2"/>
                      <w:sz w:val="18"/>
                      <w:szCs w:val="18"/>
                    </w:rPr>
                  </w:pPr>
                  <w:r>
                    <w:rPr>
                      <w:rFonts w:hint="default" w:ascii="Times New Roman" w:hAnsi="Times New Roman" w:eastAsia="宋体" w:cs="Times New Roman"/>
                      <w:i w:val="0"/>
                      <w:iCs w:val="0"/>
                      <w:color w:val="auto"/>
                      <w:kern w:val="0"/>
                      <w:sz w:val="18"/>
                      <w:szCs w:val="18"/>
                      <w:u w:val="none"/>
                      <w:lang w:val="en-US" w:eastAsia="zh-CN" w:bidi="ar"/>
                    </w:rPr>
                    <w:t>0</w:t>
                  </w:r>
                </w:p>
              </w:tc>
              <w:tc>
                <w:tcPr>
                  <w:tcW w:w="566" w:type="pct"/>
                  <w:vAlign w:val="center"/>
                </w:tcPr>
                <w:p w14:paraId="0C8D8C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bCs/>
                      <w:color w:val="auto"/>
                      <w:kern w:val="2"/>
                      <w:sz w:val="18"/>
                      <w:szCs w:val="18"/>
                    </w:rPr>
                  </w:pPr>
                  <w:r>
                    <w:rPr>
                      <w:rFonts w:hint="default" w:ascii="Times New Roman" w:hAnsi="Times New Roman" w:eastAsia="宋体" w:cs="Times New Roman"/>
                      <w:color w:val="auto"/>
                      <w:kern w:val="2"/>
                      <w:sz w:val="18"/>
                      <w:szCs w:val="18"/>
                      <w:lang w:val="en-US" w:eastAsia="zh-CN" w:bidi="ar-SA"/>
                    </w:rPr>
                    <w:t>0.003</w:t>
                  </w:r>
                </w:p>
              </w:tc>
              <w:tc>
                <w:tcPr>
                  <w:tcW w:w="1248" w:type="dxa"/>
                  <w:vAlign w:val="center"/>
                </w:tcPr>
                <w:p w14:paraId="6BFFF6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eastAsia"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0.0003</w:t>
                  </w:r>
                </w:p>
              </w:tc>
            </w:tr>
            <w:tr w14:paraId="14210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6" w:type="pct"/>
                  <w:vMerge w:val="continue"/>
                  <w:vAlign w:val="center"/>
                </w:tcPr>
                <w:p w14:paraId="3EDC2B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p>
              </w:tc>
              <w:tc>
                <w:tcPr>
                  <w:tcW w:w="526" w:type="pct"/>
                  <w:vMerge w:val="restart"/>
                  <w:tcBorders>
                    <w:right w:val="single" w:color="000000" w:sz="4" w:space="0"/>
                  </w:tcBorders>
                  <w:vAlign w:val="center"/>
                </w:tcPr>
                <w:p w14:paraId="77A022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生产废水</w:t>
                  </w:r>
                  <w:r>
                    <w:rPr>
                      <w:rFonts w:hint="eastAsia" w:cs="Times New Roman" w:eastAsiaTheme="minorEastAsia"/>
                      <w:color w:val="auto"/>
                      <w:sz w:val="18"/>
                      <w:szCs w:val="18"/>
                      <w:lang w:val="en-US" w:eastAsia="zh-CN"/>
                    </w:rPr>
                    <w:t>（医疗废水）</w:t>
                  </w:r>
                </w:p>
              </w:tc>
              <w:tc>
                <w:tcPr>
                  <w:tcW w:w="1473" w:type="pct"/>
                  <w:tcBorders>
                    <w:left w:val="single" w:color="000000" w:sz="4" w:space="0"/>
                    <w:bottom w:val="single" w:color="auto" w:sz="4" w:space="0"/>
                  </w:tcBorders>
                  <w:vAlign w:val="center"/>
                </w:tcPr>
                <w:p w14:paraId="645425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cs="Times New Roman" w:eastAsiaTheme="minorEastAsia"/>
                      <w:color w:val="auto"/>
                      <w:sz w:val="18"/>
                      <w:szCs w:val="18"/>
                    </w:rPr>
                    <w:t>废水量（</w:t>
                  </w:r>
                  <w:r>
                    <w:rPr>
                      <w:rFonts w:hint="eastAsia" w:cs="Times New Roman" w:eastAsiaTheme="minorEastAsia"/>
                      <w:color w:val="auto"/>
                      <w:sz w:val="18"/>
                      <w:szCs w:val="18"/>
                      <w:lang w:val="en-US" w:eastAsia="zh-CN"/>
                    </w:rPr>
                    <w:t>t</w:t>
                  </w:r>
                  <w:r>
                    <w:rPr>
                      <w:rFonts w:hint="default" w:ascii="Times New Roman" w:hAnsi="Times New Roman" w:cs="Times New Roman" w:eastAsiaTheme="minorEastAsia"/>
                      <w:color w:val="auto"/>
                      <w:sz w:val="18"/>
                      <w:szCs w:val="18"/>
                    </w:rPr>
                    <w:t>/a）</w:t>
                  </w:r>
                </w:p>
              </w:tc>
              <w:tc>
                <w:tcPr>
                  <w:tcW w:w="775" w:type="pct"/>
                  <w:vAlign w:val="center"/>
                </w:tcPr>
                <w:p w14:paraId="714A33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auto"/>
                      <w:sz w:val="18"/>
                      <w:szCs w:val="18"/>
                      <w:lang w:val="en-US" w:eastAsia="zh-CN"/>
                    </w:rPr>
                  </w:pPr>
                  <w:r>
                    <w:rPr>
                      <w:rFonts w:hint="eastAsia" w:cs="Times New Roman" w:eastAsiaTheme="minorEastAsia"/>
                      <w:bCs/>
                      <w:color w:val="auto"/>
                      <w:sz w:val="18"/>
                      <w:szCs w:val="18"/>
                      <w:lang w:val="en-US" w:eastAsia="zh-CN"/>
                    </w:rPr>
                    <w:t>708.3</w:t>
                  </w:r>
                </w:p>
              </w:tc>
              <w:tc>
                <w:tcPr>
                  <w:tcW w:w="843" w:type="dxa"/>
                  <w:vAlign w:val="center"/>
                </w:tcPr>
                <w:p w14:paraId="3CC35B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w:t>
                  </w:r>
                </w:p>
              </w:tc>
              <w:tc>
                <w:tcPr>
                  <w:tcW w:w="566" w:type="pct"/>
                  <w:vAlign w:val="center"/>
                </w:tcPr>
                <w:p w14:paraId="559C3C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cs="Times New Roman" w:eastAsiaTheme="minorEastAsia"/>
                      <w:bCs/>
                      <w:color w:val="auto"/>
                      <w:sz w:val="18"/>
                      <w:szCs w:val="18"/>
                      <w:lang w:val="en-US" w:eastAsia="zh-CN"/>
                    </w:rPr>
                    <w:t>708.3</w:t>
                  </w:r>
                </w:p>
              </w:tc>
              <w:tc>
                <w:tcPr>
                  <w:tcW w:w="795" w:type="pct"/>
                  <w:vAlign w:val="center"/>
                </w:tcPr>
                <w:p w14:paraId="39720A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708.3</w:t>
                  </w:r>
                </w:p>
              </w:tc>
            </w:tr>
            <w:tr w14:paraId="4A0C5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20" w:hRule="atLeast"/>
                <w:jc w:val="center"/>
              </w:trPr>
              <w:tc>
                <w:tcPr>
                  <w:tcW w:w="326" w:type="pct"/>
                  <w:vMerge w:val="continue"/>
                  <w:vAlign w:val="center"/>
                </w:tcPr>
                <w:p w14:paraId="162650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13DABC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77183B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cs="Times New Roman" w:eastAsiaTheme="minorEastAsia"/>
                      <w:color w:val="auto"/>
                      <w:sz w:val="18"/>
                      <w:szCs w:val="18"/>
                      <w:lang w:val="en-US" w:eastAsia="zh-CN"/>
                    </w:rPr>
                    <w:t>pH</w:t>
                  </w:r>
                </w:p>
              </w:tc>
              <w:tc>
                <w:tcPr>
                  <w:tcW w:w="1217" w:type="dxa"/>
                  <w:vAlign w:val="center"/>
                </w:tcPr>
                <w:p w14:paraId="4E8E31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w:t>
                  </w:r>
                </w:p>
              </w:tc>
              <w:tc>
                <w:tcPr>
                  <w:tcW w:w="843" w:type="dxa"/>
                  <w:vAlign w:val="center"/>
                </w:tcPr>
                <w:p w14:paraId="4E6A83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566" w:type="pct"/>
                  <w:vAlign w:val="center"/>
                </w:tcPr>
                <w:p w14:paraId="2A0E3D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w:t>
                  </w:r>
                </w:p>
              </w:tc>
              <w:tc>
                <w:tcPr>
                  <w:tcW w:w="1248" w:type="dxa"/>
                  <w:vAlign w:val="center"/>
                </w:tcPr>
                <w:p w14:paraId="3BE67E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w:t>
                  </w:r>
                </w:p>
              </w:tc>
            </w:tr>
            <w:tr w14:paraId="01617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326513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7CDCF1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3B1332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cs="Times New Roman" w:eastAsiaTheme="minorEastAsia"/>
                      <w:color w:val="auto"/>
                      <w:sz w:val="18"/>
                      <w:szCs w:val="18"/>
                      <w:lang w:val="en-US" w:eastAsia="zh-CN"/>
                    </w:rPr>
                    <w:t>COD</w:t>
                  </w:r>
                </w:p>
              </w:tc>
              <w:tc>
                <w:tcPr>
                  <w:tcW w:w="1217" w:type="dxa"/>
                  <w:vAlign w:val="center"/>
                </w:tcPr>
                <w:p w14:paraId="710868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0.190</w:t>
                  </w:r>
                </w:p>
              </w:tc>
              <w:tc>
                <w:tcPr>
                  <w:tcW w:w="843" w:type="dxa"/>
                  <w:vAlign w:val="center"/>
                </w:tcPr>
                <w:p w14:paraId="534427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0.142</w:t>
                  </w:r>
                </w:p>
              </w:tc>
              <w:tc>
                <w:tcPr>
                  <w:tcW w:w="889" w:type="dxa"/>
                  <w:vAlign w:val="center"/>
                </w:tcPr>
                <w:p w14:paraId="581FEA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0.04</w:t>
                  </w:r>
                  <w:r>
                    <w:rPr>
                      <w:rFonts w:hint="eastAsia" w:cs="Times New Roman" w:eastAsiaTheme="minorEastAsia"/>
                      <w:bCs/>
                      <w:color w:val="auto"/>
                      <w:sz w:val="18"/>
                      <w:szCs w:val="18"/>
                      <w:lang w:val="en-US" w:eastAsia="zh-CN"/>
                    </w:rPr>
                    <w:t>8</w:t>
                  </w:r>
                </w:p>
              </w:tc>
              <w:tc>
                <w:tcPr>
                  <w:tcW w:w="1248" w:type="dxa"/>
                  <w:vAlign w:val="center"/>
                </w:tcPr>
                <w:p w14:paraId="748693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0.021</w:t>
                  </w:r>
                </w:p>
              </w:tc>
            </w:tr>
            <w:tr w14:paraId="12908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119FB9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1CBFD4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49B0BD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cs="Times New Roman" w:eastAsiaTheme="minorEastAsia"/>
                      <w:color w:val="auto"/>
                      <w:sz w:val="18"/>
                      <w:szCs w:val="18"/>
                      <w:lang w:val="en-US" w:eastAsia="zh-CN"/>
                    </w:rPr>
                    <w:t>BOD</w:t>
                  </w:r>
                  <w:r>
                    <w:rPr>
                      <w:rFonts w:hint="default" w:ascii="Times New Roman" w:hAnsi="Times New Roman" w:cs="Times New Roman" w:eastAsiaTheme="minorEastAsia"/>
                      <w:color w:val="auto"/>
                      <w:sz w:val="18"/>
                      <w:szCs w:val="18"/>
                      <w:vertAlign w:val="subscript"/>
                      <w:lang w:val="en-US" w:eastAsia="zh-CN"/>
                    </w:rPr>
                    <w:t>5</w:t>
                  </w:r>
                </w:p>
              </w:tc>
              <w:tc>
                <w:tcPr>
                  <w:tcW w:w="1217" w:type="dxa"/>
                  <w:vAlign w:val="center"/>
                </w:tcPr>
                <w:p w14:paraId="35781A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0.105</w:t>
                  </w:r>
                </w:p>
              </w:tc>
              <w:tc>
                <w:tcPr>
                  <w:tcW w:w="843" w:type="dxa"/>
                  <w:vAlign w:val="center"/>
                </w:tcPr>
                <w:p w14:paraId="182FA7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0.079</w:t>
                  </w:r>
                </w:p>
              </w:tc>
              <w:tc>
                <w:tcPr>
                  <w:tcW w:w="889" w:type="dxa"/>
                  <w:vAlign w:val="center"/>
                </w:tcPr>
                <w:p w14:paraId="3E9E93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0.026</w:t>
                  </w:r>
                </w:p>
              </w:tc>
              <w:tc>
                <w:tcPr>
                  <w:tcW w:w="1248" w:type="dxa"/>
                  <w:vAlign w:val="center"/>
                </w:tcPr>
                <w:p w14:paraId="75E9BC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0.004</w:t>
                  </w:r>
                </w:p>
              </w:tc>
            </w:tr>
            <w:tr w14:paraId="7F9B2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48AC77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779E73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5D19F6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cs="Times New Roman" w:eastAsiaTheme="minorEastAsia"/>
                      <w:color w:val="auto"/>
                      <w:sz w:val="18"/>
                      <w:szCs w:val="18"/>
                      <w:lang w:val="en-US" w:eastAsia="zh-CN"/>
                    </w:rPr>
                    <w:t>SS</w:t>
                  </w:r>
                </w:p>
              </w:tc>
              <w:tc>
                <w:tcPr>
                  <w:tcW w:w="1217" w:type="dxa"/>
                  <w:vAlign w:val="center"/>
                </w:tcPr>
                <w:p w14:paraId="6FA3D5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0.081</w:t>
                  </w:r>
                </w:p>
              </w:tc>
              <w:tc>
                <w:tcPr>
                  <w:tcW w:w="843" w:type="dxa"/>
                  <w:vAlign w:val="center"/>
                </w:tcPr>
                <w:p w14:paraId="532483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0.06</w:t>
                  </w:r>
                </w:p>
              </w:tc>
              <w:tc>
                <w:tcPr>
                  <w:tcW w:w="889" w:type="dxa"/>
                  <w:vAlign w:val="center"/>
                </w:tcPr>
                <w:p w14:paraId="54DEFB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w:t>
                  </w:r>
                  <w:r>
                    <w:rPr>
                      <w:rFonts w:hint="eastAsia" w:cs="Times New Roman" w:eastAsiaTheme="minorEastAsia"/>
                      <w:bCs/>
                      <w:color w:val="auto"/>
                      <w:sz w:val="18"/>
                      <w:szCs w:val="18"/>
                      <w:lang w:val="en-US" w:eastAsia="zh-CN"/>
                    </w:rPr>
                    <w:t>21</w:t>
                  </w:r>
                </w:p>
              </w:tc>
              <w:tc>
                <w:tcPr>
                  <w:tcW w:w="1248" w:type="dxa"/>
                  <w:vAlign w:val="center"/>
                </w:tcPr>
                <w:p w14:paraId="0ACE0A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0.006</w:t>
                  </w:r>
                </w:p>
              </w:tc>
            </w:tr>
            <w:tr w14:paraId="053B6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2DB784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22088F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7EF020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color w:val="auto"/>
                      <w:sz w:val="18"/>
                      <w:szCs w:val="18"/>
                      <w:lang w:val="en-US" w:eastAsia="zh-CN"/>
                    </w:rPr>
                    <w:t>氨氮</w:t>
                  </w:r>
                </w:p>
              </w:tc>
              <w:tc>
                <w:tcPr>
                  <w:tcW w:w="1217" w:type="dxa"/>
                  <w:vAlign w:val="center"/>
                </w:tcPr>
                <w:p w14:paraId="2D2499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0.014</w:t>
                  </w:r>
                </w:p>
              </w:tc>
              <w:tc>
                <w:tcPr>
                  <w:tcW w:w="843" w:type="dxa"/>
                  <w:vAlign w:val="center"/>
                </w:tcPr>
                <w:p w14:paraId="61108F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0.007</w:t>
                  </w:r>
                </w:p>
              </w:tc>
              <w:tc>
                <w:tcPr>
                  <w:tcW w:w="566" w:type="pct"/>
                  <w:vAlign w:val="center"/>
                </w:tcPr>
                <w:p w14:paraId="0B65CE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0.007</w:t>
                  </w:r>
                </w:p>
              </w:tc>
              <w:tc>
                <w:tcPr>
                  <w:tcW w:w="1248" w:type="dxa"/>
                  <w:vAlign w:val="center"/>
                </w:tcPr>
                <w:p w14:paraId="6B5E7C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0.002</w:t>
                  </w:r>
                </w:p>
              </w:tc>
            </w:tr>
            <w:tr w14:paraId="6A7C0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6" w:type="pct"/>
                  <w:vMerge w:val="continue"/>
                  <w:vAlign w:val="center"/>
                </w:tcPr>
                <w:p w14:paraId="4D6C33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5B1F88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3ADCA5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color w:val="auto"/>
                      <w:sz w:val="18"/>
                      <w:szCs w:val="18"/>
                      <w:lang w:val="en-US" w:eastAsia="zh-CN"/>
                    </w:rPr>
                    <w:t>总氮</w:t>
                  </w:r>
                </w:p>
              </w:tc>
              <w:tc>
                <w:tcPr>
                  <w:tcW w:w="1217" w:type="dxa"/>
                  <w:vAlign w:val="center"/>
                </w:tcPr>
                <w:p w14:paraId="5E2F53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0.021</w:t>
                  </w:r>
                </w:p>
              </w:tc>
              <w:tc>
                <w:tcPr>
                  <w:tcW w:w="843" w:type="dxa"/>
                  <w:vAlign w:val="center"/>
                </w:tcPr>
                <w:p w14:paraId="2116DD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0.006</w:t>
                  </w:r>
                </w:p>
              </w:tc>
              <w:tc>
                <w:tcPr>
                  <w:tcW w:w="566" w:type="pct"/>
                  <w:vAlign w:val="center"/>
                </w:tcPr>
                <w:p w14:paraId="184961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0.015</w:t>
                  </w:r>
                </w:p>
              </w:tc>
              <w:tc>
                <w:tcPr>
                  <w:tcW w:w="1248" w:type="dxa"/>
                  <w:vAlign w:val="center"/>
                </w:tcPr>
                <w:p w14:paraId="22FE3C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0.005</w:t>
                  </w:r>
                </w:p>
              </w:tc>
            </w:tr>
            <w:tr w14:paraId="394A2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7F6525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07CEBE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7086C4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color w:val="auto"/>
                      <w:sz w:val="18"/>
                      <w:szCs w:val="18"/>
                      <w:lang w:val="en-US" w:eastAsia="zh-CN"/>
                    </w:rPr>
                    <w:t>总磷</w:t>
                  </w:r>
                </w:p>
              </w:tc>
              <w:tc>
                <w:tcPr>
                  <w:tcW w:w="1217" w:type="dxa"/>
                  <w:vAlign w:val="center"/>
                </w:tcPr>
                <w:p w14:paraId="2520B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0.002</w:t>
                  </w:r>
                </w:p>
              </w:tc>
              <w:tc>
                <w:tcPr>
                  <w:tcW w:w="843" w:type="dxa"/>
                  <w:vAlign w:val="center"/>
                </w:tcPr>
                <w:p w14:paraId="7202D3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w:t>
                  </w:r>
                </w:p>
              </w:tc>
              <w:tc>
                <w:tcPr>
                  <w:tcW w:w="566" w:type="pct"/>
                  <w:vAlign w:val="center"/>
                </w:tcPr>
                <w:p w14:paraId="101A04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0.002</w:t>
                  </w:r>
                </w:p>
              </w:tc>
              <w:tc>
                <w:tcPr>
                  <w:tcW w:w="1248" w:type="dxa"/>
                  <w:vAlign w:val="center"/>
                </w:tcPr>
                <w:p w14:paraId="5023EB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0.0002</w:t>
                  </w:r>
                </w:p>
              </w:tc>
            </w:tr>
            <w:tr w14:paraId="7F1F8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228A2B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4F45F9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0C19A4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bCs/>
                      <w:color w:val="auto"/>
                      <w:sz w:val="18"/>
                      <w:szCs w:val="18"/>
                      <w:lang w:val="en-US" w:eastAsia="zh-CN"/>
                    </w:rPr>
                  </w:pPr>
                  <w:r>
                    <w:rPr>
                      <w:rFonts w:hint="default" w:ascii="Times New Roman" w:hAnsi="Times New Roman" w:cs="Times New Roman" w:eastAsiaTheme="minorEastAsia"/>
                      <w:color w:val="auto"/>
                      <w:sz w:val="18"/>
                      <w:szCs w:val="18"/>
                      <w:lang w:val="en-US" w:eastAsia="zh-CN"/>
                    </w:rPr>
                    <w:t>LAS</w:t>
                  </w:r>
                </w:p>
              </w:tc>
              <w:tc>
                <w:tcPr>
                  <w:tcW w:w="1217" w:type="dxa"/>
                  <w:vAlign w:val="center"/>
                </w:tcPr>
                <w:p w14:paraId="2F7C97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0.004</w:t>
                  </w:r>
                </w:p>
              </w:tc>
              <w:tc>
                <w:tcPr>
                  <w:tcW w:w="843" w:type="dxa"/>
                  <w:vAlign w:val="center"/>
                </w:tcPr>
                <w:p w14:paraId="43A121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0.002</w:t>
                  </w:r>
                </w:p>
              </w:tc>
              <w:tc>
                <w:tcPr>
                  <w:tcW w:w="566" w:type="pct"/>
                  <w:vAlign w:val="center"/>
                </w:tcPr>
                <w:p w14:paraId="0FF143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0.002</w:t>
                  </w:r>
                </w:p>
              </w:tc>
              <w:tc>
                <w:tcPr>
                  <w:tcW w:w="1248" w:type="dxa"/>
                  <w:vAlign w:val="center"/>
                </w:tcPr>
                <w:p w14:paraId="0FFB99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0.0002</w:t>
                  </w:r>
                </w:p>
              </w:tc>
            </w:tr>
            <w:tr w14:paraId="727E5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2662B7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tcBorders>
                    <w:right w:val="single" w:color="000000" w:sz="4" w:space="0"/>
                  </w:tcBorders>
                  <w:vAlign w:val="center"/>
                </w:tcPr>
                <w:p w14:paraId="0C8951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473" w:type="pct"/>
                  <w:tcBorders>
                    <w:left w:val="single" w:color="000000" w:sz="4" w:space="0"/>
                    <w:bottom w:val="single" w:color="auto" w:sz="4" w:space="0"/>
                  </w:tcBorders>
                  <w:vAlign w:val="center"/>
                </w:tcPr>
                <w:p w14:paraId="72FAB6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color w:val="auto"/>
                      <w:sz w:val="18"/>
                      <w:szCs w:val="18"/>
                      <w:lang w:val="en-US" w:eastAsia="zh-CN"/>
                    </w:rPr>
                    <w:t>粪大肠菌群</w:t>
                  </w:r>
                </w:p>
              </w:tc>
              <w:tc>
                <w:tcPr>
                  <w:tcW w:w="1217" w:type="dxa"/>
                  <w:vAlign w:val="center"/>
                </w:tcPr>
                <w:p w14:paraId="379DB6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w:t>
                  </w:r>
                </w:p>
              </w:tc>
              <w:tc>
                <w:tcPr>
                  <w:tcW w:w="843" w:type="dxa"/>
                  <w:vAlign w:val="center"/>
                </w:tcPr>
                <w:p w14:paraId="613FBF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566" w:type="pct"/>
                  <w:vAlign w:val="center"/>
                </w:tcPr>
                <w:p w14:paraId="442A12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w:t>
                  </w:r>
                </w:p>
              </w:tc>
              <w:tc>
                <w:tcPr>
                  <w:tcW w:w="1248" w:type="dxa"/>
                  <w:vAlign w:val="center"/>
                </w:tcPr>
                <w:p w14:paraId="7B14A7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w:t>
                  </w:r>
                </w:p>
              </w:tc>
            </w:tr>
            <w:tr w14:paraId="348B9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75C733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restart"/>
                  <w:tcBorders>
                    <w:top w:val="single" w:color="auto" w:sz="4" w:space="0"/>
                  </w:tcBorders>
                  <w:vAlign w:val="center"/>
                </w:tcPr>
                <w:p w14:paraId="4AECFA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综合废水</w:t>
                  </w:r>
                </w:p>
              </w:tc>
              <w:tc>
                <w:tcPr>
                  <w:tcW w:w="1473" w:type="pct"/>
                  <w:vAlign w:val="center"/>
                </w:tcPr>
                <w:p w14:paraId="591BF4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废水量（</w:t>
                  </w:r>
                  <w:r>
                    <w:rPr>
                      <w:rFonts w:hint="eastAsia" w:cs="Times New Roman" w:eastAsiaTheme="minorEastAsia"/>
                      <w:color w:val="auto"/>
                      <w:sz w:val="18"/>
                      <w:szCs w:val="18"/>
                      <w:lang w:val="en-US" w:eastAsia="zh-CN"/>
                    </w:rPr>
                    <w:t>t</w:t>
                  </w:r>
                  <w:r>
                    <w:rPr>
                      <w:rFonts w:hint="default" w:ascii="Times New Roman" w:hAnsi="Times New Roman" w:cs="Times New Roman" w:eastAsiaTheme="minorEastAsia"/>
                      <w:color w:val="auto"/>
                      <w:sz w:val="18"/>
                      <w:szCs w:val="18"/>
                    </w:rPr>
                    <w:t>/a）</w:t>
                  </w:r>
                </w:p>
              </w:tc>
              <w:tc>
                <w:tcPr>
                  <w:tcW w:w="775" w:type="pct"/>
                  <w:vAlign w:val="center"/>
                </w:tcPr>
                <w:p w14:paraId="5AC7D7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eastAsia" w:cs="Times New Roman"/>
                      <w:color w:val="auto"/>
                      <w:kern w:val="2"/>
                      <w:sz w:val="18"/>
                      <w:szCs w:val="18"/>
                      <w:lang w:val="en-US" w:eastAsia="zh-CN" w:bidi="ar-SA"/>
                    </w:rPr>
                    <w:t>1383.3</w:t>
                  </w:r>
                </w:p>
              </w:tc>
              <w:tc>
                <w:tcPr>
                  <w:tcW w:w="843" w:type="dxa"/>
                  <w:vAlign w:val="center"/>
                </w:tcPr>
                <w:p w14:paraId="5FF18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p>
              </w:tc>
              <w:tc>
                <w:tcPr>
                  <w:tcW w:w="566" w:type="pct"/>
                  <w:vAlign w:val="center"/>
                </w:tcPr>
                <w:p w14:paraId="1E6AC3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center"/>
                    <w:rPr>
                      <w:rFonts w:hint="default" w:ascii="Times New Roman" w:hAnsi="Times New Roman" w:cs="Times New Roman" w:eastAsiaTheme="minorEastAsia"/>
                      <w:color w:val="auto"/>
                      <w:kern w:val="0"/>
                      <w:sz w:val="18"/>
                      <w:szCs w:val="18"/>
                      <w:lang w:val="en-US"/>
                    </w:rPr>
                  </w:pPr>
                  <w:r>
                    <w:rPr>
                      <w:rFonts w:hint="eastAsia" w:cs="Times New Roman"/>
                      <w:color w:val="auto"/>
                      <w:kern w:val="2"/>
                      <w:sz w:val="18"/>
                      <w:szCs w:val="18"/>
                      <w:lang w:val="en-US" w:eastAsia="zh-CN" w:bidi="ar-SA"/>
                    </w:rPr>
                    <w:t>1383.3</w:t>
                  </w:r>
                </w:p>
              </w:tc>
              <w:tc>
                <w:tcPr>
                  <w:tcW w:w="795" w:type="pct"/>
                  <w:vAlign w:val="center"/>
                </w:tcPr>
                <w:p w14:paraId="1608F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1383.3</w:t>
                  </w:r>
                </w:p>
              </w:tc>
            </w:tr>
            <w:tr w14:paraId="12B92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6" w:type="pct"/>
                  <w:vMerge w:val="continue"/>
                  <w:vAlign w:val="center"/>
                </w:tcPr>
                <w:p w14:paraId="58CC14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vAlign w:val="center"/>
                </w:tcPr>
                <w:p w14:paraId="0A222F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p>
              </w:tc>
              <w:tc>
                <w:tcPr>
                  <w:tcW w:w="2313" w:type="dxa"/>
                  <w:vAlign w:val="center"/>
                </w:tcPr>
                <w:p w14:paraId="7A6604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sz w:val="18"/>
                      <w:szCs w:val="18"/>
                      <w:lang w:val="en-US" w:eastAsia="zh-CN"/>
                    </w:rPr>
                    <w:t>pH</w:t>
                  </w:r>
                </w:p>
              </w:tc>
              <w:tc>
                <w:tcPr>
                  <w:tcW w:w="1217" w:type="dxa"/>
                  <w:vAlign w:val="center"/>
                </w:tcPr>
                <w:p w14:paraId="795709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843" w:type="dxa"/>
                  <w:vAlign w:val="center"/>
                </w:tcPr>
                <w:p w14:paraId="3F5FCF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889" w:type="dxa"/>
                  <w:vAlign w:val="center"/>
                </w:tcPr>
                <w:p w14:paraId="02FD81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color w:val="auto"/>
                      <w:kern w:val="2"/>
                      <w:sz w:val="18"/>
                      <w:szCs w:val="18"/>
                      <w:lang w:val="en-US" w:eastAsia="zh-CN" w:bidi="ar-SA"/>
                    </w:rPr>
                    <w:t>/</w:t>
                  </w:r>
                </w:p>
              </w:tc>
              <w:tc>
                <w:tcPr>
                  <w:tcW w:w="1248" w:type="dxa"/>
                  <w:vAlign w:val="center"/>
                </w:tcPr>
                <w:p w14:paraId="70C96E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w:t>
                  </w:r>
                </w:p>
              </w:tc>
            </w:tr>
            <w:tr w14:paraId="0B221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5" w:hRule="atLeast"/>
                <w:jc w:val="center"/>
              </w:trPr>
              <w:tc>
                <w:tcPr>
                  <w:tcW w:w="326" w:type="pct"/>
                  <w:vMerge w:val="continue"/>
                  <w:vAlign w:val="center"/>
                </w:tcPr>
                <w:p w14:paraId="7C606A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vAlign w:val="center"/>
                </w:tcPr>
                <w:p w14:paraId="25F4EE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p>
              </w:tc>
              <w:tc>
                <w:tcPr>
                  <w:tcW w:w="2313" w:type="dxa"/>
                  <w:vAlign w:val="center"/>
                </w:tcPr>
                <w:p w14:paraId="4E0C17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sz w:val="18"/>
                      <w:szCs w:val="18"/>
                      <w:lang w:val="en-US" w:eastAsia="zh-CN"/>
                    </w:rPr>
                    <w:t>COD</w:t>
                  </w:r>
                </w:p>
              </w:tc>
              <w:tc>
                <w:tcPr>
                  <w:tcW w:w="1217" w:type="dxa"/>
                  <w:vAlign w:val="center"/>
                </w:tcPr>
                <w:p w14:paraId="117A5C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0.426</w:t>
                  </w:r>
                </w:p>
              </w:tc>
              <w:tc>
                <w:tcPr>
                  <w:tcW w:w="843" w:type="dxa"/>
                  <w:vAlign w:val="center"/>
                </w:tcPr>
                <w:p w14:paraId="39CCE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0.19</w:t>
                  </w:r>
                </w:p>
              </w:tc>
              <w:tc>
                <w:tcPr>
                  <w:tcW w:w="889" w:type="dxa"/>
                  <w:vAlign w:val="center"/>
                </w:tcPr>
                <w:p w14:paraId="6130DD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color w:val="auto"/>
                      <w:kern w:val="2"/>
                      <w:sz w:val="18"/>
                      <w:szCs w:val="18"/>
                      <w:lang w:val="en-US" w:eastAsia="zh-CN" w:bidi="ar-SA"/>
                    </w:rPr>
                    <w:t>0.23</w:t>
                  </w:r>
                  <w:r>
                    <w:rPr>
                      <w:rFonts w:hint="eastAsia" w:ascii="Times New Roman" w:hAnsi="Times New Roman" w:eastAsia="宋体" w:cs="Times New Roman"/>
                      <w:color w:val="auto"/>
                      <w:kern w:val="2"/>
                      <w:sz w:val="18"/>
                      <w:szCs w:val="18"/>
                      <w:lang w:val="en-US" w:eastAsia="zh-CN" w:bidi="ar-SA"/>
                    </w:rPr>
                    <w:t>7</w:t>
                  </w:r>
                </w:p>
              </w:tc>
              <w:tc>
                <w:tcPr>
                  <w:tcW w:w="1248" w:type="dxa"/>
                  <w:vAlign w:val="center"/>
                </w:tcPr>
                <w:p w14:paraId="2D995F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0.055</w:t>
                  </w:r>
                </w:p>
              </w:tc>
            </w:tr>
            <w:tr w14:paraId="162A1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57FB1E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vAlign w:val="center"/>
                </w:tcPr>
                <w:p w14:paraId="6B4A09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p>
              </w:tc>
              <w:tc>
                <w:tcPr>
                  <w:tcW w:w="2313" w:type="dxa"/>
                  <w:vAlign w:val="center"/>
                </w:tcPr>
                <w:p w14:paraId="3A37BD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eastAsiaTheme="minorEastAsia"/>
                      <w:color w:val="auto"/>
                      <w:sz w:val="18"/>
                      <w:szCs w:val="18"/>
                      <w:lang w:val="en-US" w:eastAsia="zh-CN"/>
                    </w:rPr>
                    <w:t>BOD</w:t>
                  </w:r>
                  <w:r>
                    <w:rPr>
                      <w:rFonts w:hint="default" w:ascii="Times New Roman" w:hAnsi="Times New Roman" w:cs="Times New Roman" w:eastAsiaTheme="minorEastAsia"/>
                      <w:color w:val="auto"/>
                      <w:sz w:val="18"/>
                      <w:szCs w:val="18"/>
                      <w:vertAlign w:val="subscript"/>
                      <w:lang w:val="en-US" w:eastAsia="zh-CN"/>
                    </w:rPr>
                    <w:t>5</w:t>
                  </w:r>
                </w:p>
              </w:tc>
              <w:tc>
                <w:tcPr>
                  <w:tcW w:w="1217" w:type="dxa"/>
                  <w:vAlign w:val="center"/>
                </w:tcPr>
                <w:p w14:paraId="35AE75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0.105</w:t>
                  </w:r>
                </w:p>
              </w:tc>
              <w:tc>
                <w:tcPr>
                  <w:tcW w:w="843" w:type="dxa"/>
                  <w:vAlign w:val="center"/>
                </w:tcPr>
                <w:p w14:paraId="5C2725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0.079</w:t>
                  </w:r>
                </w:p>
              </w:tc>
              <w:tc>
                <w:tcPr>
                  <w:tcW w:w="889" w:type="dxa"/>
                  <w:vAlign w:val="center"/>
                </w:tcPr>
                <w:p w14:paraId="0690DE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color w:val="auto"/>
                      <w:kern w:val="2"/>
                      <w:sz w:val="18"/>
                      <w:szCs w:val="18"/>
                      <w:lang w:val="en-US" w:eastAsia="zh-CN" w:bidi="ar-SA"/>
                    </w:rPr>
                    <w:t>0.026</w:t>
                  </w:r>
                </w:p>
              </w:tc>
              <w:tc>
                <w:tcPr>
                  <w:tcW w:w="1248" w:type="dxa"/>
                  <w:vAlign w:val="center"/>
                </w:tcPr>
                <w:p w14:paraId="51CBF8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0.004</w:t>
                  </w:r>
                </w:p>
              </w:tc>
            </w:tr>
            <w:tr w14:paraId="12A63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25A2EF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vAlign w:val="center"/>
                </w:tcPr>
                <w:p w14:paraId="547096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p>
              </w:tc>
              <w:tc>
                <w:tcPr>
                  <w:tcW w:w="2313" w:type="dxa"/>
                  <w:vAlign w:val="center"/>
                </w:tcPr>
                <w:p w14:paraId="6AD2E5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sz w:val="18"/>
                      <w:szCs w:val="18"/>
                      <w:lang w:val="en-US" w:eastAsia="zh-CN"/>
                    </w:rPr>
                    <w:t>SS</w:t>
                  </w:r>
                </w:p>
              </w:tc>
              <w:tc>
                <w:tcPr>
                  <w:tcW w:w="1217" w:type="dxa"/>
                  <w:vAlign w:val="center"/>
                </w:tcPr>
                <w:p w14:paraId="5EA50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0.216</w:t>
                  </w:r>
                </w:p>
              </w:tc>
              <w:tc>
                <w:tcPr>
                  <w:tcW w:w="843" w:type="dxa"/>
                  <w:vAlign w:val="center"/>
                </w:tcPr>
                <w:p w14:paraId="20C012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0.061</w:t>
                  </w:r>
                </w:p>
              </w:tc>
              <w:tc>
                <w:tcPr>
                  <w:tcW w:w="889" w:type="dxa"/>
                  <w:vAlign w:val="center"/>
                </w:tcPr>
                <w:p w14:paraId="7DB53C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color w:val="auto"/>
                      <w:kern w:val="2"/>
                      <w:sz w:val="18"/>
                      <w:szCs w:val="18"/>
                      <w:lang w:val="en-US" w:eastAsia="zh-CN" w:bidi="ar-SA"/>
                    </w:rPr>
                    <w:t>0.15</w:t>
                  </w:r>
                  <w:r>
                    <w:rPr>
                      <w:rFonts w:hint="eastAsia" w:ascii="Times New Roman" w:hAnsi="Times New Roman" w:eastAsia="宋体" w:cs="Times New Roman"/>
                      <w:color w:val="auto"/>
                      <w:kern w:val="2"/>
                      <w:sz w:val="18"/>
                      <w:szCs w:val="18"/>
                      <w:lang w:val="en-US" w:eastAsia="zh-CN" w:bidi="ar-SA"/>
                    </w:rPr>
                    <w:t>6</w:t>
                  </w:r>
                </w:p>
              </w:tc>
              <w:tc>
                <w:tcPr>
                  <w:tcW w:w="1248" w:type="dxa"/>
                  <w:vAlign w:val="center"/>
                </w:tcPr>
                <w:p w14:paraId="3C8EC2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0.013</w:t>
                  </w:r>
                </w:p>
              </w:tc>
            </w:tr>
            <w:tr w14:paraId="0CC6C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453ABB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vAlign w:val="center"/>
                </w:tcPr>
                <w:p w14:paraId="0E5FB6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p>
              </w:tc>
              <w:tc>
                <w:tcPr>
                  <w:tcW w:w="2313" w:type="dxa"/>
                  <w:vAlign w:val="center"/>
                </w:tcPr>
                <w:p w14:paraId="206238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18"/>
                      <w:szCs w:val="18"/>
                    </w:rPr>
                  </w:pPr>
                  <w:r>
                    <w:rPr>
                      <w:rFonts w:hint="eastAsia" w:ascii="Times New Roman" w:hAnsi="Times New Roman" w:cs="Times New Roman" w:eastAsiaTheme="minorEastAsia"/>
                      <w:color w:val="auto"/>
                      <w:sz w:val="18"/>
                      <w:szCs w:val="18"/>
                      <w:lang w:val="en-US" w:eastAsia="zh-CN"/>
                    </w:rPr>
                    <w:t>氨氮</w:t>
                  </w:r>
                </w:p>
              </w:tc>
              <w:tc>
                <w:tcPr>
                  <w:tcW w:w="1217" w:type="dxa"/>
                  <w:vAlign w:val="center"/>
                </w:tcPr>
                <w:p w14:paraId="0AEE69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0.034</w:t>
                  </w:r>
                </w:p>
              </w:tc>
              <w:tc>
                <w:tcPr>
                  <w:tcW w:w="843" w:type="dxa"/>
                  <w:vAlign w:val="center"/>
                </w:tcPr>
                <w:p w14:paraId="7DAD9A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0.007</w:t>
                  </w:r>
                </w:p>
              </w:tc>
              <w:tc>
                <w:tcPr>
                  <w:tcW w:w="889" w:type="dxa"/>
                  <w:vAlign w:val="center"/>
                </w:tcPr>
                <w:p w14:paraId="7E6325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color w:val="auto"/>
                      <w:kern w:val="2"/>
                      <w:sz w:val="18"/>
                      <w:szCs w:val="18"/>
                      <w:lang w:val="en-US" w:eastAsia="zh-CN" w:bidi="ar-SA"/>
                    </w:rPr>
                    <w:t>0.027</w:t>
                  </w:r>
                </w:p>
              </w:tc>
              <w:tc>
                <w:tcPr>
                  <w:tcW w:w="1248" w:type="dxa"/>
                  <w:vAlign w:val="center"/>
                </w:tcPr>
                <w:p w14:paraId="4857EC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0.005</w:t>
                  </w:r>
                </w:p>
              </w:tc>
            </w:tr>
            <w:tr w14:paraId="39594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0" w:hRule="atLeast"/>
                <w:jc w:val="center"/>
              </w:trPr>
              <w:tc>
                <w:tcPr>
                  <w:tcW w:w="326" w:type="pct"/>
                  <w:vMerge w:val="continue"/>
                  <w:vAlign w:val="center"/>
                </w:tcPr>
                <w:p w14:paraId="1DBC78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vAlign w:val="center"/>
                </w:tcPr>
                <w:p w14:paraId="14A3FD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p>
              </w:tc>
              <w:tc>
                <w:tcPr>
                  <w:tcW w:w="2313" w:type="dxa"/>
                  <w:vAlign w:val="center"/>
                </w:tcPr>
                <w:p w14:paraId="58C2E1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18"/>
                      <w:szCs w:val="18"/>
                    </w:rPr>
                  </w:pPr>
                  <w:r>
                    <w:rPr>
                      <w:rFonts w:hint="eastAsia" w:ascii="Times New Roman" w:hAnsi="Times New Roman" w:cs="Times New Roman" w:eastAsiaTheme="minorEastAsia"/>
                      <w:color w:val="auto"/>
                      <w:sz w:val="18"/>
                      <w:szCs w:val="18"/>
                      <w:lang w:val="en-US" w:eastAsia="zh-CN"/>
                    </w:rPr>
                    <w:t>总氮</w:t>
                  </w:r>
                </w:p>
              </w:tc>
              <w:tc>
                <w:tcPr>
                  <w:tcW w:w="1217" w:type="dxa"/>
                  <w:vAlign w:val="center"/>
                </w:tcPr>
                <w:p w14:paraId="45324B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0.048</w:t>
                  </w:r>
                </w:p>
              </w:tc>
              <w:tc>
                <w:tcPr>
                  <w:tcW w:w="843" w:type="dxa"/>
                  <w:vAlign w:val="center"/>
                </w:tcPr>
                <w:p w14:paraId="0CC31C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0.006</w:t>
                  </w:r>
                </w:p>
              </w:tc>
              <w:tc>
                <w:tcPr>
                  <w:tcW w:w="889" w:type="dxa"/>
                  <w:vAlign w:val="center"/>
                </w:tcPr>
                <w:p w14:paraId="0C8900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color w:val="auto"/>
                      <w:kern w:val="2"/>
                      <w:sz w:val="18"/>
                      <w:szCs w:val="18"/>
                      <w:lang w:val="en-US" w:eastAsia="zh-CN" w:bidi="ar-SA"/>
                    </w:rPr>
                    <w:t>0.042</w:t>
                  </w:r>
                </w:p>
              </w:tc>
              <w:tc>
                <w:tcPr>
                  <w:tcW w:w="1248" w:type="dxa"/>
                  <w:vAlign w:val="center"/>
                </w:tcPr>
                <w:p w14:paraId="5D1F3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0.015</w:t>
                  </w:r>
                </w:p>
              </w:tc>
            </w:tr>
            <w:tr w14:paraId="3740C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64FE04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vAlign w:val="center"/>
                </w:tcPr>
                <w:p w14:paraId="352873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p>
              </w:tc>
              <w:tc>
                <w:tcPr>
                  <w:tcW w:w="2313" w:type="dxa"/>
                  <w:vAlign w:val="center"/>
                </w:tcPr>
                <w:p w14:paraId="33E445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cs="Times New Roman" w:eastAsiaTheme="minorEastAsia"/>
                      <w:color w:val="auto"/>
                      <w:sz w:val="18"/>
                      <w:szCs w:val="18"/>
                      <w:lang w:val="en-US" w:eastAsia="zh-CN"/>
                    </w:rPr>
                    <w:t>总磷</w:t>
                  </w:r>
                </w:p>
              </w:tc>
              <w:tc>
                <w:tcPr>
                  <w:tcW w:w="1217" w:type="dxa"/>
                  <w:vAlign w:val="center"/>
                </w:tcPr>
                <w:p w14:paraId="111C01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w:t>
                  </w:r>
                  <w:r>
                    <w:rPr>
                      <w:rFonts w:hint="eastAsia" w:ascii="Times New Roman" w:hAnsi="Times New Roman" w:eastAsia="宋体" w:cs="Times New Roman"/>
                      <w:i w:val="0"/>
                      <w:iCs w:val="0"/>
                      <w:color w:val="auto"/>
                      <w:kern w:val="0"/>
                      <w:sz w:val="18"/>
                      <w:szCs w:val="18"/>
                      <w:u w:val="none"/>
                      <w:lang w:val="en-US" w:eastAsia="zh-CN" w:bidi="ar"/>
                    </w:rPr>
                    <w:t>5</w:t>
                  </w:r>
                </w:p>
              </w:tc>
              <w:tc>
                <w:tcPr>
                  <w:tcW w:w="843" w:type="dxa"/>
                  <w:vAlign w:val="center"/>
                </w:tcPr>
                <w:p w14:paraId="00970F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0.001</w:t>
                  </w:r>
                </w:p>
              </w:tc>
              <w:tc>
                <w:tcPr>
                  <w:tcW w:w="889" w:type="dxa"/>
                  <w:vAlign w:val="center"/>
                </w:tcPr>
                <w:p w14:paraId="503107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color w:val="auto"/>
                      <w:kern w:val="2"/>
                      <w:sz w:val="18"/>
                      <w:szCs w:val="18"/>
                      <w:lang w:val="en-US" w:eastAsia="zh-CN" w:bidi="ar-SA"/>
                    </w:rPr>
                    <w:t>0.00</w:t>
                  </w:r>
                  <w:r>
                    <w:rPr>
                      <w:rFonts w:hint="eastAsia" w:ascii="Times New Roman" w:hAnsi="Times New Roman" w:eastAsia="宋体" w:cs="Times New Roman"/>
                      <w:color w:val="auto"/>
                      <w:kern w:val="2"/>
                      <w:sz w:val="18"/>
                      <w:szCs w:val="18"/>
                      <w:lang w:val="en-US" w:eastAsia="zh-CN" w:bidi="ar-SA"/>
                    </w:rPr>
                    <w:t>5</w:t>
                  </w:r>
                </w:p>
              </w:tc>
              <w:tc>
                <w:tcPr>
                  <w:tcW w:w="1248" w:type="dxa"/>
                  <w:vAlign w:val="center"/>
                </w:tcPr>
                <w:p w14:paraId="008DC5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0.0005</w:t>
                  </w:r>
                </w:p>
              </w:tc>
            </w:tr>
            <w:tr w14:paraId="3447C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31588C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vAlign w:val="center"/>
                </w:tcPr>
                <w:p w14:paraId="7D63EF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p>
              </w:tc>
              <w:tc>
                <w:tcPr>
                  <w:tcW w:w="2313" w:type="dxa"/>
                  <w:vAlign w:val="center"/>
                </w:tcPr>
                <w:p w14:paraId="246CE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eastAsiaTheme="minorEastAsia"/>
                      <w:color w:val="auto"/>
                      <w:sz w:val="18"/>
                      <w:szCs w:val="18"/>
                      <w:lang w:val="en-US" w:eastAsia="zh-CN"/>
                    </w:rPr>
                    <w:t>LAS</w:t>
                  </w:r>
                </w:p>
              </w:tc>
              <w:tc>
                <w:tcPr>
                  <w:tcW w:w="1217" w:type="dxa"/>
                  <w:vAlign w:val="center"/>
                </w:tcPr>
                <w:p w14:paraId="2AB39C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0.004</w:t>
                  </w:r>
                </w:p>
              </w:tc>
              <w:tc>
                <w:tcPr>
                  <w:tcW w:w="843" w:type="dxa"/>
                  <w:vAlign w:val="center"/>
                </w:tcPr>
                <w:p w14:paraId="62B2F8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0.002</w:t>
                  </w:r>
                </w:p>
              </w:tc>
              <w:tc>
                <w:tcPr>
                  <w:tcW w:w="889" w:type="dxa"/>
                  <w:vAlign w:val="center"/>
                </w:tcPr>
                <w:p w14:paraId="5260AF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color w:val="auto"/>
                      <w:kern w:val="2"/>
                      <w:sz w:val="18"/>
                      <w:szCs w:val="18"/>
                      <w:lang w:val="en-US" w:eastAsia="zh-CN" w:bidi="ar-SA"/>
                    </w:rPr>
                    <w:t>0.002</w:t>
                  </w:r>
                </w:p>
              </w:tc>
              <w:tc>
                <w:tcPr>
                  <w:tcW w:w="1248" w:type="dxa"/>
                  <w:vAlign w:val="center"/>
                </w:tcPr>
                <w:p w14:paraId="16C8BD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0.0002</w:t>
                  </w:r>
                </w:p>
              </w:tc>
            </w:tr>
            <w:tr w14:paraId="541BD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6C9C07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526" w:type="pct"/>
                  <w:vMerge w:val="continue"/>
                  <w:vAlign w:val="center"/>
                </w:tcPr>
                <w:p w14:paraId="76600D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p>
              </w:tc>
              <w:tc>
                <w:tcPr>
                  <w:tcW w:w="2313" w:type="dxa"/>
                  <w:vAlign w:val="center"/>
                </w:tcPr>
                <w:p w14:paraId="0E2DA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cs="Times New Roman" w:eastAsiaTheme="minorEastAsia"/>
                      <w:color w:val="auto"/>
                      <w:sz w:val="18"/>
                      <w:szCs w:val="18"/>
                      <w:lang w:val="en-US" w:eastAsia="zh-CN"/>
                    </w:rPr>
                    <w:t>粪大肠菌群</w:t>
                  </w:r>
                </w:p>
              </w:tc>
              <w:tc>
                <w:tcPr>
                  <w:tcW w:w="1217" w:type="dxa"/>
                  <w:vAlign w:val="center"/>
                </w:tcPr>
                <w:p w14:paraId="2FB103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843" w:type="dxa"/>
                  <w:vAlign w:val="center"/>
                </w:tcPr>
                <w:p w14:paraId="7633D7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w:t>
                  </w:r>
                </w:p>
              </w:tc>
              <w:tc>
                <w:tcPr>
                  <w:tcW w:w="889" w:type="dxa"/>
                  <w:vAlign w:val="center"/>
                </w:tcPr>
                <w:p w14:paraId="71081F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eastAsia="宋体" w:cs="Times New Roman"/>
                      <w:color w:val="auto"/>
                      <w:kern w:val="2"/>
                      <w:sz w:val="18"/>
                      <w:szCs w:val="18"/>
                      <w:lang w:val="en-US" w:eastAsia="zh-CN" w:bidi="ar-SA"/>
                    </w:rPr>
                    <w:t>/</w:t>
                  </w:r>
                </w:p>
              </w:tc>
              <w:tc>
                <w:tcPr>
                  <w:tcW w:w="1248" w:type="dxa"/>
                  <w:vAlign w:val="center"/>
                </w:tcPr>
                <w:p w14:paraId="108869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cs="Times New Roman" w:eastAsiaTheme="minorEastAsia"/>
                      <w:bCs/>
                      <w:color w:val="auto"/>
                      <w:sz w:val="18"/>
                      <w:szCs w:val="18"/>
                      <w:lang w:val="en-US" w:eastAsia="zh-CN"/>
                    </w:rPr>
                  </w:pPr>
                  <w:r>
                    <w:rPr>
                      <w:rFonts w:hint="eastAsia" w:ascii="Times New Roman" w:hAnsi="Times New Roman" w:cs="Times New Roman" w:eastAsiaTheme="minorEastAsia"/>
                      <w:bCs/>
                      <w:color w:val="auto"/>
                      <w:sz w:val="18"/>
                      <w:szCs w:val="18"/>
                      <w:lang w:val="en-US" w:eastAsia="zh-CN"/>
                    </w:rPr>
                    <w:t>/</w:t>
                  </w:r>
                </w:p>
              </w:tc>
            </w:tr>
            <w:tr w14:paraId="63DC11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restart"/>
                  <w:vAlign w:val="center"/>
                </w:tcPr>
                <w:p w14:paraId="0848B1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固废</w:t>
                  </w:r>
                </w:p>
              </w:tc>
              <w:tc>
                <w:tcPr>
                  <w:tcW w:w="1999" w:type="pct"/>
                  <w:gridSpan w:val="2"/>
                  <w:vAlign w:val="center"/>
                </w:tcPr>
                <w:p w14:paraId="690255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危险废物</w:t>
                  </w:r>
                </w:p>
              </w:tc>
              <w:tc>
                <w:tcPr>
                  <w:tcW w:w="775" w:type="pct"/>
                  <w:vAlign w:val="center"/>
                </w:tcPr>
                <w:p w14:paraId="49E1FF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3.172</w:t>
                  </w:r>
                </w:p>
              </w:tc>
              <w:tc>
                <w:tcPr>
                  <w:tcW w:w="537" w:type="pct"/>
                  <w:vAlign w:val="center"/>
                </w:tcPr>
                <w:p w14:paraId="29B879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3.172</w:t>
                  </w:r>
                </w:p>
              </w:tc>
              <w:tc>
                <w:tcPr>
                  <w:tcW w:w="566" w:type="pct"/>
                  <w:vAlign w:val="center"/>
                </w:tcPr>
                <w:p w14:paraId="5B1F6D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kern w:val="0"/>
                      <w:sz w:val="18"/>
                      <w:szCs w:val="18"/>
                      <w:lang w:val="en-US" w:eastAsia="zh-CN"/>
                    </w:rPr>
                  </w:pPr>
                  <w:r>
                    <w:rPr>
                      <w:rFonts w:hint="eastAsia" w:cs="Times New Roman" w:eastAsiaTheme="minorEastAsia"/>
                      <w:color w:val="auto"/>
                      <w:kern w:val="0"/>
                      <w:sz w:val="18"/>
                      <w:szCs w:val="18"/>
                      <w:lang w:val="en-US" w:eastAsia="zh-CN"/>
                    </w:rPr>
                    <w:t>0</w:t>
                  </w:r>
                </w:p>
              </w:tc>
              <w:tc>
                <w:tcPr>
                  <w:tcW w:w="795" w:type="pct"/>
                  <w:vAlign w:val="center"/>
                </w:tcPr>
                <w:p w14:paraId="18DDAD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cs="Times New Roman" w:eastAsiaTheme="minorEastAsia"/>
                      <w:color w:val="auto"/>
                      <w:kern w:val="0"/>
                      <w:sz w:val="18"/>
                      <w:szCs w:val="18"/>
                      <w:lang w:val="en-US" w:eastAsia="zh-CN"/>
                    </w:rPr>
                  </w:pPr>
                  <w:r>
                    <w:rPr>
                      <w:rFonts w:hint="eastAsia" w:cs="Times New Roman" w:eastAsiaTheme="minorEastAsia"/>
                      <w:color w:val="auto"/>
                      <w:kern w:val="0"/>
                      <w:sz w:val="18"/>
                      <w:szCs w:val="18"/>
                      <w:lang w:val="en-US" w:eastAsia="zh-CN"/>
                    </w:rPr>
                    <w:t>0</w:t>
                  </w:r>
                </w:p>
              </w:tc>
            </w:tr>
            <w:tr w14:paraId="4ADE4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636173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999" w:type="pct"/>
                  <w:gridSpan w:val="2"/>
                  <w:vAlign w:val="center"/>
                </w:tcPr>
                <w:p w14:paraId="612375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一般工业固废</w:t>
                  </w:r>
                </w:p>
              </w:tc>
              <w:tc>
                <w:tcPr>
                  <w:tcW w:w="775" w:type="pct"/>
                  <w:vAlign w:val="center"/>
                </w:tcPr>
                <w:p w14:paraId="03D788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0.05</w:t>
                  </w:r>
                </w:p>
              </w:tc>
              <w:tc>
                <w:tcPr>
                  <w:tcW w:w="537" w:type="pct"/>
                  <w:vAlign w:val="center"/>
                </w:tcPr>
                <w:p w14:paraId="59E5E7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0.05</w:t>
                  </w:r>
                </w:p>
              </w:tc>
              <w:tc>
                <w:tcPr>
                  <w:tcW w:w="566" w:type="pct"/>
                  <w:vAlign w:val="center"/>
                </w:tcPr>
                <w:p w14:paraId="626C10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eastAsia" w:cs="Times New Roman" w:eastAsiaTheme="minorEastAsia"/>
                      <w:color w:val="auto"/>
                      <w:kern w:val="0"/>
                      <w:sz w:val="18"/>
                      <w:szCs w:val="18"/>
                      <w:lang w:val="en-US" w:eastAsia="zh-CN"/>
                    </w:rPr>
                    <w:t>0</w:t>
                  </w:r>
                </w:p>
              </w:tc>
              <w:tc>
                <w:tcPr>
                  <w:tcW w:w="795" w:type="pct"/>
                  <w:vAlign w:val="center"/>
                </w:tcPr>
                <w:p w14:paraId="71B4B9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eastAsia" w:cs="Times New Roman" w:eastAsiaTheme="minorEastAsia"/>
                      <w:color w:val="auto"/>
                      <w:kern w:val="0"/>
                      <w:sz w:val="18"/>
                      <w:szCs w:val="18"/>
                      <w:lang w:val="en-US" w:eastAsia="zh-CN"/>
                    </w:rPr>
                    <w:t>0</w:t>
                  </w:r>
                </w:p>
              </w:tc>
            </w:tr>
            <w:tr w14:paraId="7628B4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326" w:type="pct"/>
                  <w:vMerge w:val="continue"/>
                  <w:vAlign w:val="center"/>
                </w:tcPr>
                <w:p w14:paraId="45EFCF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c>
                <w:tcPr>
                  <w:tcW w:w="1999" w:type="pct"/>
                  <w:gridSpan w:val="2"/>
                  <w:vAlign w:val="center"/>
                </w:tcPr>
                <w:p w14:paraId="0C5EB5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生活垃圾</w:t>
                  </w:r>
                </w:p>
              </w:tc>
              <w:tc>
                <w:tcPr>
                  <w:tcW w:w="775" w:type="pct"/>
                  <w:vAlign w:val="center"/>
                </w:tcPr>
                <w:p w14:paraId="18A337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12</w:t>
                  </w:r>
                </w:p>
              </w:tc>
              <w:tc>
                <w:tcPr>
                  <w:tcW w:w="537" w:type="pct"/>
                  <w:vAlign w:val="center"/>
                </w:tcPr>
                <w:p w14:paraId="50DE6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12</w:t>
                  </w:r>
                </w:p>
              </w:tc>
              <w:tc>
                <w:tcPr>
                  <w:tcW w:w="566" w:type="pct"/>
                  <w:vAlign w:val="center"/>
                </w:tcPr>
                <w:p w14:paraId="01C095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eastAsia" w:cs="Times New Roman" w:eastAsiaTheme="minorEastAsia"/>
                      <w:color w:val="auto"/>
                      <w:kern w:val="0"/>
                      <w:sz w:val="18"/>
                      <w:szCs w:val="18"/>
                      <w:lang w:val="en-US" w:eastAsia="zh-CN"/>
                    </w:rPr>
                    <w:t>0</w:t>
                  </w:r>
                </w:p>
              </w:tc>
              <w:tc>
                <w:tcPr>
                  <w:tcW w:w="795" w:type="pct"/>
                  <w:vAlign w:val="center"/>
                </w:tcPr>
                <w:p w14:paraId="10F278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18"/>
                      <w:szCs w:val="18"/>
                    </w:rPr>
                  </w:pPr>
                  <w:r>
                    <w:rPr>
                      <w:rFonts w:hint="eastAsia" w:cs="Times New Roman" w:eastAsiaTheme="minorEastAsia"/>
                      <w:color w:val="auto"/>
                      <w:kern w:val="0"/>
                      <w:sz w:val="18"/>
                      <w:szCs w:val="18"/>
                      <w:lang w:val="en-US" w:eastAsia="zh-CN"/>
                    </w:rPr>
                    <w:t>0</w:t>
                  </w:r>
                </w:p>
              </w:tc>
            </w:tr>
          </w:tbl>
          <w:p w14:paraId="51DEE60A">
            <w:pPr>
              <w:pStyle w:val="2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0"/>
              <w:rPr>
                <w:rFonts w:hint="default" w:ascii="Times New Roman" w:hAnsi="Times New Roman" w:eastAsia="宋体" w:cstheme="minorBidi"/>
                <w:b/>
                <w:bCs/>
                <w:color w:val="auto"/>
                <w:kern w:val="2"/>
                <w:sz w:val="24"/>
                <w:szCs w:val="24"/>
                <w:lang w:val="en-US" w:eastAsia="zh-CN" w:bidi="ar-SA"/>
              </w:rPr>
            </w:pPr>
            <w:r>
              <w:rPr>
                <w:rFonts w:hint="default" w:ascii="Times New Roman" w:hAnsi="Times New Roman" w:eastAsia="宋体" w:cstheme="minorBidi"/>
                <w:b/>
                <w:bCs/>
                <w:color w:val="auto"/>
                <w:kern w:val="2"/>
                <w:sz w:val="24"/>
                <w:szCs w:val="24"/>
                <w:lang w:val="en-US" w:eastAsia="zh-CN" w:bidi="ar-SA"/>
              </w:rPr>
              <w:t>表3</w:t>
            </w:r>
            <w:r>
              <w:rPr>
                <w:rFonts w:hint="eastAsia" w:ascii="Times New Roman" w:hAnsi="Times New Roman" w:eastAsia="宋体" w:cstheme="minorBidi"/>
                <w:b/>
                <w:bCs/>
                <w:color w:val="auto"/>
                <w:kern w:val="2"/>
                <w:sz w:val="24"/>
                <w:szCs w:val="24"/>
                <w:lang w:val="en-US" w:eastAsia="zh-CN" w:bidi="ar-SA"/>
              </w:rPr>
              <w:t>.</w:t>
            </w:r>
            <w:r>
              <w:rPr>
                <w:rFonts w:hint="eastAsia" w:ascii="Times New Roman" w:hAnsi="Times New Roman" w:cstheme="minorBidi"/>
                <w:b/>
                <w:bCs/>
                <w:color w:val="auto"/>
                <w:kern w:val="2"/>
                <w:sz w:val="24"/>
                <w:szCs w:val="24"/>
                <w:lang w:val="en-US" w:eastAsia="zh-CN" w:bidi="ar-SA"/>
              </w:rPr>
              <w:t>3-10</w:t>
            </w:r>
            <w:r>
              <w:rPr>
                <w:rFonts w:hint="eastAsia" w:ascii="Times New Roman" w:hAnsi="Times New Roman" w:eastAsia="宋体" w:cstheme="minorBidi"/>
                <w:b/>
                <w:bCs/>
                <w:color w:val="auto"/>
                <w:kern w:val="2"/>
                <w:sz w:val="24"/>
                <w:szCs w:val="24"/>
                <w:lang w:val="en-US" w:eastAsia="zh-CN" w:bidi="ar-SA"/>
              </w:rPr>
              <w:t>全院</w:t>
            </w:r>
            <w:r>
              <w:rPr>
                <w:rFonts w:hint="default" w:ascii="Times New Roman" w:hAnsi="Times New Roman" w:eastAsia="宋体" w:cstheme="minorBidi"/>
                <w:b/>
                <w:bCs/>
                <w:color w:val="auto"/>
                <w:kern w:val="2"/>
                <w:sz w:val="24"/>
                <w:szCs w:val="24"/>
                <w:lang w:val="en-US" w:eastAsia="zh-CN" w:bidi="ar-SA"/>
              </w:rPr>
              <w:t>项目</w:t>
            </w:r>
            <w:r>
              <w:rPr>
                <w:rFonts w:hint="eastAsia" w:ascii="Times New Roman" w:hAnsi="Times New Roman" w:eastAsia="宋体" w:cstheme="minorBidi"/>
                <w:b/>
                <w:bCs/>
                <w:color w:val="auto"/>
                <w:kern w:val="2"/>
                <w:sz w:val="24"/>
                <w:szCs w:val="24"/>
                <w:lang w:val="en-US" w:eastAsia="zh-CN" w:bidi="ar-SA"/>
              </w:rPr>
              <w:t>“</w:t>
            </w:r>
            <w:r>
              <w:rPr>
                <w:rFonts w:hint="default" w:ascii="Times New Roman" w:hAnsi="Times New Roman" w:eastAsia="宋体" w:cstheme="minorBidi"/>
                <w:b/>
                <w:bCs/>
                <w:color w:val="auto"/>
                <w:kern w:val="2"/>
                <w:sz w:val="24"/>
                <w:szCs w:val="24"/>
                <w:lang w:val="en-US" w:eastAsia="zh-CN" w:bidi="ar-SA"/>
              </w:rPr>
              <w:t>三本账</w:t>
            </w:r>
            <w:r>
              <w:rPr>
                <w:rFonts w:hint="eastAsia" w:ascii="Times New Roman" w:hAnsi="Times New Roman" w:eastAsia="宋体" w:cstheme="minorBidi"/>
                <w:b/>
                <w:bCs/>
                <w:color w:val="auto"/>
                <w:kern w:val="2"/>
                <w:sz w:val="24"/>
                <w:szCs w:val="24"/>
                <w:lang w:val="en-US" w:eastAsia="zh-CN" w:bidi="ar-SA"/>
              </w:rPr>
              <w:t>”</w:t>
            </w:r>
            <w:r>
              <w:rPr>
                <w:rFonts w:hint="default" w:ascii="Times New Roman" w:hAnsi="Times New Roman" w:eastAsia="宋体" w:cstheme="minorBidi"/>
                <w:b/>
                <w:bCs/>
                <w:color w:val="auto"/>
                <w:kern w:val="2"/>
                <w:sz w:val="24"/>
                <w:szCs w:val="24"/>
                <w:lang w:val="en-US" w:eastAsia="zh-CN" w:bidi="ar-SA"/>
              </w:rPr>
              <w:t>核算</w:t>
            </w:r>
            <w:r>
              <w:rPr>
                <w:rFonts w:hint="eastAsia" w:ascii="Times New Roman" w:hAnsi="Times New Roman" w:eastAsia="宋体" w:cstheme="minorBidi"/>
                <w:b/>
                <w:bCs/>
                <w:color w:val="auto"/>
                <w:kern w:val="2"/>
                <w:sz w:val="24"/>
                <w:szCs w:val="24"/>
                <w:lang w:val="en-US" w:eastAsia="zh-CN" w:bidi="ar-SA"/>
              </w:rPr>
              <w:t xml:space="preserve">    t/a</w:t>
            </w:r>
          </w:p>
          <w:tbl>
            <w:tblPr>
              <w:tblStyle w:val="2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74"/>
              <w:gridCol w:w="540"/>
              <w:gridCol w:w="798"/>
              <w:gridCol w:w="1001"/>
              <w:gridCol w:w="1227"/>
              <w:gridCol w:w="1227"/>
              <w:gridCol w:w="1340"/>
              <w:gridCol w:w="1341"/>
            </w:tblGrid>
            <w:tr w14:paraId="4FC17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238" w:type="pct"/>
                  <w:tcBorders>
                    <w:tl2br w:val="nil"/>
                    <w:tr2bl w:val="nil"/>
                  </w:tcBorders>
                  <w:shd w:val="clear" w:color="auto" w:fill="auto"/>
                  <w:vAlign w:val="center"/>
                </w:tcPr>
                <w:p w14:paraId="05CE84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污染源</w:t>
                  </w:r>
                </w:p>
              </w:tc>
              <w:tc>
                <w:tcPr>
                  <w:tcW w:w="852" w:type="pct"/>
                  <w:gridSpan w:val="2"/>
                  <w:tcBorders>
                    <w:tl2br w:val="nil"/>
                    <w:tr2bl w:val="nil"/>
                  </w:tcBorders>
                  <w:shd w:val="clear" w:color="auto" w:fill="auto"/>
                  <w:vAlign w:val="center"/>
                </w:tcPr>
                <w:p w14:paraId="4FCBC1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污染物</w:t>
                  </w:r>
                </w:p>
              </w:tc>
              <w:tc>
                <w:tcPr>
                  <w:tcW w:w="637" w:type="pct"/>
                  <w:tcBorders>
                    <w:tl2br w:val="nil"/>
                    <w:tr2bl w:val="nil"/>
                  </w:tcBorders>
                  <w:shd w:val="clear" w:color="auto" w:fill="auto"/>
                  <w:vAlign w:val="center"/>
                </w:tcPr>
                <w:p w14:paraId="4707B2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lang w:val="en-US" w:eastAsia="zh-CN"/>
                    </w:rPr>
                    <w:t>现有项目</w:t>
                  </w:r>
                  <w:r>
                    <w:rPr>
                      <w:rFonts w:hint="eastAsia" w:ascii="Times New Roman" w:hAnsi="Times New Roman" w:eastAsia="宋体" w:cs="Times New Roman"/>
                      <w:b/>
                      <w:bCs/>
                      <w:color w:val="auto"/>
                      <w:kern w:val="0"/>
                      <w:sz w:val="18"/>
                      <w:szCs w:val="18"/>
                      <w:highlight w:val="none"/>
                      <w:lang w:eastAsia="zh-CN"/>
                    </w:rPr>
                    <w:t>全院</w:t>
                  </w:r>
                  <w:r>
                    <w:rPr>
                      <w:rFonts w:hint="default" w:ascii="Times New Roman" w:hAnsi="Times New Roman" w:eastAsia="宋体" w:cs="Times New Roman"/>
                      <w:b/>
                      <w:bCs/>
                      <w:color w:val="auto"/>
                      <w:kern w:val="0"/>
                      <w:sz w:val="18"/>
                      <w:szCs w:val="18"/>
                      <w:highlight w:val="none"/>
                      <w:lang w:val="en-US" w:eastAsia="zh-CN"/>
                    </w:rPr>
                    <w:t>总</w:t>
                  </w:r>
                  <w:r>
                    <w:rPr>
                      <w:rFonts w:hint="default" w:ascii="Times New Roman" w:hAnsi="Times New Roman" w:eastAsia="宋体" w:cs="Times New Roman"/>
                      <w:b/>
                      <w:bCs/>
                      <w:color w:val="auto"/>
                      <w:kern w:val="0"/>
                      <w:sz w:val="18"/>
                      <w:szCs w:val="18"/>
                      <w:highlight w:val="none"/>
                    </w:rPr>
                    <w:t>量</w:t>
                  </w:r>
                </w:p>
              </w:tc>
              <w:tc>
                <w:tcPr>
                  <w:tcW w:w="781" w:type="pct"/>
                  <w:tcBorders>
                    <w:tl2br w:val="nil"/>
                    <w:tr2bl w:val="nil"/>
                  </w:tcBorders>
                  <w:shd w:val="clear" w:color="auto" w:fill="auto"/>
                  <w:vAlign w:val="center"/>
                </w:tcPr>
                <w:p w14:paraId="6CE756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本项目排放总量</w:t>
                  </w:r>
                </w:p>
              </w:tc>
              <w:tc>
                <w:tcPr>
                  <w:tcW w:w="781" w:type="pct"/>
                  <w:tcBorders>
                    <w:tl2br w:val="nil"/>
                    <w:tr2bl w:val="nil"/>
                  </w:tcBorders>
                  <w:shd w:val="clear" w:color="auto" w:fill="auto"/>
                  <w:vAlign w:val="center"/>
                </w:tcPr>
                <w:p w14:paraId="29D8B7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18"/>
                      <w:szCs w:val="18"/>
                      <w:highlight w:val="none"/>
                    </w:rPr>
                  </w:pPr>
                  <w:r>
                    <w:rPr>
                      <w:rFonts w:hint="eastAsia"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lang w:val="en-US" w:eastAsia="zh-CN"/>
                    </w:rPr>
                    <w:t>以新带老</w:t>
                  </w:r>
                  <w:r>
                    <w:rPr>
                      <w:rFonts w:hint="eastAsia"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rPr>
                    <w:t>削减量</w:t>
                  </w:r>
                </w:p>
              </w:tc>
              <w:tc>
                <w:tcPr>
                  <w:tcW w:w="853" w:type="pct"/>
                  <w:tcBorders>
                    <w:tl2br w:val="nil"/>
                    <w:tr2bl w:val="nil"/>
                  </w:tcBorders>
                  <w:shd w:val="clear" w:color="auto" w:fill="auto"/>
                  <w:vAlign w:val="center"/>
                </w:tcPr>
                <w:p w14:paraId="4D7E64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本</w:t>
                  </w:r>
                  <w:r>
                    <w:rPr>
                      <w:rFonts w:hint="default" w:ascii="Times New Roman" w:hAnsi="Times New Roman" w:eastAsia="宋体" w:cs="Times New Roman"/>
                      <w:b/>
                      <w:bCs/>
                      <w:color w:val="auto"/>
                      <w:kern w:val="0"/>
                      <w:sz w:val="18"/>
                      <w:szCs w:val="18"/>
                      <w:highlight w:val="none"/>
                      <w:lang w:val="en-US" w:eastAsia="zh-CN"/>
                    </w:rPr>
                    <w:t>项目建成后</w:t>
                  </w:r>
                  <w:r>
                    <w:rPr>
                      <w:rFonts w:hint="eastAsia" w:ascii="Times New Roman" w:hAnsi="Times New Roman" w:eastAsia="宋体" w:cs="Times New Roman"/>
                      <w:b/>
                      <w:bCs/>
                      <w:color w:val="auto"/>
                      <w:kern w:val="0"/>
                      <w:sz w:val="18"/>
                      <w:szCs w:val="18"/>
                      <w:highlight w:val="none"/>
                      <w:lang w:val="en-US" w:eastAsia="zh-CN"/>
                    </w:rPr>
                    <w:t>全院</w:t>
                  </w:r>
                  <w:r>
                    <w:rPr>
                      <w:rFonts w:hint="default" w:ascii="Times New Roman" w:hAnsi="Times New Roman" w:eastAsia="宋体" w:cs="Times New Roman"/>
                      <w:b/>
                      <w:bCs/>
                      <w:color w:val="auto"/>
                      <w:kern w:val="0"/>
                      <w:sz w:val="18"/>
                      <w:szCs w:val="18"/>
                      <w:highlight w:val="none"/>
                      <w:lang w:val="en-US" w:eastAsia="zh-CN"/>
                    </w:rPr>
                    <w:t>总量</w:t>
                  </w:r>
                </w:p>
              </w:tc>
              <w:tc>
                <w:tcPr>
                  <w:tcW w:w="854" w:type="pct"/>
                  <w:tcBorders>
                    <w:tl2br w:val="nil"/>
                    <w:tr2bl w:val="nil"/>
                  </w:tcBorders>
                  <w:shd w:val="clear" w:color="auto" w:fill="auto"/>
                  <w:vAlign w:val="center"/>
                </w:tcPr>
                <w:p w14:paraId="2F45D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18"/>
                      <w:szCs w:val="18"/>
                      <w:highlight w:val="none"/>
                      <w:lang w:val="en-US" w:eastAsia="zh-CN"/>
                    </w:rPr>
                  </w:pPr>
                  <w:r>
                    <w:rPr>
                      <w:rFonts w:hint="eastAsia" w:cs="Times New Roman"/>
                      <w:b/>
                      <w:bCs/>
                      <w:color w:val="auto"/>
                      <w:kern w:val="0"/>
                      <w:sz w:val="18"/>
                      <w:szCs w:val="18"/>
                      <w:highlight w:val="none"/>
                      <w:lang w:val="en-US" w:eastAsia="zh-CN"/>
                    </w:rPr>
                    <w:t>污染物增减量</w:t>
                  </w:r>
                </w:p>
              </w:tc>
            </w:tr>
            <w:tr w14:paraId="6D0C0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restart"/>
                  <w:tcBorders>
                    <w:tl2br w:val="nil"/>
                    <w:tr2bl w:val="nil"/>
                  </w:tcBorders>
                  <w:shd w:val="clear" w:color="auto" w:fill="auto"/>
                  <w:vAlign w:val="center"/>
                </w:tcPr>
                <w:p w14:paraId="143D4B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废气</w:t>
                  </w:r>
                </w:p>
              </w:tc>
              <w:tc>
                <w:tcPr>
                  <w:tcW w:w="344" w:type="pct"/>
                  <w:vMerge w:val="restart"/>
                  <w:tcBorders>
                    <w:tl2br w:val="nil"/>
                    <w:tr2bl w:val="nil"/>
                  </w:tcBorders>
                  <w:shd w:val="clear" w:color="auto" w:fill="auto"/>
                  <w:vAlign w:val="center"/>
                </w:tcPr>
                <w:p w14:paraId="72CC0B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有组织</w:t>
                  </w:r>
                </w:p>
              </w:tc>
              <w:tc>
                <w:tcPr>
                  <w:tcW w:w="508" w:type="pct"/>
                  <w:tcBorders>
                    <w:tl2br w:val="nil"/>
                    <w:tr2bl w:val="nil"/>
                  </w:tcBorders>
                  <w:shd w:val="clear" w:color="auto" w:fill="auto"/>
                  <w:vAlign w:val="center"/>
                </w:tcPr>
                <w:p w14:paraId="79869B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油烟</w:t>
                  </w:r>
                </w:p>
              </w:tc>
              <w:tc>
                <w:tcPr>
                  <w:tcW w:w="637" w:type="pct"/>
                  <w:tcBorders>
                    <w:tl2br w:val="nil"/>
                    <w:tr2bl w:val="nil"/>
                  </w:tcBorders>
                  <w:shd w:val="clear" w:color="auto" w:fill="auto"/>
                  <w:noWrap/>
                  <w:vAlign w:val="center"/>
                </w:tcPr>
                <w:p w14:paraId="606E03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0.0118</w:t>
                  </w:r>
                </w:p>
              </w:tc>
              <w:tc>
                <w:tcPr>
                  <w:tcW w:w="781" w:type="pct"/>
                  <w:tcBorders>
                    <w:tl2br w:val="nil"/>
                    <w:tr2bl w:val="nil"/>
                  </w:tcBorders>
                  <w:shd w:val="clear" w:color="auto" w:fill="auto"/>
                  <w:noWrap/>
                  <w:vAlign w:val="center"/>
                </w:tcPr>
                <w:p w14:paraId="19F99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781" w:type="pct"/>
                  <w:tcBorders>
                    <w:tl2br w:val="nil"/>
                    <w:tr2bl w:val="nil"/>
                  </w:tcBorders>
                  <w:shd w:val="clear" w:color="auto" w:fill="auto"/>
                  <w:noWrap/>
                  <w:vAlign w:val="center"/>
                </w:tcPr>
                <w:p w14:paraId="6CA9A5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415CBD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0.0118</w:t>
                  </w:r>
                </w:p>
              </w:tc>
              <w:tc>
                <w:tcPr>
                  <w:tcW w:w="1341" w:type="dxa"/>
                  <w:tcBorders>
                    <w:tl2br w:val="nil"/>
                    <w:tr2bl w:val="nil"/>
                  </w:tcBorders>
                  <w:shd w:val="clear" w:color="auto" w:fill="auto"/>
                  <w:noWrap/>
                  <w:vAlign w:val="center"/>
                </w:tcPr>
                <w:p w14:paraId="555351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w:t>
                  </w:r>
                </w:p>
              </w:tc>
            </w:tr>
            <w:tr w14:paraId="6F36E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7DF275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344" w:type="pct"/>
                  <w:vMerge w:val="continue"/>
                  <w:tcBorders>
                    <w:tl2br w:val="nil"/>
                    <w:tr2bl w:val="nil"/>
                  </w:tcBorders>
                  <w:shd w:val="clear" w:color="auto" w:fill="auto"/>
                  <w:vAlign w:val="center"/>
                </w:tcPr>
                <w:p w14:paraId="26D82C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rPr>
                  </w:pPr>
                </w:p>
              </w:tc>
              <w:tc>
                <w:tcPr>
                  <w:tcW w:w="508" w:type="pct"/>
                  <w:tcBorders>
                    <w:tl2br w:val="nil"/>
                    <w:tr2bl w:val="nil"/>
                  </w:tcBorders>
                  <w:shd w:val="clear" w:color="auto" w:fill="auto"/>
                  <w:vAlign w:val="center"/>
                </w:tcPr>
                <w:p w14:paraId="19BC1C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二氧化硫</w:t>
                  </w:r>
                </w:p>
              </w:tc>
              <w:tc>
                <w:tcPr>
                  <w:tcW w:w="637" w:type="pct"/>
                  <w:tcBorders>
                    <w:tl2br w:val="nil"/>
                    <w:tr2bl w:val="nil"/>
                  </w:tcBorders>
                  <w:shd w:val="clear" w:color="auto" w:fill="auto"/>
                  <w:noWrap/>
                  <w:vAlign w:val="center"/>
                </w:tcPr>
                <w:p w14:paraId="48AA6A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0.138</w:t>
                  </w:r>
                </w:p>
              </w:tc>
              <w:tc>
                <w:tcPr>
                  <w:tcW w:w="781" w:type="pct"/>
                  <w:tcBorders>
                    <w:tl2br w:val="nil"/>
                    <w:tr2bl w:val="nil"/>
                  </w:tcBorders>
                  <w:shd w:val="clear" w:color="auto" w:fill="auto"/>
                  <w:noWrap/>
                  <w:vAlign w:val="center"/>
                </w:tcPr>
                <w:p w14:paraId="2AF903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781" w:type="pct"/>
                  <w:tcBorders>
                    <w:tl2br w:val="nil"/>
                    <w:tr2bl w:val="nil"/>
                  </w:tcBorders>
                  <w:shd w:val="clear" w:color="auto" w:fill="auto"/>
                  <w:noWrap/>
                  <w:vAlign w:val="center"/>
                </w:tcPr>
                <w:p w14:paraId="39174D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4F6734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0.138</w:t>
                  </w:r>
                </w:p>
              </w:tc>
              <w:tc>
                <w:tcPr>
                  <w:tcW w:w="1341" w:type="dxa"/>
                  <w:tcBorders>
                    <w:tl2br w:val="nil"/>
                    <w:tr2bl w:val="nil"/>
                  </w:tcBorders>
                  <w:shd w:val="clear" w:color="auto" w:fill="auto"/>
                  <w:noWrap/>
                  <w:vAlign w:val="center"/>
                </w:tcPr>
                <w:p w14:paraId="55C281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w:t>
                  </w:r>
                </w:p>
              </w:tc>
            </w:tr>
            <w:tr w14:paraId="76AD3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4" w:hRule="atLeast"/>
                <w:jc w:val="center"/>
              </w:trPr>
              <w:tc>
                <w:tcPr>
                  <w:tcW w:w="238" w:type="pct"/>
                  <w:vMerge w:val="continue"/>
                  <w:tcBorders>
                    <w:tl2br w:val="nil"/>
                    <w:tr2bl w:val="nil"/>
                  </w:tcBorders>
                  <w:vAlign w:val="center"/>
                </w:tcPr>
                <w:p w14:paraId="7709A5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344" w:type="pct"/>
                  <w:vMerge w:val="continue"/>
                  <w:tcBorders>
                    <w:tl2br w:val="nil"/>
                    <w:tr2bl w:val="nil"/>
                  </w:tcBorders>
                  <w:shd w:val="clear" w:color="auto" w:fill="auto"/>
                  <w:vAlign w:val="center"/>
                </w:tcPr>
                <w:p w14:paraId="6F7C95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p>
              </w:tc>
              <w:tc>
                <w:tcPr>
                  <w:tcW w:w="508" w:type="pct"/>
                  <w:tcBorders>
                    <w:tl2br w:val="nil"/>
                    <w:tr2bl w:val="nil"/>
                  </w:tcBorders>
                  <w:shd w:val="clear" w:color="auto" w:fill="auto"/>
                  <w:vAlign w:val="center"/>
                </w:tcPr>
                <w:p w14:paraId="140E3C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氮氧化物</w:t>
                  </w:r>
                </w:p>
              </w:tc>
              <w:tc>
                <w:tcPr>
                  <w:tcW w:w="637" w:type="pct"/>
                  <w:tcBorders>
                    <w:tl2br w:val="nil"/>
                    <w:tr2bl w:val="nil"/>
                  </w:tcBorders>
                  <w:shd w:val="clear" w:color="auto" w:fill="auto"/>
                  <w:noWrap/>
                  <w:vAlign w:val="center"/>
                </w:tcPr>
                <w:p w14:paraId="0FBBCF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0.046</w:t>
                  </w:r>
                </w:p>
              </w:tc>
              <w:tc>
                <w:tcPr>
                  <w:tcW w:w="781" w:type="pct"/>
                  <w:tcBorders>
                    <w:tl2br w:val="nil"/>
                    <w:tr2bl w:val="nil"/>
                  </w:tcBorders>
                  <w:shd w:val="clear" w:color="auto" w:fill="auto"/>
                  <w:noWrap/>
                  <w:vAlign w:val="center"/>
                </w:tcPr>
                <w:p w14:paraId="447BC2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781" w:type="pct"/>
                  <w:tcBorders>
                    <w:tl2br w:val="nil"/>
                    <w:tr2bl w:val="nil"/>
                  </w:tcBorders>
                  <w:shd w:val="clear" w:color="auto" w:fill="auto"/>
                  <w:noWrap/>
                  <w:vAlign w:val="center"/>
                </w:tcPr>
                <w:p w14:paraId="240155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313DF4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0.046</w:t>
                  </w:r>
                </w:p>
              </w:tc>
              <w:tc>
                <w:tcPr>
                  <w:tcW w:w="1341" w:type="dxa"/>
                  <w:tcBorders>
                    <w:tl2br w:val="nil"/>
                    <w:tr2bl w:val="nil"/>
                  </w:tcBorders>
                  <w:shd w:val="clear" w:color="auto" w:fill="auto"/>
                  <w:noWrap/>
                  <w:vAlign w:val="center"/>
                </w:tcPr>
                <w:p w14:paraId="5DF4BB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w:t>
                  </w:r>
                </w:p>
              </w:tc>
            </w:tr>
            <w:tr w14:paraId="496AF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64F55B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344" w:type="pct"/>
                  <w:vMerge w:val="continue"/>
                  <w:tcBorders>
                    <w:tl2br w:val="nil"/>
                    <w:tr2bl w:val="nil"/>
                  </w:tcBorders>
                  <w:shd w:val="clear" w:color="auto" w:fill="auto"/>
                  <w:vAlign w:val="center"/>
                </w:tcPr>
                <w:p w14:paraId="349940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rPr>
                  </w:pPr>
                </w:p>
              </w:tc>
              <w:tc>
                <w:tcPr>
                  <w:tcW w:w="508" w:type="pct"/>
                  <w:tcBorders>
                    <w:tl2br w:val="nil"/>
                    <w:tr2bl w:val="nil"/>
                  </w:tcBorders>
                  <w:shd w:val="clear" w:color="auto" w:fill="auto"/>
                  <w:vAlign w:val="center"/>
                </w:tcPr>
                <w:p w14:paraId="2D1BB9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烟尘</w:t>
                  </w:r>
                </w:p>
              </w:tc>
              <w:tc>
                <w:tcPr>
                  <w:tcW w:w="637" w:type="pct"/>
                  <w:tcBorders>
                    <w:tl2br w:val="nil"/>
                    <w:tr2bl w:val="nil"/>
                  </w:tcBorders>
                  <w:shd w:val="clear" w:color="auto" w:fill="auto"/>
                  <w:noWrap/>
                  <w:vAlign w:val="center"/>
                </w:tcPr>
                <w:p w14:paraId="57D4BC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sz w:val="18"/>
                      <w:szCs w:val="18"/>
                      <w:highlight w:val="none"/>
                      <w:lang w:val="en-US" w:eastAsia="zh-CN"/>
                    </w:rPr>
                    <w:t>0.108</w:t>
                  </w:r>
                </w:p>
              </w:tc>
              <w:tc>
                <w:tcPr>
                  <w:tcW w:w="781" w:type="pct"/>
                  <w:tcBorders>
                    <w:tl2br w:val="nil"/>
                    <w:tr2bl w:val="nil"/>
                  </w:tcBorders>
                  <w:shd w:val="clear" w:color="auto" w:fill="auto"/>
                  <w:noWrap/>
                  <w:vAlign w:val="center"/>
                </w:tcPr>
                <w:p w14:paraId="09512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781" w:type="pct"/>
                  <w:tcBorders>
                    <w:tl2br w:val="nil"/>
                    <w:tr2bl w:val="nil"/>
                  </w:tcBorders>
                  <w:shd w:val="clear" w:color="auto" w:fill="auto"/>
                  <w:noWrap/>
                  <w:vAlign w:val="center"/>
                </w:tcPr>
                <w:p w14:paraId="433435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6D15D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0.108</w:t>
                  </w:r>
                </w:p>
              </w:tc>
              <w:tc>
                <w:tcPr>
                  <w:tcW w:w="1341" w:type="dxa"/>
                  <w:tcBorders>
                    <w:tl2br w:val="nil"/>
                    <w:tr2bl w:val="nil"/>
                  </w:tcBorders>
                  <w:shd w:val="clear" w:color="auto" w:fill="auto"/>
                  <w:noWrap/>
                  <w:vAlign w:val="center"/>
                </w:tcPr>
                <w:p w14:paraId="3D91E0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w:t>
                  </w:r>
                </w:p>
              </w:tc>
            </w:tr>
            <w:tr w14:paraId="36DF4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1B9BA9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344" w:type="pct"/>
                  <w:vMerge w:val="continue"/>
                  <w:tcBorders>
                    <w:tl2br w:val="nil"/>
                    <w:tr2bl w:val="nil"/>
                  </w:tcBorders>
                  <w:shd w:val="clear" w:color="auto" w:fill="auto"/>
                  <w:vAlign w:val="center"/>
                </w:tcPr>
                <w:p w14:paraId="63E4E8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rPr>
                  </w:pPr>
                </w:p>
              </w:tc>
              <w:tc>
                <w:tcPr>
                  <w:tcW w:w="508" w:type="pct"/>
                  <w:tcBorders>
                    <w:tl2br w:val="nil"/>
                    <w:tr2bl w:val="nil"/>
                  </w:tcBorders>
                  <w:shd w:val="clear" w:color="auto" w:fill="auto"/>
                  <w:vAlign w:val="center"/>
                </w:tcPr>
                <w:p w14:paraId="321DD7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VOCs</w:t>
                  </w:r>
                </w:p>
              </w:tc>
              <w:tc>
                <w:tcPr>
                  <w:tcW w:w="637" w:type="pct"/>
                  <w:tcBorders>
                    <w:tl2br w:val="nil"/>
                    <w:tr2bl w:val="nil"/>
                  </w:tcBorders>
                  <w:shd w:val="clear" w:color="auto" w:fill="auto"/>
                  <w:noWrap/>
                  <w:vAlign w:val="center"/>
                </w:tcPr>
                <w:p w14:paraId="71036A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781" w:type="pct"/>
                  <w:tcBorders>
                    <w:tl2br w:val="nil"/>
                    <w:tr2bl w:val="nil"/>
                  </w:tcBorders>
                  <w:shd w:val="clear" w:color="auto" w:fill="auto"/>
                  <w:noWrap/>
                  <w:vAlign w:val="center"/>
                </w:tcPr>
                <w:p w14:paraId="1F0EB2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lang w:val="en-US" w:eastAsia="zh-CN" w:bidi="ar"/>
                    </w:rPr>
                    <w:t>0.018</w:t>
                  </w:r>
                </w:p>
              </w:tc>
              <w:tc>
                <w:tcPr>
                  <w:tcW w:w="781" w:type="pct"/>
                  <w:tcBorders>
                    <w:tl2br w:val="nil"/>
                    <w:tr2bl w:val="nil"/>
                  </w:tcBorders>
                  <w:shd w:val="clear" w:color="auto" w:fill="auto"/>
                  <w:noWrap/>
                  <w:vAlign w:val="center"/>
                </w:tcPr>
                <w:p w14:paraId="6E236A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6F3515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0.018</w:t>
                  </w:r>
                </w:p>
              </w:tc>
              <w:tc>
                <w:tcPr>
                  <w:tcW w:w="1341" w:type="dxa"/>
                  <w:tcBorders>
                    <w:tl2br w:val="nil"/>
                    <w:tr2bl w:val="nil"/>
                  </w:tcBorders>
                  <w:shd w:val="clear" w:color="auto" w:fill="auto"/>
                  <w:noWrap/>
                  <w:vAlign w:val="center"/>
                </w:tcPr>
                <w:p w14:paraId="4E7A52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0.018</w:t>
                  </w:r>
                </w:p>
              </w:tc>
            </w:tr>
            <w:tr w14:paraId="27AB8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1CF212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344" w:type="pct"/>
                  <w:vMerge w:val="restart"/>
                  <w:tcBorders>
                    <w:tl2br w:val="nil"/>
                    <w:tr2bl w:val="nil"/>
                  </w:tcBorders>
                  <w:shd w:val="clear" w:color="auto" w:fill="auto"/>
                  <w:vAlign w:val="center"/>
                </w:tcPr>
                <w:p w14:paraId="6B3011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无组织</w:t>
                  </w:r>
                </w:p>
              </w:tc>
              <w:tc>
                <w:tcPr>
                  <w:tcW w:w="508" w:type="pct"/>
                  <w:tcBorders>
                    <w:tl2br w:val="nil"/>
                    <w:tr2bl w:val="nil"/>
                  </w:tcBorders>
                  <w:shd w:val="clear" w:color="auto" w:fill="auto"/>
                  <w:vAlign w:val="center"/>
                </w:tcPr>
                <w:p w14:paraId="66B92E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氨</w:t>
                  </w:r>
                </w:p>
              </w:tc>
              <w:tc>
                <w:tcPr>
                  <w:tcW w:w="637" w:type="pct"/>
                  <w:tcBorders>
                    <w:tl2br w:val="nil"/>
                    <w:tr2bl w:val="nil"/>
                  </w:tcBorders>
                  <w:shd w:val="clear" w:color="auto" w:fill="auto"/>
                  <w:noWrap/>
                  <w:vAlign w:val="center"/>
                </w:tcPr>
                <w:p w14:paraId="0CF9B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0.010546</w:t>
                  </w:r>
                </w:p>
              </w:tc>
              <w:tc>
                <w:tcPr>
                  <w:tcW w:w="781" w:type="pct"/>
                  <w:tcBorders>
                    <w:tl2br w:val="nil"/>
                    <w:tr2bl w:val="nil"/>
                  </w:tcBorders>
                  <w:shd w:val="clear" w:color="auto" w:fill="auto"/>
                  <w:noWrap/>
                  <w:vAlign w:val="center"/>
                </w:tcPr>
                <w:p w14:paraId="535FB1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781" w:type="pct"/>
                  <w:tcBorders>
                    <w:tl2br w:val="nil"/>
                    <w:tr2bl w:val="nil"/>
                  </w:tcBorders>
                  <w:shd w:val="clear" w:color="auto" w:fill="auto"/>
                  <w:noWrap/>
                  <w:vAlign w:val="center"/>
                </w:tcPr>
                <w:p w14:paraId="24D5F6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5978AC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0.010546</w:t>
                  </w:r>
                </w:p>
              </w:tc>
              <w:tc>
                <w:tcPr>
                  <w:tcW w:w="1341" w:type="dxa"/>
                  <w:tcBorders>
                    <w:tl2br w:val="nil"/>
                    <w:tr2bl w:val="nil"/>
                  </w:tcBorders>
                  <w:shd w:val="clear" w:color="auto" w:fill="auto"/>
                  <w:noWrap/>
                  <w:vAlign w:val="center"/>
                </w:tcPr>
                <w:p w14:paraId="16C92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r>
                    <w:rPr>
                      <w:rFonts w:hint="default" w:cs="Times New Roman"/>
                      <w:color w:val="auto"/>
                      <w:kern w:val="0"/>
                      <w:sz w:val="18"/>
                      <w:szCs w:val="18"/>
                      <w:highlight w:val="none"/>
                      <w:lang w:val="en-US" w:eastAsia="zh-CN"/>
                    </w:rPr>
                    <w:t>0</w:t>
                  </w:r>
                </w:p>
              </w:tc>
            </w:tr>
            <w:tr w14:paraId="32109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03AFE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344" w:type="pct"/>
                  <w:vMerge w:val="continue"/>
                  <w:tcBorders>
                    <w:tl2br w:val="nil"/>
                    <w:tr2bl w:val="nil"/>
                  </w:tcBorders>
                  <w:shd w:val="clear" w:color="auto" w:fill="auto"/>
                  <w:vAlign w:val="center"/>
                </w:tcPr>
                <w:p w14:paraId="7CB3C2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rPr>
                  </w:pPr>
                </w:p>
              </w:tc>
              <w:tc>
                <w:tcPr>
                  <w:tcW w:w="508" w:type="pct"/>
                  <w:tcBorders>
                    <w:tl2br w:val="nil"/>
                    <w:tr2bl w:val="nil"/>
                  </w:tcBorders>
                  <w:shd w:val="clear" w:color="auto" w:fill="auto"/>
                  <w:vAlign w:val="center"/>
                </w:tcPr>
                <w:p w14:paraId="0E65EF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硫化氢</w:t>
                  </w:r>
                </w:p>
              </w:tc>
              <w:tc>
                <w:tcPr>
                  <w:tcW w:w="637" w:type="pct"/>
                  <w:tcBorders>
                    <w:tl2br w:val="nil"/>
                    <w:tr2bl w:val="nil"/>
                  </w:tcBorders>
                  <w:shd w:val="clear" w:color="auto" w:fill="auto"/>
                  <w:noWrap/>
                  <w:vAlign w:val="center"/>
                </w:tcPr>
                <w:p w14:paraId="48D3C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0.0010212</w:t>
                  </w:r>
                </w:p>
              </w:tc>
              <w:tc>
                <w:tcPr>
                  <w:tcW w:w="781" w:type="pct"/>
                  <w:tcBorders>
                    <w:tl2br w:val="nil"/>
                    <w:tr2bl w:val="nil"/>
                  </w:tcBorders>
                  <w:shd w:val="clear" w:color="auto" w:fill="auto"/>
                  <w:noWrap/>
                  <w:vAlign w:val="center"/>
                </w:tcPr>
                <w:p w14:paraId="042ADB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781" w:type="pct"/>
                  <w:tcBorders>
                    <w:tl2br w:val="nil"/>
                    <w:tr2bl w:val="nil"/>
                  </w:tcBorders>
                  <w:shd w:val="clear" w:color="auto" w:fill="auto"/>
                  <w:noWrap/>
                  <w:vAlign w:val="center"/>
                </w:tcPr>
                <w:p w14:paraId="3DE114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18"/>
                      <w:szCs w:val="18"/>
                      <w:highlight w:val="none"/>
                      <w:lang w:eastAsia="zh-CN"/>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6B5241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0.0010212</w:t>
                  </w:r>
                </w:p>
              </w:tc>
              <w:tc>
                <w:tcPr>
                  <w:tcW w:w="1341" w:type="dxa"/>
                  <w:tcBorders>
                    <w:tl2br w:val="nil"/>
                    <w:tr2bl w:val="nil"/>
                  </w:tcBorders>
                  <w:shd w:val="clear" w:color="auto" w:fill="auto"/>
                  <w:noWrap/>
                  <w:vAlign w:val="center"/>
                </w:tcPr>
                <w:p w14:paraId="66913F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r>
                    <w:rPr>
                      <w:rFonts w:hint="default" w:cs="Times New Roman"/>
                      <w:color w:val="auto"/>
                      <w:kern w:val="0"/>
                      <w:sz w:val="18"/>
                      <w:szCs w:val="18"/>
                      <w:highlight w:val="none"/>
                      <w:lang w:val="en-US" w:eastAsia="zh-CN"/>
                    </w:rPr>
                    <w:t>0</w:t>
                  </w:r>
                </w:p>
              </w:tc>
            </w:tr>
            <w:tr w14:paraId="63B11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1AC59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344" w:type="pct"/>
                  <w:vMerge w:val="continue"/>
                  <w:tcBorders>
                    <w:tl2br w:val="nil"/>
                    <w:tr2bl w:val="nil"/>
                  </w:tcBorders>
                  <w:shd w:val="clear" w:color="auto" w:fill="auto"/>
                  <w:vAlign w:val="center"/>
                </w:tcPr>
                <w:p w14:paraId="5DCF40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p>
              </w:tc>
              <w:tc>
                <w:tcPr>
                  <w:tcW w:w="508" w:type="pct"/>
                  <w:tcBorders>
                    <w:tl2br w:val="nil"/>
                    <w:tr2bl w:val="nil"/>
                  </w:tcBorders>
                  <w:shd w:val="clear" w:color="auto" w:fill="auto"/>
                  <w:vAlign w:val="center"/>
                </w:tcPr>
                <w:p w14:paraId="427AD1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VOCs</w:t>
                  </w:r>
                </w:p>
              </w:tc>
              <w:tc>
                <w:tcPr>
                  <w:tcW w:w="637" w:type="pct"/>
                  <w:tcBorders>
                    <w:tl2br w:val="nil"/>
                    <w:tr2bl w:val="nil"/>
                  </w:tcBorders>
                  <w:shd w:val="clear" w:color="auto" w:fill="auto"/>
                  <w:noWrap/>
                  <w:vAlign w:val="center"/>
                </w:tcPr>
                <w:p w14:paraId="3CE16F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kern w:val="0"/>
                      <w:sz w:val="18"/>
                      <w:szCs w:val="18"/>
                      <w:highlight w:val="none"/>
                      <w:lang w:val="en-US" w:eastAsia="zh-CN"/>
                    </w:rPr>
                    <w:t>0.00095</w:t>
                  </w:r>
                </w:p>
              </w:tc>
              <w:tc>
                <w:tcPr>
                  <w:tcW w:w="781" w:type="pct"/>
                  <w:tcBorders>
                    <w:tl2br w:val="nil"/>
                    <w:tr2bl w:val="nil"/>
                  </w:tcBorders>
                  <w:shd w:val="clear" w:color="auto" w:fill="auto"/>
                  <w:noWrap/>
                  <w:vAlign w:val="center"/>
                </w:tcPr>
                <w:p w14:paraId="75E114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lang w:val="en-US" w:eastAsia="zh-CN" w:bidi="ar"/>
                    </w:rPr>
                    <w:t>0.009</w:t>
                  </w:r>
                </w:p>
              </w:tc>
              <w:tc>
                <w:tcPr>
                  <w:tcW w:w="781" w:type="pct"/>
                  <w:tcBorders>
                    <w:tl2br w:val="nil"/>
                    <w:tr2bl w:val="nil"/>
                  </w:tcBorders>
                  <w:shd w:val="clear" w:color="auto" w:fill="auto"/>
                  <w:noWrap/>
                  <w:vAlign w:val="center"/>
                </w:tcPr>
                <w:p w14:paraId="023AD5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64C0E2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0.00995</w:t>
                  </w:r>
                </w:p>
              </w:tc>
              <w:tc>
                <w:tcPr>
                  <w:tcW w:w="1341" w:type="dxa"/>
                  <w:tcBorders>
                    <w:tl2br w:val="nil"/>
                    <w:tr2bl w:val="nil"/>
                  </w:tcBorders>
                  <w:shd w:val="clear" w:color="auto" w:fill="auto"/>
                  <w:noWrap/>
                  <w:vAlign w:val="center"/>
                </w:tcPr>
                <w:p w14:paraId="61F4C6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+0.009</w:t>
                  </w:r>
                </w:p>
              </w:tc>
            </w:tr>
            <w:tr w14:paraId="060DB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restart"/>
                  <w:tcBorders>
                    <w:tl2br w:val="nil"/>
                    <w:tr2bl w:val="nil"/>
                  </w:tcBorders>
                  <w:vAlign w:val="center"/>
                </w:tcPr>
                <w:p w14:paraId="25AA37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综合废水</w:t>
                  </w:r>
                </w:p>
              </w:tc>
              <w:tc>
                <w:tcPr>
                  <w:tcW w:w="852" w:type="pct"/>
                  <w:gridSpan w:val="2"/>
                  <w:tcBorders>
                    <w:tl2br w:val="nil"/>
                    <w:tr2bl w:val="nil"/>
                  </w:tcBorders>
                  <w:shd w:val="clear" w:color="auto" w:fill="auto"/>
                  <w:vAlign w:val="center"/>
                </w:tcPr>
                <w:p w14:paraId="7291EF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废水量</w:t>
                  </w:r>
                </w:p>
              </w:tc>
              <w:tc>
                <w:tcPr>
                  <w:tcW w:w="637" w:type="pct"/>
                  <w:tcBorders>
                    <w:tl2br w:val="nil"/>
                    <w:tr2bl w:val="nil"/>
                  </w:tcBorders>
                  <w:shd w:val="clear" w:color="auto" w:fill="auto"/>
                  <w:noWrap/>
                  <w:vAlign w:val="center"/>
                </w:tcPr>
                <w:p w14:paraId="19834C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261920.1</w:t>
                  </w:r>
                </w:p>
              </w:tc>
              <w:tc>
                <w:tcPr>
                  <w:tcW w:w="781" w:type="pct"/>
                  <w:tcBorders>
                    <w:tl2br w:val="nil"/>
                    <w:tr2bl w:val="nil"/>
                  </w:tcBorders>
                  <w:shd w:val="clear" w:color="auto" w:fill="auto"/>
                  <w:noWrap/>
                  <w:vAlign w:val="center"/>
                </w:tcPr>
                <w:p w14:paraId="540B4D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2"/>
                      <w:sz w:val="18"/>
                      <w:szCs w:val="18"/>
                      <w:lang w:val="en-US" w:eastAsia="zh-CN" w:bidi="ar-SA"/>
                    </w:rPr>
                    <w:t>1383.3</w:t>
                  </w:r>
                </w:p>
              </w:tc>
              <w:tc>
                <w:tcPr>
                  <w:tcW w:w="781" w:type="pct"/>
                  <w:tcBorders>
                    <w:tl2br w:val="nil"/>
                    <w:tr2bl w:val="nil"/>
                  </w:tcBorders>
                  <w:shd w:val="clear" w:color="auto" w:fill="auto"/>
                  <w:noWrap/>
                  <w:vAlign w:val="center"/>
                </w:tcPr>
                <w:p w14:paraId="2F3FDC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0A3913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263303.4</w:t>
                  </w:r>
                </w:p>
              </w:tc>
              <w:tc>
                <w:tcPr>
                  <w:tcW w:w="1341" w:type="dxa"/>
                  <w:tcBorders>
                    <w:tl2br w:val="nil"/>
                    <w:tr2bl w:val="nil"/>
                  </w:tcBorders>
                  <w:shd w:val="clear" w:color="auto" w:fill="auto"/>
                  <w:noWrap/>
                  <w:vAlign w:val="center"/>
                </w:tcPr>
                <w:p w14:paraId="246421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+1383.3</w:t>
                  </w:r>
                </w:p>
              </w:tc>
            </w:tr>
            <w:tr w14:paraId="23015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201338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24C8DB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COD</w:t>
                  </w:r>
                </w:p>
              </w:tc>
              <w:tc>
                <w:tcPr>
                  <w:tcW w:w="637" w:type="pct"/>
                  <w:tcBorders>
                    <w:tl2br w:val="nil"/>
                    <w:tr2bl w:val="nil"/>
                  </w:tcBorders>
                  <w:shd w:val="clear" w:color="auto" w:fill="auto"/>
                  <w:noWrap/>
                  <w:vAlign w:val="center"/>
                </w:tcPr>
                <w:p w14:paraId="169742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50.862</w:t>
                  </w:r>
                </w:p>
              </w:tc>
              <w:tc>
                <w:tcPr>
                  <w:tcW w:w="781" w:type="pct"/>
                  <w:tcBorders>
                    <w:tl2br w:val="nil"/>
                    <w:tr2bl w:val="nil"/>
                  </w:tcBorders>
                  <w:shd w:val="clear" w:color="auto" w:fill="auto"/>
                  <w:noWrap/>
                  <w:vAlign w:val="center"/>
                </w:tcPr>
                <w:p w14:paraId="0DDC6F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2"/>
                      <w:sz w:val="18"/>
                      <w:szCs w:val="18"/>
                      <w:lang w:val="en-US" w:eastAsia="zh-CN" w:bidi="ar-SA"/>
                    </w:rPr>
                    <w:t>0.23</w:t>
                  </w:r>
                  <w:r>
                    <w:rPr>
                      <w:rFonts w:hint="eastAsia" w:ascii="Times New Roman" w:hAnsi="Times New Roman" w:eastAsia="宋体" w:cs="Times New Roman"/>
                      <w:color w:val="auto"/>
                      <w:kern w:val="2"/>
                      <w:sz w:val="18"/>
                      <w:szCs w:val="18"/>
                      <w:lang w:val="en-US" w:eastAsia="zh-CN" w:bidi="ar-SA"/>
                    </w:rPr>
                    <w:t>7</w:t>
                  </w:r>
                </w:p>
              </w:tc>
              <w:tc>
                <w:tcPr>
                  <w:tcW w:w="781" w:type="pct"/>
                  <w:tcBorders>
                    <w:tl2br w:val="nil"/>
                    <w:tr2bl w:val="nil"/>
                  </w:tcBorders>
                  <w:shd w:val="clear" w:color="auto" w:fill="auto"/>
                  <w:noWrap/>
                  <w:vAlign w:val="center"/>
                </w:tcPr>
                <w:p w14:paraId="4B2ED4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1F51AB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51.099</w:t>
                  </w:r>
                </w:p>
              </w:tc>
              <w:tc>
                <w:tcPr>
                  <w:tcW w:w="1341" w:type="dxa"/>
                  <w:tcBorders>
                    <w:tl2br w:val="nil"/>
                    <w:tr2bl w:val="nil"/>
                  </w:tcBorders>
                  <w:shd w:val="clear" w:color="auto" w:fill="auto"/>
                  <w:noWrap/>
                  <w:vAlign w:val="center"/>
                </w:tcPr>
                <w:p w14:paraId="022915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+0.237</w:t>
                  </w:r>
                </w:p>
              </w:tc>
            </w:tr>
            <w:tr w14:paraId="759BB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186F16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200335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氨氮</w:t>
                  </w:r>
                </w:p>
              </w:tc>
              <w:tc>
                <w:tcPr>
                  <w:tcW w:w="637" w:type="pct"/>
                  <w:tcBorders>
                    <w:tl2br w:val="nil"/>
                    <w:tr2bl w:val="nil"/>
                  </w:tcBorders>
                  <w:shd w:val="clear" w:color="auto" w:fill="auto"/>
                  <w:noWrap/>
                  <w:vAlign w:val="center"/>
                </w:tcPr>
                <w:p w14:paraId="353BEF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7.6552</w:t>
                  </w:r>
                </w:p>
              </w:tc>
              <w:tc>
                <w:tcPr>
                  <w:tcW w:w="781" w:type="pct"/>
                  <w:tcBorders>
                    <w:tl2br w:val="nil"/>
                    <w:tr2bl w:val="nil"/>
                  </w:tcBorders>
                  <w:shd w:val="clear" w:color="auto" w:fill="auto"/>
                  <w:noWrap/>
                  <w:vAlign w:val="center"/>
                </w:tcPr>
                <w:p w14:paraId="0EDBFA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2"/>
                      <w:sz w:val="18"/>
                      <w:szCs w:val="18"/>
                      <w:lang w:val="en-US" w:eastAsia="zh-CN" w:bidi="ar-SA"/>
                    </w:rPr>
                    <w:t>0.027</w:t>
                  </w:r>
                </w:p>
              </w:tc>
              <w:tc>
                <w:tcPr>
                  <w:tcW w:w="781" w:type="pct"/>
                  <w:tcBorders>
                    <w:tl2br w:val="nil"/>
                    <w:tr2bl w:val="nil"/>
                  </w:tcBorders>
                  <w:shd w:val="clear" w:color="auto" w:fill="auto"/>
                  <w:noWrap/>
                  <w:vAlign w:val="center"/>
                </w:tcPr>
                <w:p w14:paraId="56B8E9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5EF4A8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7.6822</w:t>
                  </w:r>
                </w:p>
              </w:tc>
              <w:tc>
                <w:tcPr>
                  <w:tcW w:w="1341" w:type="dxa"/>
                  <w:tcBorders>
                    <w:tl2br w:val="nil"/>
                    <w:tr2bl w:val="nil"/>
                  </w:tcBorders>
                  <w:shd w:val="clear" w:color="auto" w:fill="auto"/>
                  <w:noWrap/>
                  <w:vAlign w:val="center"/>
                </w:tcPr>
                <w:p w14:paraId="0F3CA8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+0.027</w:t>
                  </w:r>
                </w:p>
              </w:tc>
            </w:tr>
            <w:tr w14:paraId="0BC41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8" w:type="pct"/>
                  <w:vMerge w:val="continue"/>
                  <w:tcBorders>
                    <w:tl2br w:val="nil"/>
                    <w:tr2bl w:val="nil"/>
                  </w:tcBorders>
                  <w:vAlign w:val="center"/>
                </w:tcPr>
                <w:p w14:paraId="5FB79F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6341BA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总磷</w:t>
                  </w:r>
                </w:p>
              </w:tc>
              <w:tc>
                <w:tcPr>
                  <w:tcW w:w="637" w:type="pct"/>
                  <w:tcBorders>
                    <w:tl2br w:val="nil"/>
                    <w:tr2bl w:val="nil"/>
                  </w:tcBorders>
                  <w:shd w:val="clear" w:color="auto" w:fill="auto"/>
                  <w:noWrap/>
                  <w:vAlign w:val="center"/>
                </w:tcPr>
                <w:p w14:paraId="6B3FF3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0.0532</w:t>
                  </w:r>
                </w:p>
              </w:tc>
              <w:tc>
                <w:tcPr>
                  <w:tcW w:w="781" w:type="pct"/>
                  <w:tcBorders>
                    <w:tl2br w:val="nil"/>
                    <w:tr2bl w:val="nil"/>
                  </w:tcBorders>
                  <w:shd w:val="clear" w:color="auto" w:fill="auto"/>
                  <w:noWrap/>
                  <w:vAlign w:val="center"/>
                </w:tcPr>
                <w:p w14:paraId="2F1426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2"/>
                      <w:sz w:val="18"/>
                      <w:szCs w:val="18"/>
                      <w:lang w:val="en-US" w:eastAsia="zh-CN" w:bidi="ar-SA"/>
                    </w:rPr>
                    <w:t>0.00</w:t>
                  </w:r>
                  <w:r>
                    <w:rPr>
                      <w:rFonts w:hint="eastAsia" w:ascii="Times New Roman" w:hAnsi="Times New Roman" w:eastAsia="宋体" w:cs="Times New Roman"/>
                      <w:color w:val="auto"/>
                      <w:kern w:val="2"/>
                      <w:sz w:val="18"/>
                      <w:szCs w:val="18"/>
                      <w:lang w:val="en-US" w:eastAsia="zh-CN" w:bidi="ar-SA"/>
                    </w:rPr>
                    <w:t>5</w:t>
                  </w:r>
                </w:p>
              </w:tc>
              <w:tc>
                <w:tcPr>
                  <w:tcW w:w="781" w:type="pct"/>
                  <w:tcBorders>
                    <w:tl2br w:val="nil"/>
                    <w:tr2bl w:val="nil"/>
                  </w:tcBorders>
                  <w:shd w:val="clear" w:color="auto" w:fill="auto"/>
                  <w:noWrap/>
                  <w:vAlign w:val="center"/>
                </w:tcPr>
                <w:p w14:paraId="05A849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6BD7C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0.0582</w:t>
                  </w:r>
                </w:p>
              </w:tc>
              <w:tc>
                <w:tcPr>
                  <w:tcW w:w="1341" w:type="dxa"/>
                  <w:tcBorders>
                    <w:tl2br w:val="nil"/>
                    <w:tr2bl w:val="nil"/>
                  </w:tcBorders>
                  <w:shd w:val="clear" w:color="auto" w:fill="auto"/>
                  <w:noWrap/>
                  <w:vAlign w:val="center"/>
                </w:tcPr>
                <w:p w14:paraId="711AD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+0.005</w:t>
                  </w:r>
                </w:p>
              </w:tc>
            </w:tr>
            <w:tr w14:paraId="0EC7F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015763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7DECF8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SS</w:t>
                  </w:r>
                </w:p>
              </w:tc>
              <w:tc>
                <w:tcPr>
                  <w:tcW w:w="637" w:type="pct"/>
                  <w:tcBorders>
                    <w:tl2br w:val="nil"/>
                    <w:tr2bl w:val="nil"/>
                  </w:tcBorders>
                  <w:shd w:val="clear" w:color="auto" w:fill="auto"/>
                  <w:noWrap/>
                  <w:vAlign w:val="center"/>
                </w:tcPr>
                <w:p w14:paraId="2D3467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33.5104</w:t>
                  </w:r>
                </w:p>
              </w:tc>
              <w:tc>
                <w:tcPr>
                  <w:tcW w:w="781" w:type="pct"/>
                  <w:tcBorders>
                    <w:tl2br w:val="nil"/>
                    <w:tr2bl w:val="nil"/>
                  </w:tcBorders>
                  <w:shd w:val="clear" w:color="auto" w:fill="auto"/>
                  <w:noWrap/>
                  <w:vAlign w:val="center"/>
                </w:tcPr>
                <w:p w14:paraId="42FB73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2"/>
                      <w:sz w:val="18"/>
                      <w:szCs w:val="18"/>
                      <w:lang w:val="en-US" w:eastAsia="zh-CN" w:bidi="ar-SA"/>
                    </w:rPr>
                    <w:t>0.15</w:t>
                  </w:r>
                  <w:r>
                    <w:rPr>
                      <w:rFonts w:hint="eastAsia" w:ascii="Times New Roman" w:hAnsi="Times New Roman" w:eastAsia="宋体" w:cs="Times New Roman"/>
                      <w:color w:val="auto"/>
                      <w:kern w:val="2"/>
                      <w:sz w:val="18"/>
                      <w:szCs w:val="18"/>
                      <w:lang w:val="en-US" w:eastAsia="zh-CN" w:bidi="ar-SA"/>
                    </w:rPr>
                    <w:t>6</w:t>
                  </w:r>
                </w:p>
              </w:tc>
              <w:tc>
                <w:tcPr>
                  <w:tcW w:w="781" w:type="pct"/>
                  <w:tcBorders>
                    <w:tl2br w:val="nil"/>
                    <w:tr2bl w:val="nil"/>
                  </w:tcBorders>
                  <w:shd w:val="clear" w:color="auto" w:fill="auto"/>
                  <w:noWrap/>
                  <w:vAlign w:val="center"/>
                </w:tcPr>
                <w:p w14:paraId="5F33E1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74BC3C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33.6664</w:t>
                  </w:r>
                </w:p>
              </w:tc>
              <w:tc>
                <w:tcPr>
                  <w:tcW w:w="1341" w:type="dxa"/>
                  <w:tcBorders>
                    <w:tl2br w:val="nil"/>
                    <w:tr2bl w:val="nil"/>
                  </w:tcBorders>
                  <w:shd w:val="clear" w:color="auto" w:fill="auto"/>
                  <w:noWrap/>
                  <w:vAlign w:val="center"/>
                </w:tcPr>
                <w:p w14:paraId="09217E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+0.156</w:t>
                  </w:r>
                </w:p>
              </w:tc>
            </w:tr>
            <w:tr w14:paraId="69BA9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8" w:type="pct"/>
                  <w:vMerge w:val="continue"/>
                  <w:tcBorders>
                    <w:tl2br w:val="nil"/>
                    <w:tr2bl w:val="nil"/>
                  </w:tcBorders>
                  <w:vAlign w:val="center"/>
                </w:tcPr>
                <w:p w14:paraId="03FCC5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53AEC5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动植物油</w:t>
                  </w:r>
                </w:p>
              </w:tc>
              <w:tc>
                <w:tcPr>
                  <w:tcW w:w="637" w:type="pct"/>
                  <w:tcBorders>
                    <w:tl2br w:val="nil"/>
                    <w:tr2bl w:val="nil"/>
                  </w:tcBorders>
                  <w:shd w:val="clear" w:color="auto" w:fill="auto"/>
                  <w:noWrap/>
                  <w:vAlign w:val="center"/>
                </w:tcPr>
                <w:p w14:paraId="2AECCF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4.7225</w:t>
                  </w:r>
                </w:p>
              </w:tc>
              <w:tc>
                <w:tcPr>
                  <w:tcW w:w="781" w:type="pct"/>
                  <w:tcBorders>
                    <w:tl2br w:val="nil"/>
                    <w:tr2bl w:val="nil"/>
                  </w:tcBorders>
                  <w:shd w:val="clear" w:color="auto" w:fill="auto"/>
                  <w:noWrap/>
                  <w:vAlign w:val="center"/>
                </w:tcPr>
                <w:p w14:paraId="40D991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781" w:type="pct"/>
                  <w:tcBorders>
                    <w:tl2br w:val="nil"/>
                    <w:tr2bl w:val="nil"/>
                  </w:tcBorders>
                  <w:shd w:val="clear" w:color="auto" w:fill="auto"/>
                  <w:noWrap/>
                  <w:vAlign w:val="center"/>
                </w:tcPr>
                <w:p w14:paraId="0DE2A2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44D4C2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4.7225</w:t>
                  </w:r>
                </w:p>
              </w:tc>
              <w:tc>
                <w:tcPr>
                  <w:tcW w:w="1341" w:type="dxa"/>
                  <w:tcBorders>
                    <w:tl2br w:val="nil"/>
                    <w:tr2bl w:val="nil"/>
                  </w:tcBorders>
                  <w:shd w:val="clear" w:color="auto" w:fill="auto"/>
                  <w:noWrap/>
                  <w:vAlign w:val="center"/>
                </w:tcPr>
                <w:p w14:paraId="3FBA2B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w:t>
                  </w:r>
                </w:p>
              </w:tc>
            </w:tr>
            <w:tr w14:paraId="46BC1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244754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1DF259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eastAsiaTheme="minorEastAsia"/>
                      <w:color w:val="auto"/>
                      <w:kern w:val="0"/>
                      <w:sz w:val="18"/>
                      <w:szCs w:val="18"/>
                      <w:lang w:bidi="ar"/>
                    </w:rPr>
                    <w:t>BOD</w:t>
                  </w:r>
                  <w:r>
                    <w:rPr>
                      <w:rFonts w:hint="eastAsia" w:eastAsiaTheme="minorEastAsia"/>
                      <w:color w:val="auto"/>
                      <w:kern w:val="0"/>
                      <w:sz w:val="18"/>
                      <w:szCs w:val="18"/>
                      <w:vertAlign w:val="subscript"/>
                      <w:lang w:bidi="ar"/>
                    </w:rPr>
                    <w:t>5</w:t>
                  </w:r>
                </w:p>
              </w:tc>
              <w:tc>
                <w:tcPr>
                  <w:tcW w:w="637" w:type="pct"/>
                  <w:tcBorders>
                    <w:tl2br w:val="nil"/>
                    <w:tr2bl w:val="nil"/>
                  </w:tcBorders>
                  <w:shd w:val="clear" w:color="auto" w:fill="auto"/>
                  <w:noWrap/>
                  <w:vAlign w:val="center"/>
                </w:tcPr>
                <w:p w14:paraId="18CF3D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0.282</w:t>
                  </w:r>
                </w:p>
              </w:tc>
              <w:tc>
                <w:tcPr>
                  <w:tcW w:w="781" w:type="pct"/>
                  <w:tcBorders>
                    <w:tl2br w:val="nil"/>
                    <w:tr2bl w:val="nil"/>
                  </w:tcBorders>
                  <w:shd w:val="clear" w:color="auto" w:fill="auto"/>
                  <w:noWrap/>
                  <w:vAlign w:val="center"/>
                </w:tcPr>
                <w:p w14:paraId="45FE49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2"/>
                      <w:sz w:val="18"/>
                      <w:szCs w:val="18"/>
                      <w:lang w:val="en-US" w:eastAsia="zh-CN" w:bidi="ar-SA"/>
                    </w:rPr>
                    <w:t>0.026</w:t>
                  </w:r>
                </w:p>
              </w:tc>
              <w:tc>
                <w:tcPr>
                  <w:tcW w:w="781" w:type="pct"/>
                  <w:tcBorders>
                    <w:tl2br w:val="nil"/>
                    <w:tr2bl w:val="nil"/>
                  </w:tcBorders>
                  <w:shd w:val="clear" w:color="auto" w:fill="auto"/>
                  <w:noWrap/>
                  <w:vAlign w:val="center"/>
                </w:tcPr>
                <w:p w14:paraId="2745B9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281EC9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0.308</w:t>
                  </w:r>
                </w:p>
              </w:tc>
              <w:tc>
                <w:tcPr>
                  <w:tcW w:w="1341" w:type="dxa"/>
                  <w:tcBorders>
                    <w:tl2br w:val="nil"/>
                    <w:tr2bl w:val="nil"/>
                  </w:tcBorders>
                  <w:shd w:val="clear" w:color="auto" w:fill="auto"/>
                  <w:noWrap/>
                  <w:vAlign w:val="center"/>
                </w:tcPr>
                <w:p w14:paraId="4CEBB3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+0.026</w:t>
                  </w:r>
                </w:p>
              </w:tc>
            </w:tr>
            <w:tr w14:paraId="19CAD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687252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302D3D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eastAsiaTheme="minorEastAsia"/>
                      <w:color w:val="auto"/>
                      <w:kern w:val="0"/>
                      <w:sz w:val="18"/>
                      <w:szCs w:val="18"/>
                      <w:lang w:bidi="ar"/>
                    </w:rPr>
                    <w:t>LAS</w:t>
                  </w:r>
                </w:p>
              </w:tc>
              <w:tc>
                <w:tcPr>
                  <w:tcW w:w="637" w:type="pct"/>
                  <w:tcBorders>
                    <w:tl2br w:val="nil"/>
                    <w:tr2bl w:val="nil"/>
                  </w:tcBorders>
                  <w:shd w:val="clear" w:color="auto" w:fill="auto"/>
                  <w:noWrap/>
                  <w:vAlign w:val="center"/>
                </w:tcPr>
                <w:p w14:paraId="2388AD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0.06</w:t>
                  </w:r>
                </w:p>
              </w:tc>
              <w:tc>
                <w:tcPr>
                  <w:tcW w:w="781" w:type="pct"/>
                  <w:tcBorders>
                    <w:tl2br w:val="nil"/>
                    <w:tr2bl w:val="nil"/>
                  </w:tcBorders>
                  <w:shd w:val="clear" w:color="auto" w:fill="auto"/>
                  <w:noWrap/>
                  <w:vAlign w:val="center"/>
                </w:tcPr>
                <w:p w14:paraId="44AD8E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2"/>
                      <w:sz w:val="18"/>
                      <w:szCs w:val="18"/>
                      <w:lang w:val="en-US" w:eastAsia="zh-CN" w:bidi="ar-SA"/>
                    </w:rPr>
                    <w:t>0.002</w:t>
                  </w:r>
                </w:p>
              </w:tc>
              <w:tc>
                <w:tcPr>
                  <w:tcW w:w="781" w:type="pct"/>
                  <w:tcBorders>
                    <w:tl2br w:val="nil"/>
                    <w:tr2bl w:val="nil"/>
                  </w:tcBorders>
                  <w:shd w:val="clear" w:color="auto" w:fill="auto"/>
                  <w:noWrap/>
                  <w:vAlign w:val="center"/>
                </w:tcPr>
                <w:p w14:paraId="12B011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55C574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0.062</w:t>
                  </w:r>
                </w:p>
              </w:tc>
              <w:tc>
                <w:tcPr>
                  <w:tcW w:w="1341" w:type="dxa"/>
                  <w:tcBorders>
                    <w:tl2br w:val="nil"/>
                    <w:tr2bl w:val="nil"/>
                  </w:tcBorders>
                  <w:shd w:val="clear" w:color="auto" w:fill="auto"/>
                  <w:noWrap/>
                  <w:vAlign w:val="center"/>
                </w:tcPr>
                <w:p w14:paraId="56C813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+0.002</w:t>
                  </w:r>
                </w:p>
              </w:tc>
            </w:tr>
            <w:tr w14:paraId="24073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725C3A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3AEA1B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auto"/>
                      <w:sz w:val="18"/>
                      <w:szCs w:val="18"/>
                      <w:highlight w:val="none"/>
                      <w:lang w:val="en-US" w:eastAsia="zh-CN"/>
                    </w:rPr>
                  </w:pPr>
                  <w:r>
                    <w:rPr>
                      <w:rFonts w:hint="eastAsia" w:eastAsiaTheme="minorEastAsia"/>
                      <w:color w:val="auto"/>
                      <w:kern w:val="0"/>
                      <w:sz w:val="18"/>
                      <w:szCs w:val="18"/>
                      <w:lang w:bidi="ar"/>
                    </w:rPr>
                    <w:t>TN</w:t>
                  </w:r>
                </w:p>
              </w:tc>
              <w:tc>
                <w:tcPr>
                  <w:tcW w:w="637" w:type="pct"/>
                  <w:tcBorders>
                    <w:tl2br w:val="nil"/>
                    <w:tr2bl w:val="nil"/>
                  </w:tcBorders>
                  <w:shd w:val="clear" w:color="auto" w:fill="auto"/>
                  <w:noWrap/>
                  <w:vAlign w:val="center"/>
                </w:tcPr>
                <w:p w14:paraId="7D0FFF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0.396</w:t>
                  </w:r>
                </w:p>
              </w:tc>
              <w:tc>
                <w:tcPr>
                  <w:tcW w:w="781" w:type="pct"/>
                  <w:tcBorders>
                    <w:tl2br w:val="nil"/>
                    <w:tr2bl w:val="nil"/>
                  </w:tcBorders>
                  <w:shd w:val="clear" w:color="auto" w:fill="auto"/>
                  <w:noWrap/>
                  <w:vAlign w:val="center"/>
                </w:tcPr>
                <w:p w14:paraId="77578E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2"/>
                      <w:sz w:val="18"/>
                      <w:szCs w:val="18"/>
                      <w:lang w:val="en-US" w:eastAsia="zh-CN" w:bidi="ar-SA"/>
                    </w:rPr>
                    <w:t>0.042</w:t>
                  </w:r>
                </w:p>
              </w:tc>
              <w:tc>
                <w:tcPr>
                  <w:tcW w:w="781" w:type="pct"/>
                  <w:tcBorders>
                    <w:tl2br w:val="nil"/>
                    <w:tr2bl w:val="nil"/>
                  </w:tcBorders>
                  <w:shd w:val="clear" w:color="auto" w:fill="auto"/>
                  <w:noWrap/>
                  <w:vAlign w:val="center"/>
                </w:tcPr>
                <w:p w14:paraId="3D6810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12FD8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0.438</w:t>
                  </w:r>
                </w:p>
              </w:tc>
              <w:tc>
                <w:tcPr>
                  <w:tcW w:w="1341" w:type="dxa"/>
                  <w:tcBorders>
                    <w:tl2br w:val="nil"/>
                    <w:tr2bl w:val="nil"/>
                  </w:tcBorders>
                  <w:shd w:val="clear" w:color="auto" w:fill="auto"/>
                  <w:noWrap/>
                  <w:vAlign w:val="center"/>
                </w:tcPr>
                <w:p w14:paraId="568B18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+0.042</w:t>
                  </w:r>
                </w:p>
              </w:tc>
            </w:tr>
            <w:tr w14:paraId="5FF9A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659BEB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37EDC1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eastAsiaTheme="minorEastAsia"/>
                      <w:color w:val="auto"/>
                      <w:kern w:val="0"/>
                      <w:sz w:val="18"/>
                      <w:szCs w:val="18"/>
                      <w:lang w:val="en-US" w:eastAsia="zh-CN" w:bidi="ar"/>
                    </w:rPr>
                  </w:pPr>
                  <w:r>
                    <w:rPr>
                      <w:rFonts w:hint="eastAsia" w:eastAsiaTheme="minorEastAsia"/>
                      <w:color w:val="auto"/>
                      <w:kern w:val="0"/>
                      <w:sz w:val="18"/>
                      <w:szCs w:val="18"/>
                      <w:lang w:val="en-US" w:eastAsia="zh-CN" w:bidi="ar"/>
                    </w:rPr>
                    <w:t>总余氯</w:t>
                  </w:r>
                </w:p>
              </w:tc>
              <w:tc>
                <w:tcPr>
                  <w:tcW w:w="637" w:type="pct"/>
                  <w:tcBorders>
                    <w:tl2br w:val="nil"/>
                    <w:tr2bl w:val="nil"/>
                  </w:tcBorders>
                  <w:shd w:val="clear" w:color="auto" w:fill="auto"/>
                  <w:noWrap/>
                  <w:vAlign w:val="center"/>
                </w:tcPr>
                <w:p w14:paraId="515992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0.023</w:t>
                  </w:r>
                </w:p>
              </w:tc>
              <w:tc>
                <w:tcPr>
                  <w:tcW w:w="781" w:type="pct"/>
                  <w:tcBorders>
                    <w:tl2br w:val="nil"/>
                    <w:tr2bl w:val="nil"/>
                  </w:tcBorders>
                  <w:shd w:val="clear" w:color="auto" w:fill="auto"/>
                  <w:noWrap/>
                  <w:vAlign w:val="center"/>
                </w:tcPr>
                <w:p w14:paraId="1191C3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781" w:type="pct"/>
                  <w:tcBorders>
                    <w:tl2br w:val="nil"/>
                    <w:tr2bl w:val="nil"/>
                  </w:tcBorders>
                  <w:shd w:val="clear" w:color="auto" w:fill="auto"/>
                  <w:noWrap/>
                  <w:vAlign w:val="center"/>
                </w:tcPr>
                <w:p w14:paraId="52E39E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312710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0.023</w:t>
                  </w:r>
                </w:p>
              </w:tc>
              <w:tc>
                <w:tcPr>
                  <w:tcW w:w="1341" w:type="dxa"/>
                  <w:tcBorders>
                    <w:tl2br w:val="nil"/>
                    <w:tr2bl w:val="nil"/>
                  </w:tcBorders>
                  <w:shd w:val="clear" w:color="auto" w:fill="auto"/>
                  <w:noWrap/>
                  <w:vAlign w:val="center"/>
                </w:tcPr>
                <w:p w14:paraId="7D1A00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w:t>
                  </w:r>
                </w:p>
              </w:tc>
            </w:tr>
            <w:tr w14:paraId="0DB93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63D9C6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3F1AB0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eastAsiaTheme="minorEastAsia"/>
                      <w:color w:val="auto"/>
                      <w:kern w:val="0"/>
                      <w:sz w:val="18"/>
                      <w:szCs w:val="18"/>
                      <w:lang w:val="en-US" w:eastAsia="zh-CN" w:bidi="ar"/>
                    </w:rPr>
                  </w:pPr>
                  <w:r>
                    <w:rPr>
                      <w:rFonts w:hint="eastAsia" w:eastAsiaTheme="minorEastAsia"/>
                      <w:color w:val="auto"/>
                      <w:kern w:val="0"/>
                      <w:sz w:val="18"/>
                      <w:szCs w:val="18"/>
                      <w:lang w:bidi="ar"/>
                    </w:rPr>
                    <w:t>粪大肠菌群数</w:t>
                  </w:r>
                </w:p>
              </w:tc>
              <w:tc>
                <w:tcPr>
                  <w:tcW w:w="637" w:type="pct"/>
                  <w:tcBorders>
                    <w:tl2br w:val="nil"/>
                    <w:tr2bl w:val="nil"/>
                  </w:tcBorders>
                  <w:shd w:val="clear" w:color="auto" w:fill="auto"/>
                  <w:noWrap/>
                  <w:vAlign w:val="center"/>
                </w:tcPr>
                <w:p w14:paraId="21B1DD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eastAsia="宋体" w:cs="Times New Roman"/>
                      <w:color w:val="auto"/>
                      <w:sz w:val="18"/>
                      <w:szCs w:val="18"/>
                      <w:highlight w:val="none"/>
                      <w:lang w:val="en-US" w:eastAsia="zh-CN"/>
                    </w:rPr>
                  </w:pPr>
                  <w:r>
                    <w:rPr>
                      <w:rFonts w:hint="eastAsia" w:eastAsiaTheme="minorEastAsia"/>
                      <w:color w:val="auto"/>
                      <w:sz w:val="18"/>
                      <w:szCs w:val="18"/>
                      <w:lang w:val="en-US" w:eastAsia="zh-CN"/>
                    </w:rPr>
                    <w:t>/</w:t>
                  </w:r>
                </w:p>
              </w:tc>
              <w:tc>
                <w:tcPr>
                  <w:tcW w:w="781" w:type="pct"/>
                  <w:tcBorders>
                    <w:tl2br w:val="nil"/>
                    <w:tr2bl w:val="nil"/>
                  </w:tcBorders>
                  <w:shd w:val="clear" w:color="auto" w:fill="auto"/>
                  <w:noWrap/>
                  <w:vAlign w:val="center"/>
                </w:tcPr>
                <w:p w14:paraId="1848F1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p>
              </w:tc>
              <w:tc>
                <w:tcPr>
                  <w:tcW w:w="781" w:type="pct"/>
                  <w:tcBorders>
                    <w:tl2br w:val="nil"/>
                    <w:tr2bl w:val="nil"/>
                  </w:tcBorders>
                  <w:shd w:val="clear" w:color="auto" w:fill="auto"/>
                  <w:noWrap/>
                  <w:vAlign w:val="center"/>
                </w:tcPr>
                <w:p w14:paraId="2136F8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3B79BF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1341" w:type="dxa"/>
                  <w:tcBorders>
                    <w:tl2br w:val="nil"/>
                    <w:tr2bl w:val="nil"/>
                  </w:tcBorders>
                  <w:shd w:val="clear" w:color="auto" w:fill="auto"/>
                  <w:noWrap/>
                  <w:vAlign w:val="center"/>
                </w:tcPr>
                <w:p w14:paraId="196B15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w:t>
                  </w:r>
                </w:p>
              </w:tc>
            </w:tr>
            <w:tr w14:paraId="0D225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5D60C9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174B90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pH</w:t>
                  </w:r>
                </w:p>
              </w:tc>
              <w:tc>
                <w:tcPr>
                  <w:tcW w:w="637" w:type="pct"/>
                  <w:tcBorders>
                    <w:tl2br w:val="nil"/>
                    <w:tr2bl w:val="nil"/>
                  </w:tcBorders>
                  <w:shd w:val="clear" w:color="auto" w:fill="auto"/>
                  <w:noWrap/>
                  <w:vAlign w:val="center"/>
                </w:tcPr>
                <w:p w14:paraId="08A9BE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eastAsiaTheme="minorEastAsia"/>
                      <w:color w:val="auto"/>
                      <w:sz w:val="18"/>
                      <w:szCs w:val="18"/>
                      <w:lang w:val="en-US" w:eastAsia="zh-CN"/>
                    </w:rPr>
                  </w:pPr>
                  <w:r>
                    <w:rPr>
                      <w:rFonts w:hint="eastAsia" w:eastAsiaTheme="minorEastAsia"/>
                      <w:color w:val="auto"/>
                      <w:sz w:val="18"/>
                      <w:szCs w:val="18"/>
                      <w:lang w:val="en-US" w:eastAsia="zh-CN"/>
                    </w:rPr>
                    <w:t>/</w:t>
                  </w:r>
                </w:p>
              </w:tc>
              <w:tc>
                <w:tcPr>
                  <w:tcW w:w="781" w:type="pct"/>
                  <w:tcBorders>
                    <w:tl2br w:val="nil"/>
                    <w:tr2bl w:val="nil"/>
                  </w:tcBorders>
                  <w:shd w:val="clear" w:color="auto" w:fill="auto"/>
                  <w:noWrap/>
                  <w:vAlign w:val="center"/>
                </w:tcPr>
                <w:p w14:paraId="2770A8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p>
              </w:tc>
              <w:tc>
                <w:tcPr>
                  <w:tcW w:w="781" w:type="pct"/>
                  <w:tcBorders>
                    <w:tl2br w:val="nil"/>
                    <w:tr2bl w:val="nil"/>
                  </w:tcBorders>
                  <w:shd w:val="clear" w:color="auto" w:fill="auto"/>
                  <w:noWrap/>
                  <w:vAlign w:val="center"/>
                </w:tcPr>
                <w:p w14:paraId="66D15A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w:t>
                  </w:r>
                </w:p>
              </w:tc>
              <w:tc>
                <w:tcPr>
                  <w:tcW w:w="1340" w:type="dxa"/>
                  <w:tcBorders>
                    <w:tl2br w:val="nil"/>
                    <w:tr2bl w:val="nil"/>
                  </w:tcBorders>
                  <w:shd w:val="clear" w:color="auto" w:fill="auto"/>
                  <w:noWrap/>
                  <w:vAlign w:val="center"/>
                </w:tcPr>
                <w:p w14:paraId="65789F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1341" w:type="dxa"/>
                  <w:tcBorders>
                    <w:tl2br w:val="nil"/>
                    <w:tr2bl w:val="nil"/>
                  </w:tcBorders>
                  <w:shd w:val="clear" w:color="auto" w:fill="auto"/>
                  <w:noWrap/>
                  <w:vAlign w:val="center"/>
                </w:tcPr>
                <w:p w14:paraId="3DDBE6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w:t>
                  </w:r>
                </w:p>
              </w:tc>
            </w:tr>
            <w:tr w14:paraId="1D198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38" w:type="pct"/>
                  <w:vMerge w:val="restart"/>
                  <w:tcBorders>
                    <w:tl2br w:val="nil"/>
                    <w:tr2bl w:val="nil"/>
                  </w:tcBorders>
                  <w:shd w:val="clear" w:color="auto" w:fill="auto"/>
                  <w:vAlign w:val="center"/>
                </w:tcPr>
                <w:p w14:paraId="4ADAD2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固废</w:t>
                  </w:r>
                </w:p>
              </w:tc>
              <w:tc>
                <w:tcPr>
                  <w:tcW w:w="852" w:type="pct"/>
                  <w:gridSpan w:val="2"/>
                  <w:tcBorders>
                    <w:tl2br w:val="nil"/>
                    <w:tr2bl w:val="nil"/>
                  </w:tcBorders>
                  <w:shd w:val="clear" w:color="auto" w:fill="auto"/>
                  <w:vAlign w:val="center"/>
                </w:tcPr>
                <w:p w14:paraId="72D510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危险固废</w:t>
                  </w:r>
                </w:p>
              </w:tc>
              <w:tc>
                <w:tcPr>
                  <w:tcW w:w="637" w:type="pct"/>
                  <w:tcBorders>
                    <w:tl2br w:val="nil"/>
                    <w:tr2bl w:val="nil"/>
                  </w:tcBorders>
                  <w:shd w:val="clear" w:color="auto" w:fill="auto"/>
                  <w:noWrap/>
                  <w:vAlign w:val="center"/>
                </w:tcPr>
                <w:p w14:paraId="759D2F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sz w:val="18"/>
                      <w:szCs w:val="18"/>
                      <w:highlight w:val="none"/>
                      <w:lang w:val="en-US" w:eastAsia="zh-CN"/>
                    </w:rPr>
                    <w:t>0</w:t>
                  </w:r>
                </w:p>
              </w:tc>
              <w:tc>
                <w:tcPr>
                  <w:tcW w:w="781" w:type="pct"/>
                  <w:tcBorders>
                    <w:tl2br w:val="nil"/>
                    <w:tr2bl w:val="nil"/>
                  </w:tcBorders>
                  <w:shd w:val="clear" w:color="auto" w:fill="auto"/>
                  <w:noWrap/>
                  <w:vAlign w:val="center"/>
                </w:tcPr>
                <w:p w14:paraId="473AB1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0</w:t>
                  </w:r>
                </w:p>
              </w:tc>
              <w:tc>
                <w:tcPr>
                  <w:tcW w:w="781" w:type="pct"/>
                  <w:tcBorders>
                    <w:tl2br w:val="nil"/>
                    <w:tr2bl w:val="nil"/>
                  </w:tcBorders>
                  <w:shd w:val="clear" w:color="auto" w:fill="auto"/>
                  <w:noWrap/>
                  <w:vAlign w:val="center"/>
                </w:tcPr>
                <w:p w14:paraId="1BD21E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0</w:t>
                  </w:r>
                </w:p>
              </w:tc>
              <w:tc>
                <w:tcPr>
                  <w:tcW w:w="1340" w:type="dxa"/>
                  <w:tcBorders>
                    <w:tl2br w:val="nil"/>
                    <w:tr2bl w:val="nil"/>
                  </w:tcBorders>
                  <w:shd w:val="clear" w:color="auto" w:fill="auto"/>
                  <w:noWrap/>
                  <w:vAlign w:val="center"/>
                </w:tcPr>
                <w:p w14:paraId="685E7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w:t>
                  </w:r>
                </w:p>
              </w:tc>
              <w:tc>
                <w:tcPr>
                  <w:tcW w:w="1341" w:type="dxa"/>
                  <w:tcBorders>
                    <w:tl2br w:val="nil"/>
                    <w:tr2bl w:val="nil"/>
                  </w:tcBorders>
                  <w:shd w:val="clear" w:color="auto" w:fill="auto"/>
                  <w:noWrap/>
                  <w:vAlign w:val="center"/>
                </w:tcPr>
                <w:p w14:paraId="78B9F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r>
                    <w:rPr>
                      <w:rFonts w:hint="default" w:cs="Times New Roman"/>
                      <w:color w:val="auto"/>
                      <w:kern w:val="0"/>
                      <w:sz w:val="18"/>
                      <w:szCs w:val="18"/>
                      <w:highlight w:val="none"/>
                      <w:lang w:val="en-US" w:eastAsia="zh-CN"/>
                    </w:rPr>
                    <w:t>0</w:t>
                  </w:r>
                </w:p>
              </w:tc>
            </w:tr>
            <w:tr w14:paraId="22778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38" w:type="pct"/>
                  <w:vMerge w:val="continue"/>
                  <w:tcBorders>
                    <w:tl2br w:val="nil"/>
                    <w:tr2bl w:val="nil"/>
                  </w:tcBorders>
                  <w:vAlign w:val="center"/>
                </w:tcPr>
                <w:p w14:paraId="546233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p>
              </w:tc>
              <w:tc>
                <w:tcPr>
                  <w:tcW w:w="852" w:type="pct"/>
                  <w:gridSpan w:val="2"/>
                  <w:tcBorders>
                    <w:tl2br w:val="nil"/>
                    <w:tr2bl w:val="nil"/>
                  </w:tcBorders>
                  <w:shd w:val="clear" w:color="auto" w:fill="auto"/>
                  <w:vAlign w:val="center"/>
                </w:tcPr>
                <w:p w14:paraId="29607E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一般固废</w:t>
                  </w:r>
                </w:p>
              </w:tc>
              <w:tc>
                <w:tcPr>
                  <w:tcW w:w="637" w:type="pct"/>
                  <w:tcBorders>
                    <w:tl2br w:val="nil"/>
                    <w:tr2bl w:val="nil"/>
                  </w:tcBorders>
                  <w:shd w:val="clear" w:color="auto" w:fill="auto"/>
                  <w:noWrap/>
                  <w:vAlign w:val="center"/>
                </w:tcPr>
                <w:p w14:paraId="6F211F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0</w:t>
                  </w:r>
                </w:p>
              </w:tc>
              <w:tc>
                <w:tcPr>
                  <w:tcW w:w="781" w:type="pct"/>
                  <w:tcBorders>
                    <w:tl2br w:val="nil"/>
                    <w:tr2bl w:val="nil"/>
                  </w:tcBorders>
                  <w:shd w:val="clear" w:color="auto" w:fill="auto"/>
                  <w:noWrap/>
                  <w:vAlign w:val="center"/>
                </w:tcPr>
                <w:p w14:paraId="73AFFE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0</w:t>
                  </w:r>
                </w:p>
              </w:tc>
              <w:tc>
                <w:tcPr>
                  <w:tcW w:w="781" w:type="pct"/>
                  <w:tcBorders>
                    <w:tl2br w:val="nil"/>
                    <w:tr2bl w:val="nil"/>
                  </w:tcBorders>
                  <w:shd w:val="clear" w:color="auto" w:fill="auto"/>
                  <w:noWrap/>
                  <w:vAlign w:val="center"/>
                </w:tcPr>
                <w:p w14:paraId="46C67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0</w:t>
                  </w:r>
                </w:p>
              </w:tc>
              <w:tc>
                <w:tcPr>
                  <w:tcW w:w="1340" w:type="dxa"/>
                  <w:tcBorders>
                    <w:tl2br w:val="nil"/>
                    <w:tr2bl w:val="nil"/>
                  </w:tcBorders>
                  <w:shd w:val="clear" w:color="auto" w:fill="auto"/>
                  <w:noWrap/>
                  <w:vAlign w:val="center"/>
                </w:tcPr>
                <w:p w14:paraId="212842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default" w:cs="Times New Roman"/>
                      <w:color w:val="auto"/>
                      <w:kern w:val="0"/>
                      <w:sz w:val="18"/>
                      <w:szCs w:val="18"/>
                      <w:highlight w:val="none"/>
                      <w:lang w:val="en-US" w:eastAsia="zh-CN"/>
                    </w:rPr>
                    <w:t>0</w:t>
                  </w:r>
                </w:p>
              </w:tc>
              <w:tc>
                <w:tcPr>
                  <w:tcW w:w="1341" w:type="dxa"/>
                  <w:tcBorders>
                    <w:tl2br w:val="nil"/>
                    <w:tr2bl w:val="nil"/>
                  </w:tcBorders>
                  <w:shd w:val="clear" w:color="auto" w:fill="auto"/>
                  <w:noWrap/>
                  <w:vAlign w:val="center"/>
                </w:tcPr>
                <w:p w14:paraId="7C3DE6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w:t>
                  </w:r>
                </w:p>
              </w:tc>
            </w:tr>
          </w:tbl>
          <w:p w14:paraId="0BE6A2A4">
            <w:pPr>
              <w:keepNext w:val="0"/>
              <w:keepLines w:val="0"/>
              <w:suppressLineNumbers w:val="0"/>
              <w:spacing w:before="156" w:beforeLines="50" w:beforeAutospacing="0" w:after="0" w:afterAutospacing="0"/>
              <w:ind w:left="0" w:right="0" w:firstLine="482"/>
              <w:rPr>
                <w:rFonts w:hint="eastAsia"/>
                <w:b/>
                <w:bCs/>
                <w:color w:val="auto"/>
              </w:rPr>
            </w:pPr>
            <w:r>
              <w:rPr>
                <w:rFonts w:hint="eastAsia"/>
                <w:b/>
                <w:bCs/>
                <w:color w:val="auto"/>
                <w:lang w:val="en-US" w:eastAsia="zh-CN"/>
              </w:rPr>
              <w:t>建设项目</w:t>
            </w:r>
            <w:r>
              <w:rPr>
                <w:rFonts w:hint="eastAsia"/>
                <w:b/>
                <w:bCs/>
                <w:color w:val="auto"/>
              </w:rPr>
              <w:t>总量控制指标：</w:t>
            </w:r>
          </w:p>
          <w:p w14:paraId="2BBB014E">
            <w:pPr>
              <w:keepNext w:val="0"/>
              <w:keepLines w:val="0"/>
              <w:suppressLineNumbers w:val="0"/>
              <w:adjustRightInd w:val="0"/>
              <w:snapToGrid w:val="0"/>
              <w:spacing w:before="0" w:beforeAutospacing="0" w:after="0" w:afterAutospacing="0"/>
              <w:ind w:left="0" w:right="0" w:firstLine="480"/>
              <w:rPr>
                <w:rFonts w:hint="eastAsia"/>
                <w:color w:val="auto"/>
                <w:kern w:val="0"/>
              </w:rPr>
            </w:pPr>
            <w:r>
              <w:rPr>
                <w:rFonts w:hint="eastAsia" w:ascii="宋体" w:hAnsi="宋体"/>
                <w:color w:val="auto"/>
                <w:kern w:val="0"/>
              </w:rPr>
              <w:t>查询《固定污染源排污许可分类管理名录》（</w:t>
            </w:r>
            <w:r>
              <w:rPr>
                <w:rFonts w:hint="eastAsia"/>
                <w:color w:val="auto"/>
                <w:kern w:val="0"/>
              </w:rPr>
              <w:t>2019</w:t>
            </w:r>
            <w:r>
              <w:rPr>
                <w:rFonts w:hint="eastAsia" w:ascii="宋体" w:hAnsi="宋体"/>
                <w:color w:val="auto"/>
                <w:kern w:val="0"/>
              </w:rPr>
              <w:t>年版），</w:t>
            </w:r>
            <w:r>
              <w:rPr>
                <w:rFonts w:hint="eastAsia" w:ascii="宋体" w:hAnsi="宋体"/>
                <w:color w:val="auto"/>
                <w:kern w:val="0"/>
                <w:lang w:eastAsia="zh-CN"/>
              </w:rPr>
              <w:t>建设项目</w:t>
            </w:r>
            <w:r>
              <w:rPr>
                <w:rFonts w:hint="eastAsia" w:ascii="宋体" w:hAnsi="宋体"/>
                <w:color w:val="auto"/>
                <w:kern w:val="0"/>
              </w:rPr>
              <w:t>管理类别见下表</w:t>
            </w:r>
            <w:r>
              <w:rPr>
                <w:rFonts w:hint="eastAsia"/>
                <w:color w:val="auto"/>
                <w:kern w:val="0"/>
              </w:rPr>
              <w:t>3.</w:t>
            </w:r>
            <w:r>
              <w:rPr>
                <w:rFonts w:hint="eastAsia"/>
                <w:color w:val="auto"/>
                <w:kern w:val="0"/>
                <w:lang w:val="en-US" w:eastAsia="zh-CN"/>
              </w:rPr>
              <w:t>3-11</w:t>
            </w:r>
            <w:r>
              <w:rPr>
                <w:rFonts w:hint="eastAsia"/>
                <w:color w:val="auto"/>
                <w:kern w:val="0"/>
              </w:rPr>
              <w:t>。</w:t>
            </w:r>
          </w:p>
          <w:p w14:paraId="041C62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24"/>
                <w:highlight w:val="none"/>
              </w:rPr>
            </w:pPr>
            <w:r>
              <w:rPr>
                <w:rFonts w:hint="eastAsia"/>
                <w:b/>
                <w:bCs/>
                <w:color w:val="auto"/>
                <w:sz w:val="24"/>
                <w:highlight w:val="none"/>
              </w:rPr>
              <w:t>表</w:t>
            </w:r>
            <w:r>
              <w:rPr>
                <w:rFonts w:hint="eastAsia"/>
                <w:b/>
                <w:bCs/>
                <w:color w:val="auto"/>
                <w:sz w:val="24"/>
                <w:highlight w:val="none"/>
                <w:lang w:val="en-US" w:eastAsia="zh-CN"/>
              </w:rPr>
              <w:t>3.3-11</w:t>
            </w:r>
            <w:r>
              <w:rPr>
                <w:rFonts w:hint="eastAsia"/>
                <w:b/>
                <w:bCs/>
                <w:color w:val="auto"/>
                <w:sz w:val="24"/>
                <w:highlight w:val="none"/>
              </w:rPr>
              <w:t xml:space="preserve">  固定污染源排污许可分类管理名录对照表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257"/>
              <w:gridCol w:w="2194"/>
              <w:gridCol w:w="1860"/>
              <w:gridCol w:w="1678"/>
            </w:tblGrid>
            <w:tr w14:paraId="21A1A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877" w:type="dxa"/>
                  <w:tcBorders>
                    <w:tl2br w:val="nil"/>
                    <w:tr2bl w:val="nil"/>
                  </w:tcBorders>
                  <w:noWrap w:val="0"/>
                  <w:vAlign w:val="center"/>
                </w:tcPr>
                <w:p w14:paraId="36CEF8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r>
                    <w:rPr>
                      <w:rFonts w:hint="eastAsia"/>
                      <w:b/>
                      <w:bCs/>
                      <w:color w:val="auto"/>
                      <w:sz w:val="18"/>
                      <w:szCs w:val="18"/>
                    </w:rPr>
                    <w:t>序号</w:t>
                  </w:r>
                </w:p>
              </w:tc>
              <w:tc>
                <w:tcPr>
                  <w:tcW w:w="1276" w:type="dxa"/>
                  <w:tcBorders>
                    <w:tl2br w:val="nil"/>
                    <w:tr2bl w:val="nil"/>
                  </w:tcBorders>
                  <w:noWrap w:val="0"/>
                  <w:vAlign w:val="center"/>
                </w:tcPr>
                <w:p w14:paraId="7D275E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r>
                    <w:rPr>
                      <w:rFonts w:hint="eastAsia"/>
                      <w:b/>
                      <w:bCs/>
                      <w:color w:val="auto"/>
                      <w:sz w:val="18"/>
                      <w:szCs w:val="18"/>
                    </w:rPr>
                    <w:t>行业类别</w:t>
                  </w:r>
                </w:p>
              </w:tc>
              <w:tc>
                <w:tcPr>
                  <w:tcW w:w="2244" w:type="dxa"/>
                  <w:tcBorders>
                    <w:tl2br w:val="nil"/>
                    <w:tr2bl w:val="nil"/>
                  </w:tcBorders>
                  <w:noWrap w:val="0"/>
                  <w:vAlign w:val="center"/>
                </w:tcPr>
                <w:p w14:paraId="7132AE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r>
                    <w:rPr>
                      <w:rFonts w:hint="eastAsia"/>
                      <w:b/>
                      <w:bCs/>
                      <w:color w:val="auto"/>
                      <w:sz w:val="18"/>
                      <w:szCs w:val="18"/>
                    </w:rPr>
                    <w:t>重点管理</w:t>
                  </w:r>
                </w:p>
              </w:tc>
              <w:tc>
                <w:tcPr>
                  <w:tcW w:w="1905" w:type="dxa"/>
                  <w:tcBorders>
                    <w:tl2br w:val="nil"/>
                    <w:tr2bl w:val="nil"/>
                  </w:tcBorders>
                  <w:noWrap w:val="0"/>
                  <w:vAlign w:val="center"/>
                </w:tcPr>
                <w:p w14:paraId="4C080C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r>
                    <w:rPr>
                      <w:rFonts w:hint="eastAsia"/>
                      <w:b/>
                      <w:bCs/>
                      <w:color w:val="auto"/>
                      <w:sz w:val="18"/>
                      <w:szCs w:val="18"/>
                    </w:rPr>
                    <w:t>简化管理</w:t>
                  </w:r>
                </w:p>
              </w:tc>
              <w:tc>
                <w:tcPr>
                  <w:tcW w:w="1717" w:type="dxa"/>
                  <w:tcBorders>
                    <w:tl2br w:val="nil"/>
                    <w:tr2bl w:val="nil"/>
                  </w:tcBorders>
                  <w:noWrap w:val="0"/>
                  <w:vAlign w:val="center"/>
                </w:tcPr>
                <w:p w14:paraId="5AD31B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r>
                    <w:rPr>
                      <w:rFonts w:hint="eastAsia"/>
                      <w:b/>
                      <w:bCs/>
                      <w:color w:val="auto"/>
                      <w:sz w:val="18"/>
                      <w:szCs w:val="18"/>
                    </w:rPr>
                    <w:t>登记管理</w:t>
                  </w:r>
                </w:p>
              </w:tc>
            </w:tr>
            <w:tr w14:paraId="60BB4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8019" w:type="dxa"/>
                  <w:gridSpan w:val="5"/>
                  <w:tcBorders>
                    <w:tl2br w:val="nil"/>
                    <w:tr2bl w:val="nil"/>
                  </w:tcBorders>
                  <w:noWrap w:val="0"/>
                  <w:vAlign w:val="center"/>
                </w:tcPr>
                <w:p w14:paraId="1ADA84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color w:val="auto"/>
                      <w:sz w:val="18"/>
                      <w:szCs w:val="18"/>
                      <w:lang w:eastAsia="zh-CN"/>
                    </w:rPr>
                  </w:pPr>
                  <w:r>
                    <w:rPr>
                      <w:rFonts w:hint="eastAsia"/>
                      <w:color w:val="auto"/>
                      <w:sz w:val="18"/>
                      <w:szCs w:val="18"/>
                      <w:lang w:val="en-US" w:eastAsia="zh-CN"/>
                    </w:rPr>
                    <w:t>五十</w:t>
                  </w:r>
                  <w:r>
                    <w:rPr>
                      <w:rFonts w:hint="eastAsia"/>
                      <w:color w:val="auto"/>
                      <w:sz w:val="18"/>
                      <w:szCs w:val="18"/>
                    </w:rPr>
                    <w:t>、</w:t>
                  </w:r>
                  <w:r>
                    <w:rPr>
                      <w:rFonts w:hint="eastAsia"/>
                      <w:color w:val="auto"/>
                      <w:sz w:val="18"/>
                      <w:szCs w:val="18"/>
                      <w:lang w:val="en-US" w:eastAsia="zh-CN"/>
                    </w:rPr>
                    <w:t>其他行业</w:t>
                  </w:r>
                </w:p>
              </w:tc>
            </w:tr>
            <w:tr w14:paraId="21DF0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77" w:type="dxa"/>
                  <w:tcBorders>
                    <w:tl2br w:val="nil"/>
                    <w:tr2bl w:val="nil"/>
                  </w:tcBorders>
                  <w:noWrap w:val="0"/>
                  <w:vAlign w:val="center"/>
                </w:tcPr>
                <w:p w14:paraId="0AAC2E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108</w:t>
                  </w:r>
                </w:p>
              </w:tc>
              <w:tc>
                <w:tcPr>
                  <w:tcW w:w="1276" w:type="dxa"/>
                  <w:tcBorders>
                    <w:tl2br w:val="nil"/>
                    <w:tr2bl w:val="nil"/>
                  </w:tcBorders>
                  <w:noWrap w:val="0"/>
                  <w:vAlign w:val="center"/>
                </w:tcPr>
                <w:p w14:paraId="203CA1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除1-107外的其他行业</w:t>
                  </w:r>
                </w:p>
              </w:tc>
              <w:tc>
                <w:tcPr>
                  <w:tcW w:w="2244" w:type="dxa"/>
                  <w:tcBorders>
                    <w:tl2br w:val="nil"/>
                    <w:tr2bl w:val="nil"/>
                  </w:tcBorders>
                  <w:noWrap w:val="0"/>
                  <w:vAlign w:val="center"/>
                </w:tcPr>
                <w:p w14:paraId="29CE4C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涉及通用工序重点管理的，存在本名录第七条规定情形之一的</w:t>
                  </w:r>
                </w:p>
              </w:tc>
              <w:tc>
                <w:tcPr>
                  <w:tcW w:w="1905" w:type="dxa"/>
                  <w:tcBorders>
                    <w:tl2br w:val="nil"/>
                    <w:tr2bl w:val="nil"/>
                  </w:tcBorders>
                  <w:noWrap w:val="0"/>
                  <w:vAlign w:val="center"/>
                </w:tcPr>
                <w:p w14:paraId="4DD80B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涉及通用工序简化管理的</w:t>
                  </w:r>
                </w:p>
              </w:tc>
              <w:tc>
                <w:tcPr>
                  <w:tcW w:w="1717" w:type="dxa"/>
                  <w:tcBorders>
                    <w:tl2br w:val="nil"/>
                    <w:tr2bl w:val="nil"/>
                  </w:tcBorders>
                  <w:noWrap w:val="0"/>
                  <w:vAlign w:val="center"/>
                </w:tcPr>
                <w:p w14:paraId="30A5F3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涉及通用工序登记管理的</w:t>
                  </w:r>
                </w:p>
              </w:tc>
            </w:tr>
          </w:tbl>
          <w:p w14:paraId="4EDD0B44">
            <w:pPr>
              <w:keepNext w:val="0"/>
              <w:keepLines w:val="0"/>
              <w:suppressLineNumbers w:val="0"/>
              <w:spacing w:before="0" w:beforeAutospacing="0" w:after="0" w:afterAutospacing="0"/>
              <w:ind w:left="0" w:right="0"/>
              <w:rPr>
                <w:rFonts w:hint="eastAsia"/>
                <w:color w:val="auto"/>
                <w:sz w:val="24"/>
                <w:szCs w:val="24"/>
              </w:rPr>
            </w:pPr>
            <w:r>
              <w:rPr>
                <w:rFonts w:hint="eastAsia" w:cs="宋体"/>
                <w:color w:val="auto"/>
                <w:sz w:val="24"/>
                <w:highlight w:val="none"/>
              </w:rPr>
              <w:t>对着上表，</w:t>
            </w: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五十、其他行业—</w:t>
            </w:r>
            <w:r>
              <w:rPr>
                <w:rFonts w:hint="eastAsia" w:ascii="Times New Roman" w:hAnsi="Times New Roman" w:eastAsia="宋体" w:cs="Times New Roman"/>
                <w:color w:val="auto"/>
                <w:sz w:val="24"/>
                <w:szCs w:val="24"/>
                <w:highlight w:val="none"/>
                <w:lang w:val="en-US" w:eastAsia="zh-CN"/>
              </w:rPr>
              <w:t>108</w:t>
            </w:r>
            <w:r>
              <w:rPr>
                <w:rFonts w:hint="default" w:ascii="Times New Roman" w:hAnsi="Times New Roman" w:eastAsia="宋体" w:cs="Times New Roman"/>
                <w:color w:val="auto"/>
                <w:sz w:val="24"/>
                <w:szCs w:val="24"/>
                <w:highlight w:val="none"/>
                <w:lang w:val="en-US" w:eastAsia="zh-CN"/>
              </w:rPr>
              <w:t>除1-107外的其他行业</w:t>
            </w:r>
            <w:r>
              <w:rPr>
                <w:rFonts w:hint="eastAsia" w:ascii="Times New Roman" w:hAnsi="Times New Roman" w:eastAsia="宋体" w:cs="Times New Roman"/>
                <w:color w:val="auto"/>
                <w:sz w:val="24"/>
                <w:szCs w:val="24"/>
                <w:highlight w:val="none"/>
                <w:lang w:val="en-US" w:eastAsia="zh-CN"/>
              </w:rPr>
              <w:t>”，本项目水处理能力小于20000t/d，</w:t>
            </w:r>
            <w:r>
              <w:rPr>
                <w:rFonts w:hint="eastAsia" w:eastAsia="宋体"/>
                <w:color w:val="auto"/>
                <w:sz w:val="24"/>
                <w:szCs w:val="24"/>
                <w:lang w:eastAsia="zh-CN"/>
              </w:rPr>
              <w:t>因此</w:t>
            </w:r>
            <w:r>
              <w:rPr>
                <w:rFonts w:hint="eastAsia"/>
                <w:color w:val="auto"/>
                <w:sz w:val="24"/>
                <w:szCs w:val="24"/>
                <w:lang w:val="en-US" w:eastAsia="zh-CN"/>
              </w:rPr>
              <w:t>本项目未登记</w:t>
            </w:r>
            <w:r>
              <w:rPr>
                <w:rFonts w:hint="eastAsia"/>
                <w:color w:val="auto"/>
                <w:sz w:val="24"/>
                <w:szCs w:val="24"/>
              </w:rPr>
              <w:t>管理。</w:t>
            </w:r>
          </w:p>
          <w:p w14:paraId="7A959365">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eastAsiaTheme="minorEastAsia"/>
                <w:color w:val="auto"/>
                <w:kern w:val="0"/>
                <w:sz w:val="24"/>
                <w:szCs w:val="24"/>
              </w:rPr>
            </w:pPr>
            <w:r>
              <w:rPr>
                <w:rFonts w:hint="eastAsia" w:eastAsiaTheme="minorEastAsia"/>
                <w:color w:val="auto"/>
                <w:kern w:val="0"/>
                <w:sz w:val="24"/>
                <w:szCs w:val="24"/>
              </w:rPr>
              <w:t>（1）废气</w:t>
            </w:r>
          </w:p>
          <w:p w14:paraId="0987EF49">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Theme="minorEastAsia"/>
                <w:color w:val="auto"/>
                <w:sz w:val="24"/>
                <w:szCs w:val="24"/>
                <w:lang w:val="en-US" w:eastAsia="zh-CN"/>
              </w:rPr>
            </w:pPr>
            <w:r>
              <w:rPr>
                <w:rFonts w:hint="eastAsia" w:eastAsiaTheme="minorEastAsia"/>
                <w:color w:val="auto"/>
                <w:sz w:val="24"/>
                <w:szCs w:val="24"/>
                <w:lang w:val="en-US" w:eastAsia="zh-CN"/>
              </w:rPr>
              <w:t>建设项目废气污染物排放量为：</w:t>
            </w:r>
          </w:p>
          <w:p w14:paraId="6B951751">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Theme="minorEastAsia"/>
                <w:color w:val="auto"/>
                <w:sz w:val="24"/>
                <w:szCs w:val="24"/>
              </w:rPr>
            </w:pPr>
            <w:r>
              <w:rPr>
                <w:rFonts w:hint="eastAsia" w:eastAsiaTheme="minorEastAsia"/>
                <w:color w:val="auto"/>
                <w:sz w:val="24"/>
                <w:szCs w:val="24"/>
              </w:rPr>
              <w:t>废气（有组织）：</w:t>
            </w:r>
            <w:r>
              <w:rPr>
                <w:rFonts w:hint="eastAsia" w:eastAsiaTheme="minorEastAsia"/>
                <w:bCs/>
                <w:color w:val="auto"/>
                <w:kern w:val="0"/>
                <w:sz w:val="24"/>
                <w:szCs w:val="24"/>
                <w:lang w:val="en-US" w:eastAsia="zh-CN"/>
              </w:rPr>
              <w:t>VOCs（以非甲烷总烃表征）</w:t>
            </w:r>
            <w:r>
              <w:rPr>
                <w:rFonts w:hint="eastAsia" w:eastAsiaTheme="minorEastAsia"/>
                <w:color w:val="auto"/>
                <w:sz w:val="24"/>
                <w:szCs w:val="24"/>
              </w:rPr>
              <w:t>≤</w:t>
            </w:r>
            <w:r>
              <w:rPr>
                <w:rFonts w:hint="eastAsia" w:cs="宋体"/>
                <w:color w:val="auto"/>
                <w:kern w:val="0"/>
                <w:sz w:val="24"/>
                <w:szCs w:val="24"/>
                <w:lang w:val="en-US" w:eastAsia="zh-CN" w:bidi="ar"/>
              </w:rPr>
              <w:t>0.018</w:t>
            </w:r>
            <w:r>
              <w:rPr>
                <w:rFonts w:hint="eastAsia" w:eastAsiaTheme="minorEastAsia"/>
                <w:bCs/>
                <w:color w:val="auto"/>
                <w:kern w:val="0"/>
                <w:sz w:val="24"/>
                <w:szCs w:val="24"/>
              </w:rPr>
              <w:t>t/a</w:t>
            </w:r>
            <w:r>
              <w:rPr>
                <w:rFonts w:hint="eastAsia" w:eastAsiaTheme="minorEastAsia"/>
                <w:color w:val="auto"/>
                <w:sz w:val="24"/>
                <w:szCs w:val="24"/>
              </w:rPr>
              <w:t>；</w:t>
            </w:r>
          </w:p>
          <w:p w14:paraId="09D00B2E">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Theme="minorEastAsia"/>
                <w:color w:val="auto"/>
                <w:sz w:val="24"/>
                <w:szCs w:val="24"/>
                <w:lang w:val="en-US" w:eastAsia="zh-CN"/>
              </w:rPr>
            </w:pPr>
            <w:r>
              <w:rPr>
                <w:rFonts w:hint="eastAsia" w:eastAsiaTheme="minorEastAsia"/>
                <w:color w:val="auto"/>
                <w:sz w:val="24"/>
                <w:szCs w:val="24"/>
              </w:rPr>
              <w:t>废气（无组织）：</w:t>
            </w:r>
            <w:r>
              <w:rPr>
                <w:rFonts w:hint="eastAsia" w:eastAsiaTheme="minorEastAsia"/>
                <w:bCs/>
                <w:color w:val="auto"/>
                <w:kern w:val="0"/>
                <w:sz w:val="24"/>
                <w:szCs w:val="24"/>
                <w:lang w:val="en-US" w:eastAsia="zh-CN"/>
              </w:rPr>
              <w:t>VOCs（以非甲烷总烃表征）</w:t>
            </w:r>
            <w:r>
              <w:rPr>
                <w:rFonts w:hint="eastAsia" w:eastAsiaTheme="minorEastAsia"/>
                <w:color w:val="auto"/>
                <w:sz w:val="24"/>
                <w:szCs w:val="24"/>
              </w:rPr>
              <w:t>≤</w:t>
            </w:r>
            <w:r>
              <w:rPr>
                <w:rFonts w:hint="eastAsia" w:eastAsiaTheme="minorEastAsia"/>
                <w:color w:val="auto"/>
                <w:sz w:val="24"/>
                <w:szCs w:val="24"/>
                <w:lang w:val="en-US" w:eastAsia="zh-CN"/>
              </w:rPr>
              <w:t>0.009t</w:t>
            </w:r>
            <w:r>
              <w:rPr>
                <w:rFonts w:hint="eastAsia" w:eastAsiaTheme="minorEastAsia"/>
                <w:bCs/>
                <w:color w:val="auto"/>
                <w:kern w:val="0"/>
                <w:sz w:val="24"/>
                <w:szCs w:val="24"/>
              </w:rPr>
              <w:t>/a</w:t>
            </w:r>
            <w:r>
              <w:rPr>
                <w:rFonts w:hint="eastAsia" w:eastAsiaTheme="minorEastAsia"/>
                <w:bCs/>
                <w:color w:val="auto"/>
                <w:kern w:val="0"/>
                <w:sz w:val="24"/>
                <w:szCs w:val="24"/>
                <w:lang w:eastAsia="zh-CN"/>
              </w:rPr>
              <w:t>。</w:t>
            </w:r>
          </w:p>
          <w:p w14:paraId="2E0C99D9">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eastAsiaTheme="minorEastAsia"/>
                <w:color w:val="auto"/>
                <w:sz w:val="24"/>
                <w:szCs w:val="24"/>
              </w:rPr>
            </w:pPr>
            <w:r>
              <w:rPr>
                <w:rFonts w:hint="eastAsia" w:eastAsiaTheme="minorEastAsia"/>
                <w:color w:val="auto"/>
                <w:sz w:val="24"/>
                <w:szCs w:val="24"/>
                <w:lang w:eastAsia="zh-CN"/>
              </w:rPr>
              <w:t>本项目</w:t>
            </w:r>
            <w:r>
              <w:rPr>
                <w:rFonts w:hint="eastAsia" w:eastAsiaTheme="minorEastAsia"/>
                <w:color w:val="auto"/>
                <w:sz w:val="24"/>
                <w:szCs w:val="24"/>
              </w:rPr>
              <w:t>新增</w:t>
            </w:r>
            <w:r>
              <w:rPr>
                <w:rFonts w:hint="eastAsia" w:eastAsiaTheme="minorEastAsia"/>
                <w:bCs/>
                <w:color w:val="auto"/>
                <w:kern w:val="0"/>
                <w:sz w:val="24"/>
                <w:szCs w:val="24"/>
                <w:lang w:val="en-US" w:eastAsia="zh-CN"/>
              </w:rPr>
              <w:t>VOCs（以非甲烷总烃表征）0.027</w:t>
            </w:r>
            <w:r>
              <w:rPr>
                <w:rFonts w:hint="eastAsia" w:eastAsiaTheme="minorEastAsia"/>
                <w:bCs/>
                <w:color w:val="auto"/>
                <w:kern w:val="0"/>
                <w:sz w:val="24"/>
                <w:szCs w:val="24"/>
              </w:rPr>
              <w:t>t/a（有组织</w:t>
            </w:r>
            <w:r>
              <w:rPr>
                <w:rFonts w:hint="eastAsia" w:eastAsiaTheme="minorEastAsia"/>
                <w:bCs/>
                <w:color w:val="auto"/>
                <w:kern w:val="0"/>
                <w:sz w:val="24"/>
                <w:szCs w:val="24"/>
                <w:lang w:val="en-US" w:eastAsia="zh-CN"/>
              </w:rPr>
              <w:t>0.018</w:t>
            </w:r>
            <w:r>
              <w:rPr>
                <w:rFonts w:hint="eastAsia" w:eastAsiaTheme="minorEastAsia"/>
                <w:bCs/>
                <w:color w:val="auto"/>
                <w:kern w:val="0"/>
                <w:sz w:val="24"/>
                <w:szCs w:val="24"/>
              </w:rPr>
              <w:t>t/a、无组织</w:t>
            </w:r>
            <w:r>
              <w:rPr>
                <w:rFonts w:hint="eastAsia" w:eastAsiaTheme="minorEastAsia"/>
                <w:bCs/>
                <w:color w:val="auto"/>
                <w:kern w:val="0"/>
                <w:sz w:val="24"/>
                <w:szCs w:val="24"/>
                <w:lang w:val="en-US" w:eastAsia="zh-CN"/>
              </w:rPr>
              <w:t>0.009</w:t>
            </w:r>
            <w:r>
              <w:rPr>
                <w:rFonts w:hint="eastAsia" w:eastAsiaTheme="minorEastAsia"/>
                <w:bCs/>
                <w:color w:val="auto"/>
                <w:kern w:val="0"/>
                <w:sz w:val="24"/>
                <w:szCs w:val="24"/>
              </w:rPr>
              <w:t>t/a</w:t>
            </w:r>
            <w:r>
              <w:rPr>
                <w:rFonts w:hint="eastAsia" w:eastAsiaTheme="minorEastAsia"/>
                <w:bCs/>
                <w:color w:val="auto"/>
                <w:kern w:val="0"/>
                <w:sz w:val="24"/>
                <w:szCs w:val="24"/>
                <w:lang w:eastAsia="zh-CN"/>
              </w:rPr>
              <w:t>）</w:t>
            </w:r>
            <w:r>
              <w:rPr>
                <w:rFonts w:hint="eastAsia" w:eastAsiaTheme="minorEastAsia"/>
                <w:color w:val="auto"/>
                <w:sz w:val="24"/>
                <w:szCs w:val="24"/>
              </w:rPr>
              <w:t>。</w:t>
            </w:r>
          </w:p>
          <w:p w14:paraId="7F590DDA">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eastAsiaTheme="minorEastAsia"/>
                <w:bCs/>
                <w:color w:val="auto"/>
                <w:kern w:val="0"/>
                <w:sz w:val="24"/>
                <w:szCs w:val="20"/>
              </w:rPr>
            </w:pPr>
            <w:r>
              <w:rPr>
                <w:rFonts w:hint="eastAsia" w:eastAsiaTheme="minorEastAsia"/>
                <w:bCs/>
                <w:color w:val="auto"/>
                <w:kern w:val="0"/>
                <w:sz w:val="24"/>
                <w:szCs w:val="20"/>
              </w:rPr>
              <w:t>（2）废水</w:t>
            </w:r>
          </w:p>
          <w:p w14:paraId="21366FB5">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rPr>
            </w:pPr>
            <w:r>
              <w:rPr>
                <w:rFonts w:hint="eastAsia" w:cs="Times New Roman"/>
                <w:color w:val="auto"/>
                <w:sz w:val="24"/>
                <w:szCs w:val="24"/>
                <w:lang w:val="en-US" w:eastAsia="zh-CN"/>
              </w:rPr>
              <w:t>本项目</w:t>
            </w:r>
            <w:r>
              <w:rPr>
                <w:rFonts w:hint="default" w:ascii="Times New Roman" w:hAnsi="Times New Roman" w:cs="Times New Roman"/>
                <w:color w:val="auto"/>
                <w:sz w:val="24"/>
                <w:szCs w:val="24"/>
              </w:rPr>
              <w:t>生产废水接管总量/环境排放量为：废水量</w:t>
            </w:r>
            <w:r>
              <w:rPr>
                <w:rFonts w:hint="default" w:ascii="Times New Roman" w:hAnsi="Times New Roman" w:cs="Times New Roman"/>
                <w:color w:val="auto"/>
                <w:kern w:val="0"/>
                <w:sz w:val="24"/>
                <w:szCs w:val="24"/>
              </w:rPr>
              <w:t>≤</w:t>
            </w:r>
            <w:r>
              <w:rPr>
                <w:rFonts w:hint="eastAsia" w:cs="Times New Roman" w:eastAsiaTheme="minorEastAsia"/>
                <w:bCs/>
                <w:color w:val="auto"/>
                <w:sz w:val="24"/>
                <w:szCs w:val="24"/>
                <w:lang w:val="en-US" w:eastAsia="zh-CN"/>
              </w:rPr>
              <w:t>708.3</w:t>
            </w:r>
            <w:r>
              <w:rPr>
                <w:rFonts w:hint="default" w:ascii="Times New Roman" w:hAnsi="Times New Roman" w:cs="Times New Roman"/>
                <w:color w:val="auto"/>
                <w:sz w:val="24"/>
                <w:szCs w:val="24"/>
              </w:rPr>
              <w:t>/</w:t>
            </w:r>
            <w:r>
              <w:rPr>
                <w:rFonts w:hint="eastAsia" w:cs="Times New Roman" w:eastAsiaTheme="minorEastAsia"/>
                <w:bCs/>
                <w:color w:val="auto"/>
                <w:sz w:val="24"/>
                <w:szCs w:val="24"/>
                <w:lang w:val="en-US" w:eastAsia="zh-CN"/>
              </w:rPr>
              <w:t>708.3</w:t>
            </w:r>
            <w:r>
              <w:rPr>
                <w:rFonts w:hint="eastAsia" w:cs="Times New Roman" w:eastAsiaTheme="minorEastAsia"/>
                <w:color w:val="auto"/>
                <w:sz w:val="24"/>
                <w:szCs w:val="24"/>
                <w:lang w:val="en-US" w:eastAsia="zh-CN"/>
              </w:rPr>
              <w:t>t</w:t>
            </w:r>
            <w:r>
              <w:rPr>
                <w:rFonts w:hint="default" w:ascii="Times New Roman" w:hAnsi="Times New Roman" w:cs="Times New Roman"/>
                <w:color w:val="auto"/>
                <w:sz w:val="24"/>
                <w:szCs w:val="24"/>
              </w:rPr>
              <w:t>/a，其中COD</w:t>
            </w:r>
            <w:r>
              <w:rPr>
                <w:rFonts w:hint="default" w:ascii="Times New Roman" w:hAnsi="Times New Roman" w:cs="Times New Roman"/>
                <w:color w:val="auto"/>
                <w:kern w:val="0"/>
                <w:sz w:val="24"/>
                <w:szCs w:val="24"/>
              </w:rPr>
              <w:t>≤</w:t>
            </w:r>
            <w:r>
              <w:rPr>
                <w:rFonts w:hint="eastAsia" w:ascii="Times New Roman" w:hAnsi="Times New Roman" w:cs="Times New Roman" w:eastAsiaTheme="minorEastAsia"/>
                <w:bCs/>
                <w:color w:val="auto"/>
                <w:sz w:val="24"/>
                <w:szCs w:val="24"/>
                <w:lang w:val="en-US" w:eastAsia="zh-CN"/>
              </w:rPr>
              <w:t>0.04</w:t>
            </w:r>
            <w:r>
              <w:rPr>
                <w:rFonts w:hint="eastAsia" w:cs="Times New Roman" w:eastAsiaTheme="minorEastAsia"/>
                <w:bCs/>
                <w:color w:val="auto"/>
                <w:sz w:val="24"/>
                <w:szCs w:val="24"/>
                <w:lang w:val="en-US" w:eastAsia="zh-CN"/>
              </w:rPr>
              <w:t>8</w:t>
            </w:r>
            <w:r>
              <w:rPr>
                <w:rFonts w:hint="default" w:ascii="Times New Roman" w:hAnsi="Times New Roman" w:cs="Times New Roman"/>
                <w:color w:val="auto"/>
                <w:sz w:val="24"/>
                <w:szCs w:val="24"/>
              </w:rPr>
              <w:t>/</w:t>
            </w:r>
            <w:r>
              <w:rPr>
                <w:rFonts w:hint="eastAsia" w:ascii="Times New Roman" w:hAnsi="Times New Roman" w:cs="Times New Roman" w:eastAsiaTheme="minorEastAsia"/>
                <w:bCs/>
                <w:color w:val="auto"/>
                <w:sz w:val="24"/>
                <w:szCs w:val="24"/>
                <w:lang w:val="en-US" w:eastAsia="zh-CN"/>
              </w:rPr>
              <w:t>0.021</w:t>
            </w:r>
            <w:r>
              <w:rPr>
                <w:rFonts w:hint="default" w:ascii="Times New Roman" w:hAnsi="Times New Roman" w:cs="Times New Roman"/>
                <w:color w:val="auto"/>
                <w:sz w:val="24"/>
                <w:szCs w:val="24"/>
              </w:rPr>
              <w:t>t/a、</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color w:val="auto"/>
                <w:kern w:val="0"/>
                <w:sz w:val="24"/>
                <w:szCs w:val="24"/>
              </w:rPr>
              <w:t>≤</w:t>
            </w:r>
            <w:r>
              <w:rPr>
                <w:rFonts w:hint="default" w:ascii="Times New Roman" w:hAnsi="Times New Roman" w:cs="Times New Roman" w:eastAsiaTheme="minorEastAsia"/>
                <w:bCs/>
                <w:color w:val="auto"/>
                <w:sz w:val="24"/>
                <w:szCs w:val="24"/>
                <w:lang w:val="en-US" w:eastAsia="zh-CN"/>
              </w:rPr>
              <w:t>0.</w:t>
            </w:r>
            <w:r>
              <w:rPr>
                <w:rFonts w:hint="eastAsia" w:ascii="Times New Roman" w:hAnsi="Times New Roman" w:cs="Times New Roman" w:eastAsiaTheme="minorEastAsia"/>
                <w:bCs/>
                <w:color w:val="auto"/>
                <w:sz w:val="24"/>
                <w:szCs w:val="24"/>
                <w:lang w:val="en-US" w:eastAsia="zh-CN"/>
              </w:rPr>
              <w:t>0.026</w:t>
            </w:r>
            <w:r>
              <w:rPr>
                <w:rFonts w:hint="default" w:ascii="Times New Roman" w:hAnsi="Times New Roman" w:cs="Times New Roman"/>
                <w:color w:val="auto"/>
                <w:sz w:val="24"/>
                <w:szCs w:val="24"/>
              </w:rPr>
              <w:t>/</w:t>
            </w:r>
            <w:r>
              <w:rPr>
                <w:rFonts w:hint="eastAsia" w:ascii="Times New Roman" w:hAnsi="Times New Roman" w:cs="Times New Roman" w:eastAsiaTheme="minorEastAsia"/>
                <w:bCs/>
                <w:color w:val="auto"/>
                <w:sz w:val="24"/>
                <w:szCs w:val="24"/>
                <w:lang w:val="en-US" w:eastAsia="zh-CN"/>
              </w:rPr>
              <w:t>0.004</w:t>
            </w:r>
            <w:r>
              <w:rPr>
                <w:rFonts w:hint="default" w:ascii="Times New Roman" w:hAnsi="Times New Roman" w:cs="Times New Roman"/>
                <w:color w:val="auto"/>
                <w:sz w:val="24"/>
                <w:szCs w:val="24"/>
              </w:rPr>
              <w:t>t/a、SS</w:t>
            </w:r>
            <w:r>
              <w:rPr>
                <w:rFonts w:hint="default" w:ascii="Times New Roman" w:hAnsi="Times New Roman" w:cs="Times New Roman"/>
                <w:color w:val="auto"/>
                <w:kern w:val="0"/>
                <w:sz w:val="24"/>
                <w:szCs w:val="24"/>
              </w:rPr>
              <w:t>≤</w:t>
            </w:r>
            <w:r>
              <w:rPr>
                <w:rFonts w:hint="eastAsia" w:ascii="Times New Roman" w:hAnsi="Times New Roman" w:cs="Times New Roman" w:eastAsiaTheme="minorEastAsia"/>
                <w:bCs/>
                <w:color w:val="auto"/>
                <w:sz w:val="24"/>
                <w:szCs w:val="24"/>
                <w:lang w:val="en-US" w:eastAsia="zh-CN"/>
              </w:rPr>
              <w:t>0.0</w:t>
            </w:r>
            <w:r>
              <w:rPr>
                <w:rFonts w:hint="eastAsia" w:cs="Times New Roman" w:eastAsiaTheme="minorEastAsia"/>
                <w:bCs/>
                <w:color w:val="auto"/>
                <w:sz w:val="24"/>
                <w:szCs w:val="24"/>
                <w:lang w:val="en-US" w:eastAsia="zh-CN"/>
              </w:rPr>
              <w:t>21</w:t>
            </w:r>
            <w:r>
              <w:rPr>
                <w:rFonts w:hint="default" w:ascii="Times New Roman" w:hAnsi="Times New Roman" w:cs="Times New Roman"/>
                <w:color w:val="auto"/>
                <w:sz w:val="24"/>
                <w:szCs w:val="24"/>
              </w:rPr>
              <w:t>/</w:t>
            </w:r>
            <w:r>
              <w:rPr>
                <w:rFonts w:hint="default" w:ascii="Times New Roman" w:hAnsi="Times New Roman" w:cs="Times New Roman" w:eastAsiaTheme="minorEastAsia"/>
                <w:bCs/>
                <w:color w:val="auto"/>
                <w:sz w:val="24"/>
                <w:szCs w:val="24"/>
                <w:lang w:val="en-US" w:eastAsia="zh-CN"/>
              </w:rPr>
              <w:t>0.0</w:t>
            </w:r>
            <w:r>
              <w:rPr>
                <w:rFonts w:hint="eastAsia" w:cs="Times New Roman" w:eastAsiaTheme="minorEastAsia"/>
                <w:bCs/>
                <w:color w:val="auto"/>
                <w:sz w:val="24"/>
                <w:szCs w:val="24"/>
                <w:lang w:val="en-US" w:eastAsia="zh-CN"/>
              </w:rPr>
              <w:t>06</w:t>
            </w:r>
            <w:r>
              <w:rPr>
                <w:rFonts w:hint="default" w:ascii="Times New Roman" w:hAnsi="Times New Roman" w:cs="Times New Roman"/>
                <w:color w:val="auto"/>
                <w:sz w:val="24"/>
                <w:szCs w:val="24"/>
              </w:rPr>
              <w:t>t/a、氨氮</w:t>
            </w:r>
            <w:r>
              <w:rPr>
                <w:rFonts w:hint="default" w:ascii="Times New Roman" w:hAnsi="Times New Roman" w:cs="Times New Roman"/>
                <w:color w:val="auto"/>
                <w:kern w:val="0"/>
                <w:sz w:val="24"/>
                <w:szCs w:val="24"/>
              </w:rPr>
              <w:t>≤</w:t>
            </w:r>
            <w:r>
              <w:rPr>
                <w:rFonts w:hint="eastAsia" w:ascii="Times New Roman" w:hAnsi="Times New Roman" w:cs="Times New Roman" w:eastAsiaTheme="minorEastAsia"/>
                <w:bCs/>
                <w:color w:val="auto"/>
                <w:sz w:val="24"/>
                <w:szCs w:val="24"/>
                <w:lang w:val="en-US" w:eastAsia="zh-CN"/>
              </w:rPr>
              <w:t>0.007</w:t>
            </w:r>
            <w:r>
              <w:rPr>
                <w:rFonts w:hint="default" w:ascii="Times New Roman" w:hAnsi="Times New Roman" w:cs="Times New Roman"/>
                <w:color w:val="auto"/>
                <w:sz w:val="24"/>
                <w:szCs w:val="24"/>
              </w:rPr>
              <w:t>/</w:t>
            </w:r>
            <w:r>
              <w:rPr>
                <w:rFonts w:hint="default" w:ascii="Times New Roman" w:hAnsi="Times New Roman" w:cs="Times New Roman" w:eastAsiaTheme="minorEastAsia"/>
                <w:bCs/>
                <w:color w:val="auto"/>
                <w:sz w:val="24"/>
                <w:szCs w:val="24"/>
                <w:lang w:val="en-US" w:eastAsia="zh-CN"/>
              </w:rPr>
              <w:t>0.00</w:t>
            </w:r>
            <w:r>
              <w:rPr>
                <w:rFonts w:hint="eastAsia" w:cs="Times New Roman" w:eastAsiaTheme="minorEastAsia"/>
                <w:bCs/>
                <w:color w:val="auto"/>
                <w:sz w:val="24"/>
                <w:szCs w:val="24"/>
                <w:lang w:val="en-US" w:eastAsia="zh-CN"/>
              </w:rPr>
              <w:t>2</w:t>
            </w:r>
            <w:r>
              <w:rPr>
                <w:rFonts w:hint="default" w:ascii="Times New Roman" w:hAnsi="Times New Roman" w:cs="Times New Roman"/>
                <w:color w:val="auto"/>
                <w:sz w:val="24"/>
                <w:szCs w:val="24"/>
              </w:rPr>
              <w:t>t/a、总氮</w:t>
            </w:r>
            <w:r>
              <w:rPr>
                <w:rFonts w:hint="default" w:ascii="Times New Roman" w:hAnsi="Times New Roman" w:cs="Times New Roman"/>
                <w:color w:val="auto"/>
                <w:kern w:val="0"/>
                <w:sz w:val="24"/>
                <w:szCs w:val="24"/>
              </w:rPr>
              <w:t>≤</w:t>
            </w:r>
            <w:r>
              <w:rPr>
                <w:rFonts w:hint="eastAsia" w:ascii="Times New Roman" w:hAnsi="Times New Roman" w:cs="Times New Roman" w:eastAsiaTheme="minorEastAsia"/>
                <w:bCs/>
                <w:color w:val="auto"/>
                <w:sz w:val="24"/>
                <w:szCs w:val="24"/>
                <w:lang w:val="en-US" w:eastAsia="zh-CN"/>
              </w:rPr>
              <w:t>0.015</w:t>
            </w:r>
            <w:r>
              <w:rPr>
                <w:rFonts w:hint="default" w:ascii="Times New Roman" w:hAnsi="Times New Roman" w:cs="Times New Roman"/>
                <w:color w:val="auto"/>
                <w:sz w:val="24"/>
                <w:szCs w:val="24"/>
              </w:rPr>
              <w:t>/</w:t>
            </w:r>
            <w:r>
              <w:rPr>
                <w:rFonts w:hint="default" w:ascii="Times New Roman" w:hAnsi="Times New Roman" w:cs="Times New Roman" w:eastAsiaTheme="minorEastAsia"/>
                <w:bCs/>
                <w:color w:val="auto"/>
                <w:sz w:val="24"/>
                <w:szCs w:val="24"/>
                <w:lang w:val="en-US" w:eastAsia="zh-CN"/>
              </w:rPr>
              <w:t>0.0</w:t>
            </w:r>
            <w:r>
              <w:rPr>
                <w:rFonts w:hint="eastAsia" w:cs="Times New Roman" w:eastAsiaTheme="minorEastAsia"/>
                <w:bCs/>
                <w:color w:val="auto"/>
                <w:sz w:val="24"/>
                <w:szCs w:val="24"/>
                <w:lang w:val="en-US" w:eastAsia="zh-CN"/>
              </w:rPr>
              <w:t>05</w:t>
            </w:r>
            <w:r>
              <w:rPr>
                <w:rFonts w:hint="default" w:ascii="Times New Roman" w:hAnsi="Times New Roman" w:cs="Times New Roman"/>
                <w:color w:val="auto"/>
                <w:sz w:val="24"/>
                <w:szCs w:val="24"/>
              </w:rPr>
              <w:t>t/a、总磷</w:t>
            </w:r>
            <w:r>
              <w:rPr>
                <w:rFonts w:hint="default" w:ascii="Times New Roman" w:hAnsi="Times New Roman" w:cs="Times New Roman"/>
                <w:color w:val="auto"/>
                <w:kern w:val="0"/>
                <w:sz w:val="24"/>
                <w:szCs w:val="24"/>
              </w:rPr>
              <w:t>≤</w:t>
            </w:r>
            <w:r>
              <w:rPr>
                <w:rFonts w:hint="eastAsia" w:ascii="Times New Roman" w:hAnsi="Times New Roman" w:cs="Times New Roman" w:eastAsiaTheme="minorEastAsia"/>
                <w:bCs/>
                <w:color w:val="auto"/>
                <w:sz w:val="24"/>
                <w:szCs w:val="24"/>
                <w:lang w:val="en-US" w:eastAsia="zh-CN"/>
              </w:rPr>
              <w:t>0.002</w:t>
            </w:r>
            <w:r>
              <w:rPr>
                <w:rFonts w:hint="default" w:ascii="Times New Roman" w:hAnsi="Times New Roman" w:cs="Times New Roman"/>
                <w:color w:val="auto"/>
                <w:sz w:val="24"/>
                <w:szCs w:val="24"/>
              </w:rPr>
              <w:t>/</w:t>
            </w:r>
            <w:r>
              <w:rPr>
                <w:rFonts w:hint="default" w:ascii="Times New Roman" w:hAnsi="Times New Roman" w:cs="Times New Roman" w:eastAsiaTheme="minorEastAsia"/>
                <w:bCs/>
                <w:color w:val="auto"/>
                <w:sz w:val="24"/>
                <w:szCs w:val="24"/>
                <w:lang w:val="en-US" w:eastAsia="zh-CN"/>
              </w:rPr>
              <w:t>0.000</w:t>
            </w:r>
            <w:r>
              <w:rPr>
                <w:rFonts w:hint="eastAsia" w:cs="Times New Roman" w:eastAsiaTheme="minorEastAsia"/>
                <w:bCs/>
                <w:color w:val="auto"/>
                <w:sz w:val="24"/>
                <w:szCs w:val="24"/>
                <w:lang w:val="en-US" w:eastAsia="zh-CN"/>
              </w:rPr>
              <w:t>2</w:t>
            </w:r>
            <w:r>
              <w:rPr>
                <w:rFonts w:hint="default" w:ascii="Times New Roman" w:hAnsi="Times New Roman" w:cs="Times New Roman"/>
                <w:color w:val="auto"/>
                <w:sz w:val="24"/>
                <w:szCs w:val="24"/>
              </w:rPr>
              <w:t>t/a、</w:t>
            </w:r>
            <w:r>
              <w:rPr>
                <w:rFonts w:hint="default" w:ascii="Times New Roman" w:hAnsi="Times New Roman" w:cs="Times New Roman" w:eastAsiaTheme="minorEastAsia"/>
                <w:color w:val="auto"/>
                <w:sz w:val="24"/>
                <w:szCs w:val="24"/>
                <w:lang w:val="en-US" w:eastAsia="zh-CN"/>
              </w:rPr>
              <w:t>LAS</w:t>
            </w:r>
            <w:r>
              <w:rPr>
                <w:rFonts w:hint="default" w:ascii="Times New Roman" w:hAnsi="Times New Roman" w:cs="Times New Roman"/>
                <w:color w:val="auto"/>
                <w:kern w:val="0"/>
                <w:sz w:val="24"/>
                <w:szCs w:val="24"/>
              </w:rPr>
              <w:t>≤</w:t>
            </w:r>
            <w:r>
              <w:rPr>
                <w:rFonts w:hint="eastAsia" w:ascii="Times New Roman" w:hAnsi="Times New Roman" w:cs="Times New Roman" w:eastAsiaTheme="minorEastAsia"/>
                <w:bCs/>
                <w:color w:val="auto"/>
                <w:sz w:val="24"/>
                <w:szCs w:val="24"/>
                <w:lang w:val="en-US" w:eastAsia="zh-CN"/>
              </w:rPr>
              <w:t>0.002</w:t>
            </w:r>
            <w:r>
              <w:rPr>
                <w:rFonts w:hint="default" w:ascii="Times New Roman" w:hAnsi="Times New Roman" w:cs="Times New Roman"/>
                <w:color w:val="auto"/>
                <w:sz w:val="24"/>
                <w:szCs w:val="24"/>
              </w:rPr>
              <w:t>/</w:t>
            </w:r>
            <w:r>
              <w:rPr>
                <w:rFonts w:hint="default" w:ascii="Times New Roman" w:hAnsi="Times New Roman" w:cs="Times New Roman" w:eastAsiaTheme="minorEastAsia"/>
                <w:bCs/>
                <w:color w:val="auto"/>
                <w:sz w:val="24"/>
                <w:szCs w:val="24"/>
                <w:lang w:val="en-US" w:eastAsia="zh-CN"/>
              </w:rPr>
              <w:t>0.000</w:t>
            </w:r>
            <w:r>
              <w:rPr>
                <w:rFonts w:hint="eastAsia" w:cs="Times New Roman" w:eastAsiaTheme="minorEastAsia"/>
                <w:bCs/>
                <w:color w:val="auto"/>
                <w:sz w:val="24"/>
                <w:szCs w:val="24"/>
                <w:lang w:val="en-US" w:eastAsia="zh-CN"/>
              </w:rPr>
              <w:t>2</w:t>
            </w:r>
            <w:r>
              <w:rPr>
                <w:rFonts w:hint="default" w:ascii="Times New Roman" w:hAnsi="Times New Roman" w:cs="Times New Roman"/>
                <w:color w:val="auto"/>
                <w:sz w:val="24"/>
                <w:szCs w:val="24"/>
              </w:rPr>
              <w:t>t/a。</w:t>
            </w:r>
          </w:p>
          <w:p w14:paraId="2C2F9D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cs="Times New Roman" w:eastAsiaTheme="minorEastAsia"/>
                <w:color w:val="auto"/>
                <w:kern w:val="0"/>
                <w:sz w:val="24"/>
                <w:szCs w:val="24"/>
                <w:highlight w:val="none"/>
                <w:lang w:val="en-US" w:eastAsia="zh-CN"/>
              </w:rPr>
            </w:pPr>
            <w:r>
              <w:rPr>
                <w:rFonts w:hint="eastAsia" w:cs="Times New Roman"/>
                <w:color w:val="auto"/>
                <w:sz w:val="24"/>
                <w:szCs w:val="24"/>
                <w:lang w:val="en-US" w:eastAsia="zh-CN"/>
              </w:rPr>
              <w:t>本项目</w:t>
            </w:r>
            <w:r>
              <w:rPr>
                <w:rFonts w:hint="default" w:ascii="Times New Roman" w:hAnsi="Times New Roman" w:cs="Times New Roman"/>
                <w:color w:val="auto"/>
                <w:sz w:val="24"/>
                <w:szCs w:val="24"/>
                <w:lang w:val="en-US" w:eastAsia="zh-CN"/>
              </w:rPr>
              <w:t>生活污水</w:t>
            </w:r>
            <w:r>
              <w:rPr>
                <w:rFonts w:hint="default" w:ascii="Times New Roman" w:hAnsi="Times New Roman" w:cs="Times New Roman"/>
                <w:color w:val="auto"/>
                <w:sz w:val="24"/>
                <w:szCs w:val="24"/>
              </w:rPr>
              <w:t>接管总量/环境排放量为：废水量</w:t>
            </w:r>
            <w:r>
              <w:rPr>
                <w:rFonts w:hint="default" w:ascii="Times New Roman" w:hAnsi="Times New Roman" w:cs="Times New Roman"/>
                <w:color w:val="auto"/>
                <w:kern w:val="0"/>
                <w:sz w:val="24"/>
                <w:szCs w:val="24"/>
              </w:rPr>
              <w:t>≤</w:t>
            </w:r>
            <w:r>
              <w:rPr>
                <w:rFonts w:hint="eastAsia" w:ascii="Times New Roman" w:hAnsi="Times New Roman" w:eastAsia="宋体" w:cs="Times New Roman"/>
                <w:color w:val="auto"/>
                <w:kern w:val="2"/>
                <w:sz w:val="24"/>
                <w:szCs w:val="24"/>
                <w:lang w:val="en-US" w:eastAsia="zh-CN" w:bidi="ar-SA"/>
              </w:rPr>
              <w:t>675</w:t>
            </w:r>
            <w:r>
              <w:rPr>
                <w:rFonts w:hint="default" w:ascii="Times New Roman" w:hAnsi="Times New Roman" w:cs="Times New Roman"/>
                <w:color w:val="auto"/>
                <w:sz w:val="24"/>
                <w:szCs w:val="24"/>
              </w:rPr>
              <w:t>/</w:t>
            </w:r>
            <w:r>
              <w:rPr>
                <w:rFonts w:hint="eastAsia" w:ascii="Times New Roman" w:hAnsi="Times New Roman" w:eastAsia="宋体" w:cs="Times New Roman"/>
                <w:color w:val="auto"/>
                <w:kern w:val="2"/>
                <w:sz w:val="24"/>
                <w:szCs w:val="24"/>
                <w:lang w:val="en-US" w:eastAsia="zh-CN" w:bidi="ar-SA"/>
              </w:rPr>
              <w:t>675t</w:t>
            </w:r>
            <w:r>
              <w:rPr>
                <w:rFonts w:hint="default" w:ascii="Times New Roman" w:hAnsi="Times New Roman" w:cs="Times New Roman"/>
                <w:color w:val="auto"/>
                <w:sz w:val="24"/>
                <w:szCs w:val="24"/>
              </w:rPr>
              <w:t>/a，其中COD</w:t>
            </w:r>
            <w:r>
              <w:rPr>
                <w:rFonts w:hint="default" w:ascii="Times New Roman" w:hAnsi="Times New Roman" w:cs="Times New Roman"/>
                <w:color w:val="auto"/>
                <w:kern w:val="0"/>
                <w:sz w:val="24"/>
                <w:szCs w:val="24"/>
              </w:rPr>
              <w:t>≤</w:t>
            </w:r>
            <w:r>
              <w:rPr>
                <w:rFonts w:hint="default" w:ascii="Times New Roman" w:hAnsi="Times New Roman" w:eastAsia="宋体" w:cs="Times New Roman"/>
                <w:color w:val="auto"/>
                <w:kern w:val="2"/>
                <w:sz w:val="24"/>
                <w:szCs w:val="24"/>
                <w:lang w:val="en-US" w:eastAsia="zh-CN" w:bidi="ar-SA"/>
              </w:rPr>
              <w:t>0.189</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0.</w:t>
            </w:r>
            <w:r>
              <w:rPr>
                <w:rFonts w:hint="eastAsia" w:cs="Times New Roman"/>
                <w:color w:val="auto"/>
                <w:sz w:val="24"/>
                <w:szCs w:val="24"/>
                <w:lang w:val="en-US" w:eastAsia="zh-CN"/>
              </w:rPr>
              <w:t>034</w:t>
            </w:r>
            <w:r>
              <w:rPr>
                <w:rFonts w:hint="default" w:ascii="Times New Roman" w:hAnsi="Times New Roman" w:cs="Times New Roman"/>
                <w:color w:val="auto"/>
                <w:sz w:val="24"/>
                <w:szCs w:val="24"/>
              </w:rPr>
              <w:t>t/a、SS</w:t>
            </w:r>
            <w:r>
              <w:rPr>
                <w:rFonts w:hint="default" w:ascii="Times New Roman" w:hAnsi="Times New Roman" w:cs="Times New Roman"/>
                <w:color w:val="auto"/>
                <w:kern w:val="0"/>
                <w:sz w:val="24"/>
                <w:szCs w:val="24"/>
              </w:rPr>
              <w:t>≤</w:t>
            </w:r>
            <w:r>
              <w:rPr>
                <w:rFonts w:hint="eastAsia" w:cs="Times New Roman"/>
                <w:color w:val="auto"/>
                <w:kern w:val="0"/>
                <w:sz w:val="24"/>
                <w:szCs w:val="24"/>
                <w:lang w:val="en-US" w:eastAsia="zh-CN"/>
              </w:rPr>
              <w:t>0.135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0.</w:t>
            </w:r>
            <w:r>
              <w:rPr>
                <w:rFonts w:hint="eastAsia" w:cs="Times New Roman"/>
                <w:color w:val="auto"/>
                <w:sz w:val="24"/>
                <w:szCs w:val="24"/>
                <w:lang w:val="en-US" w:eastAsia="zh-CN"/>
              </w:rPr>
              <w:t>007</w:t>
            </w:r>
            <w:r>
              <w:rPr>
                <w:rFonts w:hint="default" w:ascii="Times New Roman" w:hAnsi="Times New Roman" w:cs="Times New Roman"/>
                <w:color w:val="auto"/>
                <w:sz w:val="24"/>
                <w:szCs w:val="24"/>
              </w:rPr>
              <w:t>t/a、氨氮</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0"/>
                <w:sz w:val="24"/>
                <w:szCs w:val="24"/>
                <w:lang w:val="en-US" w:eastAsia="zh-CN"/>
              </w:rPr>
              <w:t>0.</w:t>
            </w:r>
            <w:r>
              <w:rPr>
                <w:rFonts w:hint="eastAsia" w:cs="Times New Roman"/>
                <w:color w:val="auto"/>
                <w:kern w:val="0"/>
                <w:sz w:val="24"/>
                <w:szCs w:val="24"/>
                <w:lang w:val="en-US" w:eastAsia="zh-CN"/>
              </w:rPr>
              <w:t>02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0.0</w:t>
            </w:r>
            <w:r>
              <w:rPr>
                <w:rFonts w:hint="eastAsia" w:cs="Times New Roman"/>
                <w:color w:val="auto"/>
                <w:sz w:val="24"/>
                <w:szCs w:val="24"/>
                <w:lang w:val="en-US" w:eastAsia="zh-CN"/>
              </w:rPr>
              <w:t>03</w:t>
            </w:r>
            <w:r>
              <w:rPr>
                <w:rFonts w:hint="default" w:ascii="Times New Roman" w:hAnsi="Times New Roman" w:cs="Times New Roman"/>
                <w:color w:val="auto"/>
                <w:sz w:val="24"/>
                <w:szCs w:val="24"/>
              </w:rPr>
              <w:t>t/a、总氮</w:t>
            </w:r>
            <w:r>
              <w:rPr>
                <w:rFonts w:hint="default" w:ascii="Times New Roman" w:hAnsi="Times New Roman" w:cs="Times New Roman"/>
                <w:color w:val="auto"/>
                <w:kern w:val="0"/>
                <w:sz w:val="24"/>
                <w:szCs w:val="24"/>
              </w:rPr>
              <w:t>≤</w:t>
            </w:r>
            <w:r>
              <w:rPr>
                <w:rFonts w:hint="default" w:ascii="Times New Roman" w:hAnsi="Times New Roman" w:cs="Times New Roman"/>
                <w:color w:val="auto"/>
                <w:sz w:val="24"/>
                <w:szCs w:val="24"/>
              </w:rPr>
              <w:t>0.</w:t>
            </w:r>
            <w:r>
              <w:rPr>
                <w:rFonts w:hint="eastAsia" w:ascii="Times New Roman" w:hAnsi="Times New Roman" w:cs="Times New Roman"/>
                <w:color w:val="auto"/>
                <w:sz w:val="24"/>
                <w:szCs w:val="24"/>
                <w:lang w:val="en-US" w:eastAsia="zh-CN"/>
              </w:rPr>
              <w:t>02</w:t>
            </w:r>
            <w:r>
              <w:rPr>
                <w:rFonts w:hint="eastAsia" w:cs="Times New Roman"/>
                <w:color w:val="auto"/>
                <w:sz w:val="24"/>
                <w:szCs w:val="24"/>
                <w:lang w:val="en-US" w:eastAsia="zh-CN"/>
              </w:rPr>
              <w:t>7</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0.</w:t>
            </w:r>
            <w:r>
              <w:rPr>
                <w:rFonts w:hint="eastAsia" w:ascii="Times New Roman" w:hAnsi="Times New Roman" w:cs="Times New Roman"/>
                <w:color w:val="auto"/>
                <w:sz w:val="24"/>
                <w:szCs w:val="24"/>
                <w:lang w:val="en-US" w:eastAsia="zh-CN"/>
              </w:rPr>
              <w:t>01</w:t>
            </w:r>
            <w:r>
              <w:rPr>
                <w:rFonts w:hint="default" w:ascii="Times New Roman" w:hAnsi="Times New Roman" w:cs="Times New Roman"/>
                <w:color w:val="auto"/>
                <w:sz w:val="24"/>
                <w:szCs w:val="24"/>
              </w:rPr>
              <w:t>t/a、总磷</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0"/>
                <w:sz w:val="24"/>
                <w:szCs w:val="24"/>
                <w:lang w:val="en-US" w:eastAsia="zh-CN"/>
              </w:rPr>
              <w:t>0.0</w:t>
            </w:r>
            <w:r>
              <w:rPr>
                <w:rFonts w:hint="eastAsia" w:cs="Times New Roman"/>
                <w:color w:val="auto"/>
                <w:kern w:val="0"/>
                <w:sz w:val="24"/>
                <w:szCs w:val="24"/>
                <w:lang w:val="en-US" w:eastAsia="zh-CN"/>
              </w:rPr>
              <w:t>03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0.00</w:t>
            </w:r>
            <w:r>
              <w:rPr>
                <w:rFonts w:hint="eastAsia" w:ascii="Times New Roman" w:hAnsi="Times New Roman" w:cs="Times New Roman"/>
                <w:color w:val="auto"/>
                <w:sz w:val="24"/>
                <w:szCs w:val="24"/>
                <w:lang w:val="en-US" w:eastAsia="zh-CN"/>
              </w:rPr>
              <w:t>0</w:t>
            </w:r>
            <w:r>
              <w:rPr>
                <w:rFonts w:hint="eastAsia" w:cs="Times New Roman"/>
                <w:color w:val="auto"/>
                <w:sz w:val="24"/>
                <w:szCs w:val="24"/>
                <w:lang w:val="en-US" w:eastAsia="zh-CN"/>
              </w:rPr>
              <w:t>3</w:t>
            </w:r>
            <w:r>
              <w:rPr>
                <w:rFonts w:hint="default" w:ascii="Times New Roman" w:hAnsi="Times New Roman" w:cs="Times New Roman"/>
                <w:color w:val="auto"/>
                <w:sz w:val="24"/>
                <w:szCs w:val="24"/>
              </w:rPr>
              <w:t>t/a。</w:t>
            </w:r>
          </w:p>
          <w:p w14:paraId="27507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36" w:lineRule="auto"/>
              <w:ind w:left="0" w:right="0" w:firstLine="480" w:firstLineChars="200"/>
              <w:jc w:val="both"/>
              <w:textAlignment w:val="auto"/>
              <w:rPr>
                <w:rFonts w:hint="default" w:ascii="Times New Roman" w:hAnsi="Times New Roman" w:cs="Times New Roman" w:eastAsiaTheme="minorEastAsia"/>
                <w:color w:val="auto"/>
                <w:kern w:val="0"/>
                <w:sz w:val="24"/>
                <w:szCs w:val="24"/>
                <w:highlight w:val="none"/>
              </w:rPr>
            </w:pPr>
            <w:r>
              <w:rPr>
                <w:rFonts w:hint="eastAsia" w:cs="Times New Roman"/>
                <w:color w:val="auto"/>
                <w:kern w:val="0"/>
                <w:sz w:val="24"/>
                <w:szCs w:val="24"/>
                <w:lang w:val="en-US" w:eastAsia="zh-CN"/>
              </w:rPr>
              <w:t>本项目</w:t>
            </w:r>
            <w:r>
              <w:rPr>
                <w:rFonts w:hint="default" w:ascii="Times New Roman" w:hAnsi="Times New Roman" w:eastAsia="宋体" w:cs="Times New Roman"/>
                <w:color w:val="auto"/>
                <w:kern w:val="0"/>
                <w:sz w:val="24"/>
                <w:szCs w:val="24"/>
                <w:lang w:val="en-US" w:eastAsia="zh-CN"/>
              </w:rPr>
              <w:t>综合废水排放量</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接管量/环境外排量</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为：废水量</w:t>
            </w:r>
            <w:r>
              <w:rPr>
                <w:rFonts w:hint="default" w:ascii="Times New Roman" w:hAnsi="Times New Roman" w:cs="Times New Roman"/>
                <w:color w:val="auto"/>
                <w:kern w:val="0"/>
                <w:sz w:val="24"/>
                <w:szCs w:val="24"/>
              </w:rPr>
              <w:t>≤</w:t>
            </w:r>
            <w:r>
              <w:rPr>
                <w:rFonts w:hint="eastAsia" w:cs="Times New Roman"/>
                <w:color w:val="auto"/>
                <w:kern w:val="2"/>
                <w:sz w:val="24"/>
                <w:szCs w:val="24"/>
                <w:lang w:val="en-US" w:eastAsia="zh-CN" w:bidi="ar-SA"/>
              </w:rPr>
              <w:t>1383.3</w:t>
            </w:r>
            <w:r>
              <w:rPr>
                <w:rFonts w:hint="default" w:ascii="Times New Roman" w:hAnsi="Times New Roman" w:cs="Times New Roman"/>
                <w:color w:val="auto"/>
                <w:sz w:val="24"/>
                <w:szCs w:val="24"/>
              </w:rPr>
              <w:t>/</w:t>
            </w:r>
            <w:r>
              <w:rPr>
                <w:rFonts w:hint="eastAsia" w:cs="Times New Roman"/>
                <w:color w:val="auto"/>
                <w:kern w:val="2"/>
                <w:sz w:val="24"/>
                <w:szCs w:val="24"/>
                <w:lang w:val="en-US" w:eastAsia="zh-CN" w:bidi="ar-SA"/>
              </w:rPr>
              <w:t>1383.3</w:t>
            </w:r>
            <w:r>
              <w:rPr>
                <w:rFonts w:hint="eastAsia" w:cs="Times New Roman" w:eastAsiaTheme="minorEastAsia"/>
                <w:color w:val="auto"/>
                <w:sz w:val="24"/>
                <w:szCs w:val="24"/>
                <w:lang w:val="en-US" w:eastAsia="zh-CN"/>
              </w:rPr>
              <w:t>t</w:t>
            </w:r>
            <w:r>
              <w:rPr>
                <w:rFonts w:hint="default" w:ascii="Times New Roman" w:hAnsi="Times New Roman" w:cs="Times New Roman"/>
                <w:color w:val="auto"/>
                <w:sz w:val="24"/>
                <w:szCs w:val="24"/>
              </w:rPr>
              <w:t>/a，其中COD</w:t>
            </w:r>
            <w:r>
              <w:rPr>
                <w:rFonts w:hint="default" w:ascii="Times New Roman" w:hAnsi="Times New Roman" w:cs="Times New Roman"/>
                <w:color w:val="auto"/>
                <w:kern w:val="0"/>
                <w:sz w:val="24"/>
                <w:szCs w:val="24"/>
              </w:rPr>
              <w:t>≤</w:t>
            </w:r>
            <w:r>
              <w:rPr>
                <w:rFonts w:hint="default" w:ascii="Times New Roman" w:hAnsi="Times New Roman" w:eastAsia="宋体" w:cs="Times New Roman"/>
                <w:color w:val="auto"/>
                <w:kern w:val="2"/>
                <w:sz w:val="24"/>
                <w:szCs w:val="24"/>
                <w:lang w:val="en-US" w:eastAsia="zh-CN" w:bidi="ar-SA"/>
              </w:rPr>
              <w:t>0.23</w:t>
            </w:r>
            <w:r>
              <w:rPr>
                <w:rFonts w:hint="eastAsia" w:ascii="Times New Roman" w:hAnsi="Times New Roman" w:eastAsia="宋体" w:cs="Times New Roman"/>
                <w:color w:val="auto"/>
                <w:kern w:val="2"/>
                <w:sz w:val="24"/>
                <w:szCs w:val="24"/>
                <w:lang w:val="en-US" w:eastAsia="zh-CN" w:bidi="ar-SA"/>
              </w:rPr>
              <w:t>7</w:t>
            </w:r>
            <w:r>
              <w:rPr>
                <w:rFonts w:hint="default" w:ascii="Times New Roman" w:hAnsi="Times New Roman" w:cs="Times New Roman"/>
                <w:color w:val="auto"/>
                <w:sz w:val="24"/>
                <w:szCs w:val="24"/>
              </w:rPr>
              <w:t>/</w:t>
            </w:r>
            <w:r>
              <w:rPr>
                <w:rFonts w:hint="eastAsia" w:ascii="Times New Roman" w:hAnsi="Times New Roman" w:cs="Times New Roman" w:eastAsiaTheme="minorEastAsia"/>
                <w:bCs/>
                <w:color w:val="auto"/>
                <w:sz w:val="24"/>
                <w:szCs w:val="24"/>
                <w:lang w:val="en-US" w:eastAsia="zh-CN"/>
              </w:rPr>
              <w:t>0.055</w:t>
            </w:r>
            <w:r>
              <w:rPr>
                <w:rFonts w:hint="default" w:ascii="Times New Roman" w:hAnsi="Times New Roman" w:cs="Times New Roman"/>
                <w:color w:val="auto"/>
                <w:sz w:val="24"/>
                <w:szCs w:val="24"/>
              </w:rPr>
              <w:t>t/a、</w:t>
            </w:r>
            <w:r>
              <w:rPr>
                <w:rFonts w:hint="default" w:ascii="Times New Roman" w:hAnsi="Times New Roman" w:cs="Times New Roman" w:eastAsiaTheme="minorEastAsia"/>
                <w:color w:val="auto"/>
                <w:sz w:val="24"/>
                <w:szCs w:val="24"/>
                <w:lang w:val="en-US" w:eastAsia="zh-CN"/>
              </w:rPr>
              <w:t>BOD</w:t>
            </w:r>
            <w:r>
              <w:rPr>
                <w:rFonts w:hint="default" w:ascii="Times New Roman" w:hAnsi="Times New Roman" w:cs="Times New Roman" w:eastAsiaTheme="minorEastAsia"/>
                <w:color w:val="auto"/>
                <w:sz w:val="24"/>
                <w:szCs w:val="24"/>
                <w:vertAlign w:val="subscript"/>
                <w:lang w:val="en-US" w:eastAsia="zh-CN"/>
              </w:rPr>
              <w:t>5</w:t>
            </w:r>
            <w:r>
              <w:rPr>
                <w:rFonts w:hint="default" w:ascii="Times New Roman" w:hAnsi="Times New Roman" w:cs="Times New Roman"/>
                <w:color w:val="auto"/>
                <w:kern w:val="0"/>
                <w:sz w:val="24"/>
                <w:szCs w:val="24"/>
              </w:rPr>
              <w:t>≤</w:t>
            </w:r>
            <w:r>
              <w:rPr>
                <w:rFonts w:hint="default" w:ascii="Times New Roman" w:hAnsi="Times New Roman" w:cs="Times New Roman" w:eastAsiaTheme="minorEastAsia"/>
                <w:bCs/>
                <w:color w:val="auto"/>
                <w:sz w:val="24"/>
                <w:szCs w:val="24"/>
                <w:lang w:val="en-US" w:eastAsia="zh-CN"/>
              </w:rPr>
              <w:t>0.</w:t>
            </w:r>
            <w:r>
              <w:rPr>
                <w:rFonts w:hint="eastAsia" w:ascii="Times New Roman" w:hAnsi="Times New Roman" w:cs="Times New Roman" w:eastAsiaTheme="minorEastAsia"/>
                <w:bCs/>
                <w:color w:val="auto"/>
                <w:sz w:val="24"/>
                <w:szCs w:val="24"/>
                <w:lang w:val="en-US" w:eastAsia="zh-CN"/>
              </w:rPr>
              <w:t>0.026</w:t>
            </w:r>
            <w:r>
              <w:rPr>
                <w:rFonts w:hint="default" w:ascii="Times New Roman" w:hAnsi="Times New Roman" w:cs="Times New Roman"/>
                <w:color w:val="auto"/>
                <w:sz w:val="24"/>
                <w:szCs w:val="24"/>
              </w:rPr>
              <w:t>/</w:t>
            </w:r>
            <w:r>
              <w:rPr>
                <w:rFonts w:hint="eastAsia" w:ascii="Times New Roman" w:hAnsi="Times New Roman" w:cs="Times New Roman" w:eastAsiaTheme="minorEastAsia"/>
                <w:bCs/>
                <w:color w:val="auto"/>
                <w:sz w:val="24"/>
                <w:szCs w:val="24"/>
                <w:lang w:val="en-US" w:eastAsia="zh-CN"/>
              </w:rPr>
              <w:t>0.004</w:t>
            </w:r>
            <w:r>
              <w:rPr>
                <w:rFonts w:hint="default" w:ascii="Times New Roman" w:hAnsi="Times New Roman" w:cs="Times New Roman"/>
                <w:color w:val="auto"/>
                <w:sz w:val="24"/>
                <w:szCs w:val="24"/>
              </w:rPr>
              <w:t>t/a、SS</w:t>
            </w:r>
            <w:r>
              <w:rPr>
                <w:rFonts w:hint="default" w:ascii="Times New Roman" w:hAnsi="Times New Roman" w:cs="Times New Roman"/>
                <w:color w:val="auto"/>
                <w:kern w:val="0"/>
                <w:sz w:val="24"/>
                <w:szCs w:val="24"/>
              </w:rPr>
              <w:t>≤</w:t>
            </w:r>
            <w:r>
              <w:rPr>
                <w:rFonts w:hint="default" w:ascii="Times New Roman" w:hAnsi="Times New Roman" w:eastAsia="宋体" w:cs="Times New Roman"/>
                <w:color w:val="auto"/>
                <w:kern w:val="2"/>
                <w:sz w:val="24"/>
                <w:szCs w:val="24"/>
                <w:lang w:val="en-US" w:eastAsia="zh-CN" w:bidi="ar-SA"/>
              </w:rPr>
              <w:t>0.15</w:t>
            </w:r>
            <w:r>
              <w:rPr>
                <w:rFonts w:hint="eastAsia" w:ascii="Times New Roman" w:hAnsi="Times New Roman" w:eastAsia="宋体" w:cs="Times New Roman"/>
                <w:color w:val="auto"/>
                <w:kern w:val="2"/>
                <w:sz w:val="24"/>
                <w:szCs w:val="24"/>
                <w:lang w:val="en-US" w:eastAsia="zh-CN" w:bidi="ar-SA"/>
              </w:rPr>
              <w:t>6</w:t>
            </w:r>
            <w:r>
              <w:rPr>
                <w:rFonts w:hint="default" w:ascii="Times New Roman" w:hAnsi="Times New Roman" w:cs="Times New Roman"/>
                <w:color w:val="auto"/>
                <w:sz w:val="24"/>
                <w:szCs w:val="24"/>
              </w:rPr>
              <w:t>/</w:t>
            </w:r>
            <w:r>
              <w:rPr>
                <w:rFonts w:hint="default" w:ascii="Times New Roman" w:hAnsi="Times New Roman" w:cs="Times New Roman" w:eastAsiaTheme="minorEastAsia"/>
                <w:bCs/>
                <w:color w:val="auto"/>
                <w:sz w:val="24"/>
                <w:szCs w:val="24"/>
                <w:lang w:val="en-US" w:eastAsia="zh-CN"/>
              </w:rPr>
              <w:t>0.0</w:t>
            </w:r>
            <w:r>
              <w:rPr>
                <w:rFonts w:hint="eastAsia" w:cs="Times New Roman" w:eastAsiaTheme="minorEastAsia"/>
                <w:bCs/>
                <w:color w:val="auto"/>
                <w:sz w:val="24"/>
                <w:szCs w:val="24"/>
                <w:lang w:val="en-US" w:eastAsia="zh-CN"/>
              </w:rPr>
              <w:t>13</w:t>
            </w:r>
            <w:r>
              <w:rPr>
                <w:rFonts w:hint="default" w:ascii="Times New Roman" w:hAnsi="Times New Roman" w:cs="Times New Roman"/>
                <w:color w:val="auto"/>
                <w:sz w:val="24"/>
                <w:szCs w:val="24"/>
              </w:rPr>
              <w:t>t/a、氨氮</w:t>
            </w:r>
            <w:r>
              <w:rPr>
                <w:rFonts w:hint="default" w:ascii="Times New Roman" w:hAnsi="Times New Roman" w:cs="Times New Roman"/>
                <w:color w:val="auto"/>
                <w:kern w:val="0"/>
                <w:sz w:val="24"/>
                <w:szCs w:val="24"/>
              </w:rPr>
              <w:t>≤</w:t>
            </w:r>
            <w:r>
              <w:rPr>
                <w:rFonts w:hint="eastAsia" w:ascii="Times New Roman" w:hAnsi="Times New Roman" w:cs="Times New Roman" w:eastAsiaTheme="minorEastAsia"/>
                <w:bCs/>
                <w:color w:val="auto"/>
                <w:sz w:val="24"/>
                <w:szCs w:val="24"/>
                <w:lang w:val="en-US" w:eastAsia="zh-CN"/>
              </w:rPr>
              <w:t>0.027</w:t>
            </w:r>
            <w:r>
              <w:rPr>
                <w:rFonts w:hint="default" w:ascii="Times New Roman" w:hAnsi="Times New Roman" w:cs="Times New Roman"/>
                <w:color w:val="auto"/>
                <w:sz w:val="24"/>
                <w:szCs w:val="24"/>
              </w:rPr>
              <w:t>/</w:t>
            </w:r>
            <w:r>
              <w:rPr>
                <w:rFonts w:hint="default" w:ascii="Times New Roman" w:hAnsi="Times New Roman" w:cs="Times New Roman" w:eastAsiaTheme="minorEastAsia"/>
                <w:bCs/>
                <w:color w:val="auto"/>
                <w:sz w:val="24"/>
                <w:szCs w:val="24"/>
                <w:lang w:val="en-US" w:eastAsia="zh-CN"/>
              </w:rPr>
              <w:t>0.00</w:t>
            </w:r>
            <w:r>
              <w:rPr>
                <w:rFonts w:hint="eastAsia" w:cs="Times New Roman" w:eastAsiaTheme="minorEastAsia"/>
                <w:bCs/>
                <w:color w:val="auto"/>
                <w:sz w:val="24"/>
                <w:szCs w:val="24"/>
                <w:lang w:val="en-US" w:eastAsia="zh-CN"/>
              </w:rPr>
              <w:t>5</w:t>
            </w:r>
            <w:r>
              <w:rPr>
                <w:rFonts w:hint="default" w:ascii="Times New Roman" w:hAnsi="Times New Roman" w:cs="Times New Roman"/>
                <w:color w:val="auto"/>
                <w:sz w:val="24"/>
                <w:szCs w:val="24"/>
              </w:rPr>
              <w:t>t/a、总氮</w:t>
            </w:r>
            <w:r>
              <w:rPr>
                <w:rFonts w:hint="default" w:ascii="Times New Roman" w:hAnsi="Times New Roman" w:cs="Times New Roman"/>
                <w:color w:val="auto"/>
                <w:kern w:val="0"/>
                <w:sz w:val="24"/>
                <w:szCs w:val="24"/>
              </w:rPr>
              <w:t>≤</w:t>
            </w:r>
            <w:r>
              <w:rPr>
                <w:rFonts w:hint="eastAsia" w:ascii="Times New Roman" w:hAnsi="Times New Roman" w:cs="Times New Roman" w:eastAsiaTheme="minorEastAsia"/>
                <w:bCs/>
                <w:color w:val="auto"/>
                <w:sz w:val="24"/>
                <w:szCs w:val="24"/>
                <w:lang w:val="en-US" w:eastAsia="zh-CN"/>
              </w:rPr>
              <w:t>0.042</w:t>
            </w:r>
            <w:r>
              <w:rPr>
                <w:rFonts w:hint="default" w:ascii="Times New Roman" w:hAnsi="Times New Roman" w:cs="Times New Roman"/>
                <w:color w:val="auto"/>
                <w:sz w:val="24"/>
                <w:szCs w:val="24"/>
              </w:rPr>
              <w:t>/</w:t>
            </w:r>
            <w:r>
              <w:rPr>
                <w:rFonts w:hint="default" w:ascii="Times New Roman" w:hAnsi="Times New Roman" w:cs="Times New Roman" w:eastAsiaTheme="minorEastAsia"/>
                <w:bCs/>
                <w:color w:val="auto"/>
                <w:sz w:val="24"/>
                <w:szCs w:val="24"/>
                <w:lang w:val="en-US" w:eastAsia="zh-CN"/>
              </w:rPr>
              <w:t>0.0</w:t>
            </w:r>
            <w:r>
              <w:rPr>
                <w:rFonts w:hint="eastAsia" w:cs="Times New Roman" w:eastAsiaTheme="minorEastAsia"/>
                <w:bCs/>
                <w:color w:val="auto"/>
                <w:sz w:val="24"/>
                <w:szCs w:val="24"/>
                <w:lang w:val="en-US" w:eastAsia="zh-CN"/>
              </w:rPr>
              <w:t>15</w:t>
            </w:r>
            <w:r>
              <w:rPr>
                <w:rFonts w:hint="default" w:ascii="Times New Roman" w:hAnsi="Times New Roman" w:cs="Times New Roman"/>
                <w:color w:val="auto"/>
                <w:sz w:val="24"/>
                <w:szCs w:val="24"/>
              </w:rPr>
              <w:t>t/a、总磷</w:t>
            </w:r>
            <w:r>
              <w:rPr>
                <w:rFonts w:hint="default" w:ascii="Times New Roman" w:hAnsi="Times New Roman" w:cs="Times New Roman"/>
                <w:color w:val="auto"/>
                <w:kern w:val="0"/>
                <w:sz w:val="24"/>
                <w:szCs w:val="24"/>
              </w:rPr>
              <w:t>≤</w:t>
            </w:r>
            <w:r>
              <w:rPr>
                <w:rFonts w:hint="eastAsia" w:ascii="Times New Roman" w:hAnsi="Times New Roman" w:cs="Times New Roman" w:eastAsiaTheme="minorEastAsia"/>
                <w:bCs/>
                <w:color w:val="auto"/>
                <w:sz w:val="24"/>
                <w:szCs w:val="24"/>
                <w:lang w:val="en-US" w:eastAsia="zh-CN"/>
              </w:rPr>
              <w:t>0.005</w:t>
            </w:r>
            <w:r>
              <w:rPr>
                <w:rFonts w:hint="default" w:ascii="Times New Roman" w:hAnsi="Times New Roman" w:cs="Times New Roman"/>
                <w:color w:val="auto"/>
                <w:sz w:val="24"/>
                <w:szCs w:val="24"/>
              </w:rPr>
              <w:t>/</w:t>
            </w:r>
            <w:r>
              <w:rPr>
                <w:rFonts w:hint="default" w:ascii="Times New Roman" w:hAnsi="Times New Roman" w:cs="Times New Roman" w:eastAsiaTheme="minorEastAsia"/>
                <w:bCs/>
                <w:color w:val="auto"/>
                <w:sz w:val="24"/>
                <w:szCs w:val="24"/>
                <w:lang w:val="en-US" w:eastAsia="zh-CN"/>
              </w:rPr>
              <w:t>0.000</w:t>
            </w:r>
            <w:r>
              <w:rPr>
                <w:rFonts w:hint="eastAsia" w:cs="Times New Roman" w:eastAsiaTheme="minorEastAsia"/>
                <w:bCs/>
                <w:color w:val="auto"/>
                <w:sz w:val="24"/>
                <w:szCs w:val="24"/>
                <w:lang w:val="en-US" w:eastAsia="zh-CN"/>
              </w:rPr>
              <w:t>5</w:t>
            </w:r>
            <w:r>
              <w:rPr>
                <w:rFonts w:hint="default" w:ascii="Times New Roman" w:hAnsi="Times New Roman" w:cs="Times New Roman"/>
                <w:color w:val="auto"/>
                <w:sz w:val="24"/>
                <w:szCs w:val="24"/>
              </w:rPr>
              <w:t>t/a、</w:t>
            </w:r>
            <w:r>
              <w:rPr>
                <w:rFonts w:hint="default" w:ascii="Times New Roman" w:hAnsi="Times New Roman" w:cs="Times New Roman" w:eastAsiaTheme="minorEastAsia"/>
                <w:color w:val="auto"/>
                <w:sz w:val="24"/>
                <w:szCs w:val="24"/>
                <w:lang w:val="en-US" w:eastAsia="zh-CN"/>
              </w:rPr>
              <w:t>LAS</w:t>
            </w:r>
            <w:r>
              <w:rPr>
                <w:rFonts w:hint="default" w:ascii="Times New Roman" w:hAnsi="Times New Roman" w:cs="Times New Roman"/>
                <w:color w:val="auto"/>
                <w:kern w:val="0"/>
                <w:sz w:val="24"/>
                <w:szCs w:val="24"/>
              </w:rPr>
              <w:t>≤</w:t>
            </w:r>
            <w:r>
              <w:rPr>
                <w:rFonts w:hint="eastAsia" w:ascii="Times New Roman" w:hAnsi="Times New Roman" w:cs="Times New Roman" w:eastAsiaTheme="minorEastAsia"/>
                <w:bCs/>
                <w:color w:val="auto"/>
                <w:sz w:val="24"/>
                <w:szCs w:val="24"/>
                <w:lang w:val="en-US" w:eastAsia="zh-CN"/>
              </w:rPr>
              <w:t>0.002</w:t>
            </w:r>
            <w:r>
              <w:rPr>
                <w:rFonts w:hint="default" w:ascii="Times New Roman" w:hAnsi="Times New Roman" w:cs="Times New Roman"/>
                <w:color w:val="auto"/>
                <w:sz w:val="24"/>
                <w:szCs w:val="24"/>
              </w:rPr>
              <w:t>/</w:t>
            </w:r>
            <w:r>
              <w:rPr>
                <w:rFonts w:hint="default" w:ascii="Times New Roman" w:hAnsi="Times New Roman" w:cs="Times New Roman" w:eastAsiaTheme="minorEastAsia"/>
                <w:bCs/>
                <w:color w:val="auto"/>
                <w:sz w:val="24"/>
                <w:szCs w:val="24"/>
                <w:lang w:val="en-US" w:eastAsia="zh-CN"/>
              </w:rPr>
              <w:t>0.000</w:t>
            </w:r>
            <w:r>
              <w:rPr>
                <w:rFonts w:hint="eastAsia" w:cs="Times New Roman" w:eastAsiaTheme="minorEastAsia"/>
                <w:bCs/>
                <w:color w:val="auto"/>
                <w:sz w:val="24"/>
                <w:szCs w:val="24"/>
                <w:lang w:val="en-US" w:eastAsia="zh-CN"/>
              </w:rPr>
              <w:t>2</w:t>
            </w:r>
            <w:r>
              <w:rPr>
                <w:rFonts w:hint="default" w:ascii="Times New Roman" w:hAnsi="Times New Roman" w:cs="Times New Roman"/>
                <w:color w:val="auto"/>
                <w:sz w:val="24"/>
                <w:szCs w:val="24"/>
              </w:rPr>
              <w:t>t/a</w:t>
            </w:r>
            <w:r>
              <w:rPr>
                <w:rFonts w:hint="default" w:ascii="Times New Roman" w:hAnsi="Times New Roman" w:cs="Times New Roman" w:eastAsiaTheme="minorEastAsia"/>
                <w:color w:val="auto"/>
                <w:kern w:val="0"/>
                <w:sz w:val="24"/>
                <w:szCs w:val="24"/>
                <w:highlight w:val="none"/>
              </w:rPr>
              <w:t>。</w:t>
            </w:r>
          </w:p>
          <w:p w14:paraId="605168CF">
            <w:pPr>
              <w:keepNext w:val="0"/>
              <w:keepLines w:val="0"/>
              <w:widowControl/>
              <w:numPr>
                <w:ilvl w:val="0"/>
                <w:numId w:val="10"/>
              </w:numPr>
              <w:suppressLineNumbers w:val="0"/>
              <w:tabs>
                <w:tab w:val="left" w:pos="4922"/>
              </w:tabs>
              <w:adjustRightInd w:val="0"/>
              <w:snapToGrid w:val="0"/>
              <w:spacing w:before="0" w:beforeAutospacing="0" w:after="0" w:afterAutospacing="0" w:line="276" w:lineRule="auto"/>
              <w:ind w:left="0" w:right="0" w:firstLine="200"/>
              <w:jc w:val="left"/>
              <w:rPr>
                <w:rFonts w:hint="eastAsia" w:eastAsiaTheme="minorEastAsia"/>
                <w:color w:val="auto"/>
                <w:kern w:val="0"/>
                <w:sz w:val="24"/>
                <w:szCs w:val="24"/>
              </w:rPr>
            </w:pPr>
            <w:r>
              <w:rPr>
                <w:rFonts w:hint="eastAsia" w:eastAsiaTheme="minorEastAsia"/>
                <w:color w:val="auto"/>
                <w:kern w:val="0"/>
                <w:sz w:val="24"/>
                <w:szCs w:val="24"/>
              </w:rPr>
              <w:t>固废</w:t>
            </w:r>
          </w:p>
          <w:p w14:paraId="3B60AB38">
            <w:pPr>
              <w:keepNext w:val="0"/>
              <w:keepLines w:val="0"/>
              <w:widowControl/>
              <w:numPr>
                <w:ilvl w:val="0"/>
                <w:numId w:val="0"/>
              </w:numPr>
              <w:suppressLineNumbers w:val="0"/>
              <w:tabs>
                <w:tab w:val="left" w:pos="4922"/>
              </w:tabs>
              <w:adjustRightInd w:val="0"/>
              <w:snapToGrid w:val="0"/>
              <w:spacing w:before="0" w:beforeAutospacing="0" w:after="0" w:afterAutospacing="0" w:line="276" w:lineRule="auto"/>
              <w:ind w:left="480" w:leftChars="200" w:right="0" w:rightChars="0"/>
              <w:jc w:val="left"/>
              <w:rPr>
                <w:rFonts w:hint="default"/>
                <w:color w:val="auto"/>
                <w:lang w:val="en-US" w:eastAsia="zh-CN"/>
              </w:rPr>
            </w:pPr>
            <w:r>
              <w:rPr>
                <w:rFonts w:hint="eastAsia"/>
                <w:color w:val="auto"/>
                <w:sz w:val="24"/>
                <w:szCs w:val="24"/>
              </w:rPr>
              <w:t>所有固废均进行无害化处理处置或综合利用，外排量为零。</w:t>
            </w:r>
          </w:p>
        </w:tc>
      </w:tr>
    </w:tbl>
    <w:p w14:paraId="39583DD7">
      <w:pPr>
        <w:ind w:left="0" w:leftChars="0" w:firstLine="0" w:firstLineChars="0"/>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A3DA6AC">
      <w:pPr>
        <w:numPr>
          <w:ilvl w:val="0"/>
          <w:numId w:val="0"/>
        </w:numPr>
        <w:spacing w:line="240" w:lineRule="auto"/>
        <w:ind w:firstLine="0" w:firstLineChars="0"/>
        <w:jc w:val="center"/>
        <w:outlineLvl w:val="0"/>
        <w:rPr>
          <w:rFonts w:hint="eastAsia"/>
          <w:b/>
          <w:bCs/>
          <w:color w:val="auto"/>
          <w:sz w:val="28"/>
          <w:szCs w:val="28"/>
          <w:lang w:val="en-US" w:eastAsia="zh-CN"/>
        </w:rPr>
      </w:pPr>
      <w:bookmarkStart w:id="13" w:name="_Toc28152"/>
      <w:bookmarkStart w:id="14" w:name="_Toc24747"/>
      <w:r>
        <w:rPr>
          <w:rFonts w:hint="eastAsia" w:cstheme="minorBidi"/>
          <w:b/>
          <w:bCs/>
          <w:color w:val="auto"/>
          <w:kern w:val="2"/>
          <w:sz w:val="28"/>
          <w:szCs w:val="28"/>
          <w:lang w:val="en-US" w:eastAsia="zh-CN" w:bidi="ar-SA"/>
        </w:rPr>
        <w:t>四</w:t>
      </w:r>
      <w:r>
        <w:rPr>
          <w:rFonts w:hint="eastAsia" w:ascii="Times New Roman" w:hAnsi="Times New Roman" w:eastAsia="宋体" w:cstheme="minorBidi"/>
          <w:b/>
          <w:bCs/>
          <w:color w:val="auto"/>
          <w:kern w:val="2"/>
          <w:sz w:val="28"/>
          <w:szCs w:val="28"/>
          <w:lang w:val="en-US" w:eastAsia="zh-CN" w:bidi="ar-SA"/>
        </w:rPr>
        <w:t>、</w:t>
      </w:r>
      <w:r>
        <w:rPr>
          <w:rFonts w:hint="eastAsia"/>
          <w:b/>
          <w:bCs/>
          <w:color w:val="auto"/>
          <w:sz w:val="28"/>
          <w:szCs w:val="28"/>
          <w:lang w:val="en-US" w:eastAsia="zh-CN"/>
        </w:rPr>
        <w:t>主要环境影响和保护措施</w:t>
      </w:r>
      <w:bookmarkEnd w:id="13"/>
      <w:bookmarkEnd w:id="14"/>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7963"/>
      </w:tblGrid>
      <w:tr w14:paraId="7739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vAlign w:val="center"/>
          </w:tcPr>
          <w:p w14:paraId="3D8DE9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b/>
                <w:bCs/>
                <w:color w:val="auto"/>
                <w:vertAlign w:val="baseline"/>
                <w:lang w:val="en-US" w:eastAsia="zh-CN"/>
              </w:rPr>
            </w:pPr>
            <w:r>
              <w:rPr>
                <w:rFonts w:hint="eastAsia"/>
                <w:b/>
                <w:bCs/>
                <w:color w:val="auto"/>
                <w:vertAlign w:val="baseline"/>
                <w:lang w:val="en-US" w:eastAsia="zh-CN"/>
              </w:rPr>
              <w:t>施工期环境保护措施</w:t>
            </w:r>
          </w:p>
        </w:tc>
        <w:tc>
          <w:tcPr>
            <w:tcW w:w="7963" w:type="dxa"/>
          </w:tcPr>
          <w:p w14:paraId="6430C506">
            <w:pPr>
              <w:keepNext w:val="0"/>
              <w:keepLines w:val="0"/>
              <w:suppressLineNumbers w:val="0"/>
              <w:autoSpaceDE w:val="0"/>
              <w:autoSpaceDN w:val="0"/>
              <w:adjustRightInd w:val="0"/>
              <w:snapToGrid w:val="0"/>
              <w:spacing w:before="120" w:beforeLines="50" w:beforeAutospacing="0" w:after="0" w:afterAutospacing="0" w:line="360" w:lineRule="auto"/>
              <w:ind w:left="0" w:right="0" w:firstLine="480" w:firstLineChars="200"/>
              <w:jc w:val="left"/>
              <w:rPr>
                <w:rFonts w:hint="eastAsia" w:eastAsiaTheme="minorEastAsia"/>
                <w:color w:val="auto"/>
                <w:kern w:val="0"/>
                <w:sz w:val="24"/>
              </w:rPr>
            </w:pPr>
            <w:r>
              <w:rPr>
                <w:rFonts w:hint="eastAsia" w:hAnsiTheme="minorEastAsia" w:eastAsiaTheme="minorEastAsia"/>
                <w:color w:val="auto"/>
                <w:kern w:val="0"/>
                <w:sz w:val="24"/>
                <w:lang w:val="en-US" w:eastAsia="zh-CN"/>
              </w:rPr>
              <w:t>建设项目</w:t>
            </w:r>
            <w:r>
              <w:rPr>
                <w:rFonts w:hint="eastAsia" w:hAnsiTheme="minorEastAsia" w:eastAsiaTheme="minorEastAsia"/>
                <w:color w:val="auto"/>
                <w:kern w:val="0"/>
                <w:sz w:val="24"/>
              </w:rPr>
              <w:t>由</w:t>
            </w:r>
            <w:r>
              <w:rPr>
                <w:rFonts w:hint="eastAsia" w:hAnsiTheme="minorEastAsia" w:eastAsiaTheme="minorEastAsia"/>
                <w:color w:val="auto"/>
                <w:kern w:val="0"/>
                <w:sz w:val="24"/>
                <w:lang w:eastAsia="zh-CN"/>
              </w:rPr>
              <w:t>科研楼</w:t>
            </w:r>
            <w:r>
              <w:rPr>
                <w:rFonts w:hint="eastAsia" w:hAnsiTheme="minorEastAsia" w:eastAsiaTheme="minorEastAsia"/>
                <w:color w:val="auto"/>
                <w:kern w:val="0"/>
                <w:sz w:val="24"/>
              </w:rPr>
              <w:t>建设及附属工程建设、设备安装等几部分组成。在建设期间，各项目施工活动不可避免地将会对周围的环境造成破坏和产生影响。主要包括废气、噪声、固体废物、污水等对周围环境的影响，而且以</w:t>
            </w:r>
            <w:r>
              <w:rPr>
                <w:rFonts w:hint="eastAsia" w:hAnsiTheme="minorEastAsia" w:eastAsiaTheme="minorEastAsia"/>
                <w:color w:val="auto"/>
                <w:kern w:val="0"/>
                <w:sz w:val="24"/>
                <w:lang w:val="en-US" w:eastAsia="zh-CN"/>
              </w:rPr>
              <w:t>粉尘</w:t>
            </w:r>
            <w:r>
              <w:rPr>
                <w:rFonts w:hint="eastAsia" w:hAnsiTheme="minorEastAsia" w:eastAsiaTheme="minorEastAsia"/>
                <w:color w:val="auto"/>
                <w:kern w:val="0"/>
                <w:sz w:val="24"/>
              </w:rPr>
              <w:t>和施工噪声尤为明显。以下将就这些污染提出相应的防治措施。</w:t>
            </w:r>
          </w:p>
          <w:p w14:paraId="142D2D9E">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eastAsia" w:eastAsiaTheme="minorEastAsia"/>
                <w:b/>
                <w:color w:val="auto"/>
                <w:kern w:val="0"/>
                <w:sz w:val="24"/>
              </w:rPr>
            </w:pPr>
            <w:r>
              <w:rPr>
                <w:rFonts w:hint="eastAsia" w:eastAsiaTheme="minorEastAsia"/>
                <w:b/>
                <w:color w:val="auto"/>
                <w:kern w:val="0"/>
                <w:sz w:val="24"/>
              </w:rPr>
              <w:t>1.</w:t>
            </w:r>
            <w:r>
              <w:rPr>
                <w:rFonts w:hint="eastAsia" w:hAnsiTheme="minorEastAsia" w:eastAsiaTheme="minorEastAsia"/>
                <w:b/>
                <w:color w:val="auto"/>
                <w:kern w:val="0"/>
                <w:sz w:val="24"/>
              </w:rPr>
              <w:t>大气污染防治对策</w:t>
            </w:r>
          </w:p>
          <w:p w14:paraId="33EF618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Theme="minorEastAsia"/>
                <w:color w:val="auto"/>
                <w:kern w:val="0"/>
                <w:sz w:val="24"/>
                <w:lang w:val="en-US" w:eastAsia="zh-CN"/>
              </w:rPr>
            </w:pPr>
            <w:r>
              <w:rPr>
                <w:rFonts w:hint="eastAsia" w:hAnsiTheme="minorEastAsia" w:eastAsiaTheme="minorEastAsia"/>
                <w:color w:val="auto"/>
                <w:kern w:val="0"/>
                <w:sz w:val="24"/>
              </w:rPr>
              <w:t>在施工过程中，</w:t>
            </w:r>
            <w:r>
              <w:rPr>
                <w:rFonts w:hint="eastAsia" w:hAnsiTheme="minorEastAsia" w:eastAsiaTheme="minorEastAsia"/>
                <w:color w:val="auto"/>
                <w:kern w:val="0"/>
                <w:sz w:val="24"/>
                <w:lang w:val="en-US" w:eastAsia="zh-CN"/>
              </w:rPr>
              <w:t>粉尘</w:t>
            </w:r>
            <w:r>
              <w:rPr>
                <w:rFonts w:hint="eastAsia" w:hAnsiTheme="minorEastAsia" w:eastAsiaTheme="minorEastAsia"/>
                <w:color w:val="auto"/>
                <w:kern w:val="0"/>
                <w:sz w:val="24"/>
              </w:rPr>
              <w:t>污染主要来源于：建筑材料如水泥、白灰、</w:t>
            </w:r>
            <w:r>
              <w:rPr>
                <w:rFonts w:hint="eastAsia" w:hAnsiTheme="minorEastAsia" w:eastAsiaTheme="minorEastAsia"/>
                <w:color w:val="auto"/>
                <w:kern w:val="0"/>
                <w:sz w:val="24"/>
                <w:lang w:eastAsia="zh-CN"/>
              </w:rPr>
              <w:t>沙子</w:t>
            </w:r>
            <w:r>
              <w:rPr>
                <w:rFonts w:hint="eastAsia" w:hAnsiTheme="minorEastAsia" w:eastAsiaTheme="minorEastAsia"/>
                <w:color w:val="auto"/>
                <w:kern w:val="0"/>
                <w:sz w:val="24"/>
              </w:rPr>
              <w:t>等在其装卸、运输、堆放过程中，因风力作用将产生扬尘污染；搅拌车辆和运输车辆往来将造成地面扬尘；施工垃圾在其堆放和清运过程中将产生扬尘。伴随着土方的挖掘、装卸和运输等施工过程，施工期间可能产生较大的扬尘，必须采取合理可行的控制措施，尽量减轻其污染程度，缩小其影响范围。其主要对策有：</w:t>
            </w:r>
          </w:p>
          <w:p w14:paraId="6011FD3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Theme="minorEastAsia"/>
                <w:color w:val="auto"/>
                <w:kern w:val="0"/>
                <w:sz w:val="24"/>
              </w:rPr>
            </w:pPr>
            <w:r>
              <w:rPr>
                <w:rFonts w:hint="eastAsia" w:hAnsiTheme="minorEastAsia" w:eastAsiaTheme="minorEastAsia"/>
                <w:color w:val="auto"/>
                <w:kern w:val="0"/>
                <w:sz w:val="24"/>
              </w:rPr>
              <w:t>对施工现场进行科学管理，砂石料应统一堆放，水泥应设专门库房堆放，尽量减少搬运环节，搬运时轻举轻放，防止包装袋破裂；开挖时，对作业面适当喷水，使其保持一定的湿度，以减少扬尘量。而且，开挖的泥土和建筑垃圾及时运走；谨防运输车辆装载过满，并尽量采取遮盖、密闭措施，减少其沿途抛洒，并及时清扫落在路面的泥土和灰尘，冲洗轮胎，定时洒水压尘，减少运输过程中的扬尘；现场施工</w:t>
            </w:r>
            <w:r>
              <w:rPr>
                <w:rFonts w:hint="eastAsia" w:hAnsiTheme="minorEastAsia" w:eastAsiaTheme="minorEastAsia"/>
                <w:color w:val="auto"/>
                <w:kern w:val="0"/>
                <w:sz w:val="24"/>
                <w:lang w:eastAsia="zh-CN"/>
              </w:rPr>
              <w:t>预拌砂浆</w:t>
            </w:r>
            <w:r>
              <w:rPr>
                <w:rFonts w:hint="eastAsia" w:hAnsiTheme="minorEastAsia" w:eastAsiaTheme="minorEastAsia"/>
                <w:color w:val="auto"/>
                <w:kern w:val="0"/>
                <w:sz w:val="24"/>
              </w:rPr>
              <w:t>、混凝土时应尽量做到不洒、不漏、不剩不倒；混凝土搅拌机应设置在棚内，搅拌时要有喷雾降尘措施；施工现场要围栏或部分围栏，减少施工扬尘扩散范围。尽可能减少扬</w:t>
            </w:r>
            <w:r>
              <w:rPr>
                <w:rFonts w:hint="eastAsia" w:hAnsiTheme="minorEastAsia" w:eastAsiaTheme="minorEastAsia"/>
                <w:color w:val="auto"/>
                <w:kern w:val="0"/>
                <w:sz w:val="24"/>
                <w:lang w:eastAsia="zh-CN"/>
              </w:rPr>
              <w:t>尘对</w:t>
            </w:r>
            <w:r>
              <w:rPr>
                <w:rFonts w:hint="eastAsia" w:hAnsiTheme="minorEastAsia" w:eastAsiaTheme="minorEastAsia"/>
                <w:color w:val="auto"/>
                <w:kern w:val="0"/>
                <w:sz w:val="24"/>
              </w:rPr>
              <w:t>周围环境的影响；风速过大时应停止施工作业，并对堆放的砂石等建筑材料进行遮盖处理。</w:t>
            </w:r>
          </w:p>
          <w:p w14:paraId="1E128A5F">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eastAsia" w:eastAsiaTheme="minorEastAsia"/>
                <w:b/>
                <w:color w:val="auto"/>
                <w:kern w:val="0"/>
                <w:sz w:val="24"/>
              </w:rPr>
            </w:pPr>
            <w:r>
              <w:rPr>
                <w:rFonts w:hint="eastAsia" w:eastAsiaTheme="minorEastAsia"/>
                <w:b/>
                <w:color w:val="auto"/>
                <w:kern w:val="0"/>
                <w:sz w:val="24"/>
              </w:rPr>
              <w:t>2.</w:t>
            </w:r>
            <w:r>
              <w:rPr>
                <w:rFonts w:hint="eastAsia" w:hAnsiTheme="minorEastAsia" w:eastAsiaTheme="minorEastAsia"/>
                <w:b/>
                <w:color w:val="auto"/>
                <w:kern w:val="0"/>
                <w:sz w:val="24"/>
              </w:rPr>
              <w:t>水污染防治对策</w:t>
            </w:r>
          </w:p>
          <w:p w14:paraId="1460940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Theme="minorEastAsia"/>
                <w:color w:val="auto"/>
                <w:kern w:val="0"/>
                <w:sz w:val="24"/>
              </w:rPr>
            </w:pPr>
            <w:r>
              <w:rPr>
                <w:rFonts w:hint="eastAsia" w:hAnsiTheme="minorEastAsia" w:eastAsiaTheme="minorEastAsia"/>
                <w:color w:val="auto"/>
                <w:kern w:val="0"/>
                <w:sz w:val="24"/>
              </w:rPr>
              <w:t>施工中施工现场清洗废水、工人生活污水产生量不大，但如果不经处理或处理不当，同样会危害环境。因此，应该注意，施工期废水不应任意直接排放。施工期间，在排污工程不健全的情况下，应尽量减少物料流失、散落和溢流现象。施工现场必须建造集水池、</w:t>
            </w:r>
            <w:r>
              <w:rPr>
                <w:rFonts w:hint="eastAsia" w:hAnsiTheme="minorEastAsia" w:eastAsiaTheme="minorEastAsia"/>
                <w:color w:val="auto"/>
                <w:kern w:val="0"/>
                <w:sz w:val="24"/>
                <w:lang w:eastAsia="zh-CN"/>
              </w:rPr>
              <w:t>沉沙池</w:t>
            </w:r>
            <w:r>
              <w:rPr>
                <w:rFonts w:hint="eastAsia" w:hAnsiTheme="minorEastAsia" w:eastAsiaTheme="minorEastAsia"/>
                <w:color w:val="auto"/>
                <w:kern w:val="0"/>
                <w:sz w:val="24"/>
              </w:rPr>
              <w:t>、排水沟等水处理构筑物，对施工期废污水，应分类收集，按其不同的性质，</w:t>
            </w:r>
            <w:r>
              <w:rPr>
                <w:rFonts w:hint="eastAsia" w:hAnsiTheme="minorEastAsia" w:eastAsiaTheme="minorEastAsia"/>
                <w:color w:val="auto"/>
                <w:kern w:val="0"/>
                <w:sz w:val="24"/>
                <w:lang w:eastAsia="zh-CN"/>
              </w:rPr>
              <w:t>做</w:t>
            </w:r>
            <w:r>
              <w:rPr>
                <w:rFonts w:hint="eastAsia" w:hAnsiTheme="minorEastAsia" w:eastAsiaTheme="minorEastAsia"/>
                <w:color w:val="auto"/>
                <w:kern w:val="0"/>
                <w:sz w:val="24"/>
              </w:rPr>
              <w:t>相应的处理后排放。</w:t>
            </w:r>
          </w:p>
          <w:p w14:paraId="71EAB795">
            <w:pPr>
              <w:keepNext w:val="0"/>
              <w:keepLines w:val="0"/>
              <w:suppressLineNumbers w:val="0"/>
              <w:autoSpaceDE w:val="0"/>
              <w:autoSpaceDN w:val="0"/>
              <w:adjustRightInd w:val="0"/>
              <w:snapToGrid w:val="0"/>
              <w:spacing w:before="120" w:beforeLines="50" w:beforeAutospacing="0" w:after="0" w:afterAutospacing="0" w:line="360" w:lineRule="auto"/>
              <w:ind w:left="0" w:right="0" w:firstLine="482" w:firstLineChars="200"/>
              <w:jc w:val="left"/>
              <w:rPr>
                <w:rFonts w:hint="eastAsia" w:eastAsiaTheme="minorEastAsia"/>
                <w:b/>
                <w:color w:val="auto"/>
                <w:kern w:val="0"/>
                <w:sz w:val="24"/>
              </w:rPr>
            </w:pPr>
            <w:r>
              <w:rPr>
                <w:rFonts w:hint="eastAsia" w:eastAsiaTheme="minorEastAsia"/>
                <w:b/>
                <w:color w:val="auto"/>
                <w:kern w:val="0"/>
                <w:sz w:val="24"/>
              </w:rPr>
              <w:t>3.</w:t>
            </w:r>
            <w:r>
              <w:rPr>
                <w:rFonts w:hint="eastAsia" w:hAnsiTheme="minorEastAsia" w:eastAsiaTheme="minorEastAsia"/>
                <w:b/>
                <w:color w:val="auto"/>
                <w:kern w:val="0"/>
                <w:sz w:val="24"/>
              </w:rPr>
              <w:t>施工噪声污染防治措施</w:t>
            </w:r>
          </w:p>
          <w:p w14:paraId="1B01AB2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Theme="minorEastAsia"/>
                <w:color w:val="auto"/>
                <w:kern w:val="0"/>
                <w:sz w:val="24"/>
              </w:rPr>
            </w:pPr>
            <w:r>
              <w:rPr>
                <w:rFonts w:hint="eastAsia" w:hAnsiTheme="minorEastAsia" w:eastAsiaTheme="minorEastAsia"/>
                <w:color w:val="auto"/>
                <w:kern w:val="0"/>
                <w:sz w:val="24"/>
              </w:rPr>
              <w:t>在施工过程中，由于各种施工机械设备的运转和各类车辆的运行，不可避免地将产生噪声污染。施工中</w:t>
            </w:r>
            <w:r>
              <w:rPr>
                <w:rFonts w:hint="eastAsia" w:hAnsiTheme="minorEastAsia" w:eastAsiaTheme="minorEastAsia"/>
                <w:color w:val="auto"/>
                <w:kern w:val="0"/>
                <w:sz w:val="24"/>
                <w:lang w:eastAsia="zh-CN"/>
              </w:rPr>
              <w:t>使用</w:t>
            </w:r>
            <w:r>
              <w:rPr>
                <w:rFonts w:hint="eastAsia" w:hAnsiTheme="minorEastAsia" w:eastAsiaTheme="minorEastAsia"/>
                <w:color w:val="auto"/>
                <w:kern w:val="0"/>
                <w:sz w:val="24"/>
              </w:rPr>
              <w:t>混凝土搅拌机、运输车辆等都是噪声的产生源。</w:t>
            </w:r>
          </w:p>
          <w:p w14:paraId="655FFF2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Theme="minorEastAsia"/>
                <w:color w:val="auto"/>
                <w:kern w:val="0"/>
                <w:sz w:val="24"/>
              </w:rPr>
            </w:pPr>
            <w:r>
              <w:rPr>
                <w:rFonts w:hint="eastAsia" w:hAnsiTheme="minorEastAsia" w:eastAsiaTheme="minorEastAsia"/>
                <w:color w:val="auto"/>
                <w:kern w:val="0"/>
                <w:sz w:val="24"/>
              </w:rPr>
              <w:t>为了减轻本工程施工期噪声的环境影响，可采取以下控制措施：</w:t>
            </w:r>
          </w:p>
          <w:p w14:paraId="5D1F17B7">
            <w:pPr>
              <w:keepNext w:val="0"/>
              <w:keepLines w:val="0"/>
              <w:suppressLineNumbers w:val="0"/>
              <w:bidi w:val="0"/>
              <w:spacing w:before="0" w:beforeAutospacing="0" w:after="0" w:afterAutospacing="0"/>
              <w:ind w:left="0" w:right="0"/>
              <w:rPr>
                <w:rFonts w:hint="eastAsia"/>
                <w:color w:val="auto"/>
              </w:rPr>
            </w:pPr>
            <w:r>
              <w:rPr>
                <w:rFonts w:hint="eastAsia"/>
                <w:color w:val="auto"/>
              </w:rPr>
              <w:t>a.加强施工管理，合理安排施工机械设备组装和施工时间，避免在居民休息时（晚10:00</w:t>
            </w:r>
            <w:r>
              <w:rPr>
                <w:rFonts w:hint="eastAsia"/>
                <w:color w:val="auto"/>
                <w:lang w:eastAsia="zh-CN"/>
              </w:rPr>
              <w:t>一早</w:t>
            </w:r>
            <w:r>
              <w:rPr>
                <w:rFonts w:hint="eastAsia"/>
                <w:color w:val="auto"/>
              </w:rPr>
              <w:t>6:00）施工。除特殊需要作业外（经生态环境局批准并公布），禁止夜间以后进行产生环境噪声污染的施工。</w:t>
            </w:r>
          </w:p>
          <w:p w14:paraId="7F6BEDD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eastAsiaTheme="minorEastAsia"/>
                <w:color w:val="auto"/>
                <w:kern w:val="0"/>
                <w:sz w:val="24"/>
              </w:rPr>
            </w:pPr>
            <w:r>
              <w:rPr>
                <w:rFonts w:hint="eastAsia"/>
                <w:color w:val="auto"/>
              </w:rPr>
              <w:t>b.尽量采用低噪音施工设备和噪声低的施工方法，作业时在高噪声设备周围设置屏蔽；对施工设备进行合理布局，选择低噪声的机械设备。</w:t>
            </w:r>
          </w:p>
          <w:p w14:paraId="55D86A1A">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left"/>
              <w:rPr>
                <w:rFonts w:hint="eastAsia" w:eastAsiaTheme="minorEastAsia"/>
                <w:b/>
                <w:color w:val="auto"/>
                <w:kern w:val="0"/>
                <w:sz w:val="24"/>
              </w:rPr>
            </w:pPr>
            <w:r>
              <w:rPr>
                <w:rFonts w:hint="eastAsia" w:eastAsiaTheme="minorEastAsia"/>
                <w:b/>
                <w:color w:val="auto"/>
                <w:kern w:val="0"/>
                <w:sz w:val="24"/>
              </w:rPr>
              <w:t>4.</w:t>
            </w:r>
            <w:r>
              <w:rPr>
                <w:rFonts w:hint="eastAsia" w:hAnsiTheme="minorEastAsia" w:eastAsiaTheme="minorEastAsia"/>
                <w:b/>
                <w:color w:val="auto"/>
                <w:kern w:val="0"/>
                <w:sz w:val="24"/>
              </w:rPr>
              <w:t>施工垃圾污染防治措施</w:t>
            </w:r>
          </w:p>
          <w:p w14:paraId="4EF84B3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r>
              <w:rPr>
                <w:rFonts w:hint="eastAsia" w:hAnsiTheme="minorEastAsia" w:eastAsiaTheme="minorEastAsia"/>
                <w:color w:val="auto"/>
                <w:kern w:val="0"/>
                <w:sz w:val="24"/>
              </w:rPr>
              <w:t>施工过程中建筑垃圾要及时清运、加以利用，防止其因长期堆放而产生扬尘。所产生的生活垃圾如不及时清运处理，则会腐烂变质、滋生蚊虫</w:t>
            </w:r>
            <w:r>
              <w:rPr>
                <w:rFonts w:hint="eastAsia" w:hAnsiTheme="minorEastAsia" w:eastAsiaTheme="minorEastAsia"/>
                <w:color w:val="auto"/>
                <w:kern w:val="0"/>
                <w:sz w:val="24"/>
                <w:lang w:eastAsia="zh-CN"/>
              </w:rPr>
              <w:t>苍蝇</w:t>
            </w:r>
            <w:r>
              <w:rPr>
                <w:rFonts w:hint="eastAsia" w:hAnsiTheme="minorEastAsia" w:eastAsiaTheme="minorEastAsia"/>
                <w:color w:val="auto"/>
                <w:kern w:val="0"/>
                <w:sz w:val="24"/>
              </w:rPr>
              <w:t>，产生恶臭，传染疾病，从而对周围环境和作业人员的健康带来不利影响。因此应及时清运并进行处置。</w:t>
            </w:r>
          </w:p>
          <w:p w14:paraId="752E327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1D31981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7416024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744271E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6B01FED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2242AF4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4E7D5E5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0E36EB8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7D8E71A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285B37C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49157AAE">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55F4659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4C87681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054D7DF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eastAsia" w:hAnsiTheme="minorEastAsia" w:eastAsiaTheme="minorEastAsia"/>
                <w:color w:val="auto"/>
                <w:kern w:val="0"/>
                <w:sz w:val="24"/>
              </w:rPr>
            </w:pPr>
          </w:p>
          <w:p w14:paraId="47E3E48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left"/>
              <w:rPr>
                <w:rFonts w:hint="default" w:hAnsiTheme="minorEastAsia" w:eastAsiaTheme="minorEastAsia"/>
                <w:color w:val="auto"/>
                <w:kern w:val="0"/>
                <w:sz w:val="24"/>
                <w:lang w:val="en-US" w:eastAsia="zh-CN"/>
              </w:rPr>
            </w:pPr>
          </w:p>
        </w:tc>
      </w:tr>
    </w:tbl>
    <w:p w14:paraId="47B37268">
      <w:pPr>
        <w:numPr>
          <w:ilvl w:val="0"/>
          <w:numId w:val="0"/>
        </w:numPr>
        <w:ind w:leftChars="0"/>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717"/>
      </w:tblGrid>
      <w:tr w14:paraId="39E7E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dxa"/>
            <w:vAlign w:val="center"/>
          </w:tcPr>
          <w:p w14:paraId="116AED1C">
            <w:pPr>
              <w:keepNext w:val="0"/>
              <w:keepLines w:val="0"/>
              <w:numPr>
                <w:ilvl w:val="0"/>
                <w:numId w:val="0"/>
              </w:numPr>
              <w:suppressLineNumbers w:val="0"/>
              <w:spacing w:before="0" w:beforeAutospacing="0" w:after="0" w:afterAutospacing="0"/>
              <w:ind w:left="0" w:right="0"/>
              <w:jc w:val="center"/>
              <w:rPr>
                <w:rFonts w:hint="default"/>
                <w:b/>
                <w:bCs/>
                <w:color w:val="auto"/>
                <w:vertAlign w:val="baseline"/>
                <w:lang w:val="en-US" w:eastAsia="zh-CN"/>
              </w:rPr>
            </w:pPr>
            <w:r>
              <w:rPr>
                <w:rFonts w:hint="eastAsia"/>
                <w:b/>
                <w:bCs/>
                <w:color w:val="auto"/>
                <w:vertAlign w:val="baseline"/>
                <w:lang w:val="en-US" w:eastAsia="zh-CN"/>
              </w:rPr>
              <w:t>运营期环境影响和保护措施</w:t>
            </w:r>
          </w:p>
        </w:tc>
        <w:tc>
          <w:tcPr>
            <w:tcW w:w="13758" w:type="dxa"/>
          </w:tcPr>
          <w:p w14:paraId="1A446262">
            <w:pPr>
              <w:keepNext w:val="0"/>
              <w:keepLines w:val="0"/>
              <w:numPr>
                <w:ilvl w:val="0"/>
                <w:numId w:val="11"/>
              </w:numPr>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废气</w:t>
            </w:r>
          </w:p>
          <w:p w14:paraId="2EE07D48">
            <w:pPr>
              <w:keepNext w:val="0"/>
              <w:keepLines w:val="0"/>
              <w:pageBreakBefore w:val="0"/>
              <w:widowControl w:val="0"/>
              <w:numPr>
                <w:ilvl w:val="1"/>
                <w:numId w:val="11"/>
              </w:numPr>
              <w:suppressLineNumbers w:val="0"/>
              <w:kinsoku/>
              <w:wordWrap/>
              <w:overflowPunct/>
              <w:topLinePunct w:val="0"/>
              <w:autoSpaceDE/>
              <w:autoSpaceDN/>
              <w:bidi w:val="0"/>
              <w:adjustRightInd/>
              <w:snapToGrid/>
              <w:spacing w:before="0" w:beforeAutospacing="0" w:after="0" w:afterAutospacing="0"/>
              <w:ind w:right="0" w:firstLine="482" w:firstLineChars="200"/>
              <w:textAlignment w:val="auto"/>
              <w:rPr>
                <w:rFonts w:hint="eastAsia"/>
                <w:b/>
                <w:bCs/>
                <w:color w:val="auto"/>
                <w:lang w:val="en-US" w:eastAsia="zh-CN"/>
              </w:rPr>
            </w:pPr>
            <w:r>
              <w:rPr>
                <w:rFonts w:hint="eastAsia"/>
                <w:b/>
                <w:bCs/>
                <w:color w:val="auto"/>
                <w:lang w:val="en-US" w:eastAsia="zh-CN"/>
              </w:rPr>
              <w:t>废气产生环节及源强分析</w:t>
            </w:r>
          </w:p>
          <w:p w14:paraId="778BAE85">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eastAsiaTheme="minorEastAsia"/>
                <w:color w:val="auto"/>
                <w:kern w:val="0"/>
                <w:sz w:val="24"/>
                <w:szCs w:val="20"/>
              </w:rPr>
            </w:pPr>
            <w:r>
              <w:rPr>
                <w:rFonts w:hint="eastAsia" w:eastAsiaTheme="minorEastAsia"/>
                <w:color w:val="auto"/>
                <w:kern w:val="0"/>
                <w:sz w:val="24"/>
                <w:szCs w:val="20"/>
                <w:lang w:eastAsia="zh-CN"/>
              </w:rPr>
              <w:t>建设项目</w:t>
            </w:r>
            <w:r>
              <w:rPr>
                <w:rFonts w:hint="eastAsia" w:eastAsiaTheme="minorEastAsia"/>
                <w:snapToGrid w:val="0"/>
                <w:color w:val="auto"/>
                <w:kern w:val="0"/>
                <w:sz w:val="24"/>
              </w:rPr>
              <w:t>废气污染源源强核算结果及相关参数</w:t>
            </w:r>
            <w:r>
              <w:rPr>
                <w:rFonts w:hint="eastAsia" w:eastAsiaTheme="minorEastAsia"/>
                <w:color w:val="auto"/>
                <w:kern w:val="0"/>
                <w:sz w:val="24"/>
                <w:szCs w:val="20"/>
              </w:rPr>
              <w:t>见表4.1-1，有组织废气源强核算结果及相关参数见表4.1-2，无组织废气源强核算结果及相关参数见表4.1-3，废气</w:t>
            </w:r>
            <w:r>
              <w:rPr>
                <w:rFonts w:hint="eastAsia" w:eastAsiaTheme="minorEastAsia"/>
                <w:color w:val="auto"/>
                <w:sz w:val="24"/>
              </w:rPr>
              <w:t>收集、治理措施及排放情况</w:t>
            </w:r>
            <w:r>
              <w:rPr>
                <w:rFonts w:hint="eastAsia" w:eastAsiaTheme="minorEastAsia"/>
                <w:color w:val="auto"/>
                <w:kern w:val="0"/>
                <w:sz w:val="24"/>
                <w:szCs w:val="20"/>
              </w:rPr>
              <w:t>见表4.1-4，废气排放口基本情况见表4.1-5。</w:t>
            </w:r>
          </w:p>
          <w:p w14:paraId="79322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b/>
                <w:bCs/>
                <w:color w:val="auto"/>
                <w:lang w:val="en-US" w:eastAsia="zh-CN"/>
              </w:rPr>
            </w:pPr>
            <w:r>
              <w:rPr>
                <w:rFonts w:hint="eastAsia"/>
                <w:b/>
                <w:bCs/>
                <w:color w:val="auto"/>
                <w:lang w:val="en-US" w:eastAsia="zh-CN"/>
              </w:rPr>
              <w:t>表4.1-1  建设项目废气污染源源强核算结果及相关参数一览表</w:t>
            </w:r>
          </w:p>
          <w:tbl>
            <w:tblPr>
              <w:tblStyle w:val="24"/>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Layout w:type="autofit"/>
              <w:tblCellMar>
                <w:top w:w="0" w:type="dxa"/>
                <w:left w:w="108" w:type="dxa"/>
                <w:bottom w:w="0" w:type="dxa"/>
                <w:right w:w="108" w:type="dxa"/>
              </w:tblCellMar>
            </w:tblPr>
            <w:tblGrid>
              <w:gridCol w:w="827"/>
              <w:gridCol w:w="751"/>
              <w:gridCol w:w="937"/>
              <w:gridCol w:w="937"/>
              <w:gridCol w:w="1037"/>
              <w:gridCol w:w="1127"/>
              <w:gridCol w:w="665"/>
              <w:gridCol w:w="684"/>
              <w:gridCol w:w="651"/>
              <w:gridCol w:w="1337"/>
              <w:gridCol w:w="586"/>
              <w:gridCol w:w="936"/>
              <w:gridCol w:w="986"/>
              <w:gridCol w:w="685"/>
              <w:gridCol w:w="649"/>
              <w:gridCol w:w="701"/>
            </w:tblGrid>
            <w:tr w14:paraId="2C6AAC5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09" w:type="pct"/>
                  <w:vMerge w:val="restart"/>
                  <w:tcBorders>
                    <w:tl2br w:val="nil"/>
                    <w:tr2bl w:val="nil"/>
                  </w:tcBorders>
                  <w:shd w:val="clear" w:color="auto" w:fill="auto"/>
                  <w:vAlign w:val="center"/>
                </w:tcPr>
                <w:p w14:paraId="692B11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bidi="ar"/>
                    </w:rPr>
                    <w:t>工序/</w:t>
                  </w:r>
                  <w:r>
                    <w:rPr>
                      <w:rFonts w:hint="eastAsia" w:ascii="Times New Roman" w:hAnsi="Times New Roman" w:eastAsia="宋体" w:cs="Times New Roman"/>
                      <w:b/>
                      <w:bCs/>
                      <w:color w:val="auto"/>
                      <w:kern w:val="0"/>
                      <w:sz w:val="18"/>
                      <w:szCs w:val="18"/>
                      <w:lang w:val="en-US" w:eastAsia="zh-CN" w:bidi="ar"/>
                    </w:rPr>
                    <w:t>污染源</w:t>
                  </w:r>
                </w:p>
              </w:tc>
              <w:tc>
                <w:tcPr>
                  <w:tcW w:w="281" w:type="pct"/>
                  <w:vMerge w:val="restart"/>
                  <w:tcBorders>
                    <w:tl2br w:val="nil"/>
                    <w:tr2bl w:val="nil"/>
                  </w:tcBorders>
                  <w:shd w:val="clear" w:color="auto" w:fill="auto"/>
                  <w:vAlign w:val="center"/>
                </w:tcPr>
                <w:p w14:paraId="4D134D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eastAsia" w:ascii="Times New Roman" w:hAnsi="Times New Roman" w:eastAsia="宋体" w:cs="Times New Roman"/>
                      <w:b/>
                      <w:bCs/>
                      <w:color w:val="auto"/>
                      <w:kern w:val="0"/>
                      <w:sz w:val="18"/>
                      <w:szCs w:val="18"/>
                      <w:lang w:val="en-US" w:eastAsia="zh-CN" w:bidi="ar"/>
                    </w:rPr>
                    <w:t>排放</w:t>
                  </w:r>
                  <w:r>
                    <w:rPr>
                      <w:rFonts w:hint="default" w:ascii="Times New Roman" w:hAnsi="Times New Roman" w:eastAsia="宋体" w:cs="Times New Roman"/>
                      <w:b/>
                      <w:bCs/>
                      <w:color w:val="auto"/>
                      <w:kern w:val="0"/>
                      <w:sz w:val="18"/>
                      <w:szCs w:val="18"/>
                      <w:lang w:val="en-US" w:eastAsia="zh-CN" w:bidi="ar"/>
                    </w:rPr>
                    <w:t>源</w:t>
                  </w:r>
                </w:p>
              </w:tc>
              <w:tc>
                <w:tcPr>
                  <w:tcW w:w="350" w:type="pct"/>
                  <w:vMerge w:val="restart"/>
                  <w:tcBorders>
                    <w:tl2br w:val="nil"/>
                    <w:tr2bl w:val="nil"/>
                  </w:tcBorders>
                  <w:shd w:val="clear" w:color="auto" w:fill="auto"/>
                  <w:vAlign w:val="center"/>
                </w:tcPr>
                <w:p w14:paraId="4AB8B5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污染物</w:t>
                  </w:r>
                </w:p>
              </w:tc>
              <w:tc>
                <w:tcPr>
                  <w:tcW w:w="1662" w:type="pct"/>
                  <w:gridSpan w:val="5"/>
                  <w:tcBorders>
                    <w:tl2br w:val="nil"/>
                    <w:tr2bl w:val="nil"/>
                  </w:tcBorders>
                  <w:shd w:val="clear" w:color="auto" w:fill="auto"/>
                  <w:vAlign w:val="center"/>
                </w:tcPr>
                <w:p w14:paraId="795497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污染物产生</w:t>
                  </w:r>
                </w:p>
              </w:tc>
              <w:tc>
                <w:tcPr>
                  <w:tcW w:w="244" w:type="pct"/>
                  <w:vMerge w:val="restart"/>
                  <w:tcBorders>
                    <w:tl2br w:val="nil"/>
                    <w:tr2bl w:val="nil"/>
                  </w:tcBorders>
                  <w:shd w:val="clear" w:color="auto" w:fill="auto"/>
                  <w:vAlign w:val="center"/>
                </w:tcPr>
                <w:p w14:paraId="66913F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kern w:val="0"/>
                      <w:sz w:val="18"/>
                      <w:szCs w:val="18"/>
                      <w:lang w:val="en-US" w:eastAsia="zh-CN" w:bidi="ar"/>
                    </w:rPr>
                  </w:pPr>
                  <w:r>
                    <w:rPr>
                      <w:rFonts w:hint="eastAsia" w:ascii="Times New Roman" w:hAnsi="Times New Roman" w:eastAsia="宋体" w:cs="Times New Roman"/>
                      <w:b/>
                      <w:bCs/>
                      <w:color w:val="auto"/>
                      <w:kern w:val="0"/>
                      <w:sz w:val="18"/>
                      <w:szCs w:val="18"/>
                      <w:lang w:val="en-US" w:eastAsia="zh-CN" w:bidi="ar"/>
                    </w:rPr>
                    <w:t>收集</w:t>
                  </w:r>
                </w:p>
                <w:p w14:paraId="1D235F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eastAsia="zh-CN" w:bidi="ar"/>
                    </w:rPr>
                  </w:pPr>
                  <w:r>
                    <w:rPr>
                      <w:rFonts w:hint="eastAsia" w:ascii="Times New Roman" w:hAnsi="Times New Roman" w:eastAsia="宋体" w:cs="Times New Roman"/>
                      <w:b/>
                      <w:bCs/>
                      <w:color w:val="auto"/>
                      <w:kern w:val="0"/>
                      <w:sz w:val="18"/>
                      <w:szCs w:val="18"/>
                      <w:lang w:val="en-US" w:eastAsia="zh-CN" w:bidi="ar"/>
                    </w:rPr>
                    <w:t>效率</w:t>
                  </w:r>
                </w:p>
              </w:tc>
              <w:tc>
                <w:tcPr>
                  <w:tcW w:w="718" w:type="pct"/>
                  <w:gridSpan w:val="2"/>
                  <w:tcBorders>
                    <w:tl2br w:val="nil"/>
                    <w:tr2bl w:val="nil"/>
                  </w:tcBorders>
                  <w:shd w:val="clear" w:color="auto" w:fill="auto"/>
                  <w:vAlign w:val="center"/>
                </w:tcPr>
                <w:p w14:paraId="2A1734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治理措施</w:t>
                  </w:r>
                </w:p>
              </w:tc>
              <w:tc>
                <w:tcPr>
                  <w:tcW w:w="1170" w:type="pct"/>
                  <w:gridSpan w:val="4"/>
                  <w:tcBorders>
                    <w:tl2br w:val="nil"/>
                    <w:tr2bl w:val="nil"/>
                  </w:tcBorders>
                  <w:shd w:val="clear" w:color="auto" w:fill="auto"/>
                  <w:vAlign w:val="center"/>
                </w:tcPr>
                <w:p w14:paraId="318E3B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污染物排放</w:t>
                  </w:r>
                </w:p>
              </w:tc>
              <w:tc>
                <w:tcPr>
                  <w:tcW w:w="262" w:type="pct"/>
                  <w:vMerge w:val="restart"/>
                  <w:tcBorders>
                    <w:tl2br w:val="nil"/>
                    <w:tr2bl w:val="nil"/>
                  </w:tcBorders>
                  <w:shd w:val="clear" w:color="auto" w:fill="auto"/>
                  <w:vAlign w:val="center"/>
                </w:tcPr>
                <w:p w14:paraId="778161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排放时间</w:t>
                  </w:r>
                  <w:r>
                    <w:rPr>
                      <w:rFonts w:hint="eastAsia" w:cs="Times New Roman"/>
                      <w:b/>
                      <w:bCs/>
                      <w:color w:val="auto"/>
                      <w:kern w:val="0"/>
                      <w:sz w:val="18"/>
                      <w:szCs w:val="18"/>
                      <w:lang w:val="en-US" w:eastAsia="zh-CN" w:bidi="ar"/>
                    </w:rPr>
                    <w:t>（</w:t>
                  </w:r>
                  <w:r>
                    <w:rPr>
                      <w:rFonts w:hint="default" w:ascii="Times New Roman" w:hAnsi="Times New Roman" w:eastAsia="宋体" w:cs="Times New Roman"/>
                      <w:b/>
                      <w:bCs/>
                      <w:color w:val="auto"/>
                      <w:kern w:val="0"/>
                      <w:sz w:val="18"/>
                      <w:szCs w:val="18"/>
                      <w:lang w:val="en-US" w:eastAsia="zh-CN" w:bidi="ar"/>
                    </w:rPr>
                    <w:t>h</w:t>
                  </w:r>
                  <w:r>
                    <w:rPr>
                      <w:rFonts w:hint="eastAsia" w:cs="Times New Roman"/>
                      <w:b/>
                      <w:bCs/>
                      <w:color w:val="auto"/>
                      <w:kern w:val="0"/>
                      <w:sz w:val="18"/>
                      <w:szCs w:val="18"/>
                      <w:lang w:val="en-US" w:eastAsia="zh-CN" w:bidi="ar"/>
                    </w:rPr>
                    <w:t>）</w:t>
                  </w:r>
                </w:p>
              </w:tc>
            </w:tr>
            <w:tr w14:paraId="02D6E86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40" w:hRule="atLeast"/>
              </w:trPr>
              <w:tc>
                <w:tcPr>
                  <w:tcW w:w="309" w:type="pct"/>
                  <w:vMerge w:val="continue"/>
                  <w:tcBorders>
                    <w:tl2br w:val="nil"/>
                    <w:tr2bl w:val="nil"/>
                  </w:tcBorders>
                  <w:shd w:val="clear" w:color="auto" w:fill="auto"/>
                  <w:vAlign w:val="center"/>
                </w:tcPr>
                <w:p w14:paraId="3239C9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281" w:type="pct"/>
                  <w:vMerge w:val="continue"/>
                  <w:tcBorders>
                    <w:tl2br w:val="nil"/>
                    <w:tr2bl w:val="nil"/>
                  </w:tcBorders>
                  <w:shd w:val="clear" w:color="auto" w:fill="auto"/>
                  <w:vAlign w:val="center"/>
                </w:tcPr>
                <w:p w14:paraId="5D9897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50" w:type="pct"/>
                  <w:vMerge w:val="continue"/>
                  <w:tcBorders>
                    <w:tl2br w:val="nil"/>
                    <w:tr2bl w:val="nil"/>
                  </w:tcBorders>
                  <w:shd w:val="clear" w:color="auto" w:fill="auto"/>
                  <w:vAlign w:val="center"/>
                </w:tcPr>
                <w:p w14:paraId="724ECC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50" w:type="pct"/>
                  <w:vMerge w:val="restart"/>
                  <w:tcBorders>
                    <w:tl2br w:val="nil"/>
                    <w:tr2bl w:val="nil"/>
                  </w:tcBorders>
                  <w:shd w:val="clear" w:color="auto" w:fill="auto"/>
                  <w:vAlign w:val="center"/>
                </w:tcPr>
                <w:p w14:paraId="6DEECF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核算方法</w:t>
                  </w:r>
                </w:p>
              </w:tc>
              <w:tc>
                <w:tcPr>
                  <w:tcW w:w="387" w:type="pct"/>
                  <w:vMerge w:val="restart"/>
                  <w:tcBorders>
                    <w:tl2br w:val="nil"/>
                    <w:tr2bl w:val="nil"/>
                  </w:tcBorders>
                  <w:shd w:val="clear" w:color="auto" w:fill="auto"/>
                  <w:vAlign w:val="center"/>
                </w:tcPr>
                <w:p w14:paraId="5EF8A5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废气产生量</w:t>
                  </w:r>
                  <w:r>
                    <w:rPr>
                      <w:rFonts w:hint="eastAsia" w:cs="Times New Roman"/>
                      <w:b/>
                      <w:bCs/>
                      <w:color w:val="auto"/>
                      <w:kern w:val="0"/>
                      <w:sz w:val="18"/>
                      <w:szCs w:val="18"/>
                      <w:lang w:val="en-US" w:eastAsia="zh-CN" w:bidi="ar"/>
                    </w:rPr>
                    <w:t>（</w:t>
                  </w:r>
                  <w:r>
                    <w:rPr>
                      <w:rFonts w:hint="default" w:ascii="Times New Roman" w:hAnsi="Times New Roman" w:eastAsia="宋体" w:cs="Times New Roman"/>
                      <w:b/>
                      <w:bCs/>
                      <w:color w:val="auto"/>
                      <w:kern w:val="0"/>
                      <w:sz w:val="18"/>
                      <w:szCs w:val="18"/>
                      <w:lang w:val="en-US" w:eastAsia="zh-CN" w:bidi="ar"/>
                    </w:rPr>
                    <w:t>m</w:t>
                  </w:r>
                  <w:r>
                    <w:rPr>
                      <w:rFonts w:hint="default" w:ascii="Times New Roman" w:hAnsi="Times New Roman" w:eastAsia="宋体" w:cs="Times New Roman"/>
                      <w:b/>
                      <w:bCs/>
                      <w:color w:val="auto"/>
                      <w:kern w:val="0"/>
                      <w:sz w:val="18"/>
                      <w:szCs w:val="18"/>
                      <w:vertAlign w:val="superscript"/>
                      <w:lang w:val="en-US" w:eastAsia="zh-CN" w:bidi="ar"/>
                    </w:rPr>
                    <w:t>3</w:t>
                  </w:r>
                  <w:r>
                    <w:rPr>
                      <w:rFonts w:hint="default" w:ascii="Times New Roman" w:hAnsi="Times New Roman" w:eastAsia="宋体" w:cs="Times New Roman"/>
                      <w:b/>
                      <w:bCs/>
                      <w:color w:val="auto"/>
                      <w:kern w:val="0"/>
                      <w:sz w:val="18"/>
                      <w:szCs w:val="18"/>
                      <w:lang w:val="en-US" w:eastAsia="zh-CN" w:bidi="ar"/>
                    </w:rPr>
                    <w:t>/h</w:t>
                  </w:r>
                  <w:r>
                    <w:rPr>
                      <w:rFonts w:hint="eastAsia" w:cs="Times New Roman"/>
                      <w:b/>
                      <w:bCs/>
                      <w:color w:val="auto"/>
                      <w:kern w:val="0"/>
                      <w:sz w:val="18"/>
                      <w:szCs w:val="18"/>
                      <w:lang w:val="en-US" w:eastAsia="zh-CN" w:bidi="ar"/>
                    </w:rPr>
                    <w:t>）</w:t>
                  </w:r>
                </w:p>
              </w:tc>
              <w:tc>
                <w:tcPr>
                  <w:tcW w:w="420" w:type="pct"/>
                  <w:vMerge w:val="restart"/>
                  <w:tcBorders>
                    <w:tl2br w:val="nil"/>
                    <w:tr2bl w:val="nil"/>
                  </w:tcBorders>
                  <w:shd w:val="clear" w:color="auto" w:fill="auto"/>
                  <w:vAlign w:val="center"/>
                </w:tcPr>
                <w:p w14:paraId="7C8064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产生浓度</w:t>
                  </w:r>
                  <w:r>
                    <w:rPr>
                      <w:rFonts w:hint="eastAsia" w:cs="Times New Roman"/>
                      <w:b/>
                      <w:bCs/>
                      <w:color w:val="auto"/>
                      <w:kern w:val="0"/>
                      <w:sz w:val="18"/>
                      <w:szCs w:val="18"/>
                      <w:lang w:val="en-US" w:eastAsia="zh-CN" w:bidi="ar"/>
                    </w:rPr>
                    <w:t>（</w:t>
                  </w:r>
                  <w:r>
                    <w:rPr>
                      <w:rFonts w:hint="default" w:ascii="Times New Roman" w:hAnsi="Times New Roman" w:eastAsia="宋体" w:cs="Times New Roman"/>
                      <w:b/>
                      <w:bCs/>
                      <w:color w:val="auto"/>
                      <w:kern w:val="0"/>
                      <w:sz w:val="18"/>
                      <w:szCs w:val="18"/>
                      <w:lang w:val="en-US" w:eastAsia="zh-CN" w:bidi="ar"/>
                    </w:rPr>
                    <w:t>mg/m</w:t>
                  </w:r>
                  <w:r>
                    <w:rPr>
                      <w:rFonts w:hint="default" w:ascii="Times New Roman" w:hAnsi="Times New Roman" w:eastAsia="宋体" w:cs="Times New Roman"/>
                      <w:b/>
                      <w:bCs/>
                      <w:color w:val="auto"/>
                      <w:kern w:val="0"/>
                      <w:sz w:val="18"/>
                      <w:szCs w:val="18"/>
                      <w:vertAlign w:val="superscript"/>
                      <w:lang w:val="en-US" w:eastAsia="zh-CN" w:bidi="ar"/>
                    </w:rPr>
                    <w:t>3</w:t>
                  </w:r>
                  <w:r>
                    <w:rPr>
                      <w:rFonts w:hint="eastAsia" w:cs="Times New Roman"/>
                      <w:b/>
                      <w:bCs/>
                      <w:color w:val="auto"/>
                      <w:kern w:val="0"/>
                      <w:sz w:val="18"/>
                      <w:szCs w:val="18"/>
                      <w:vertAlign w:val="superscript"/>
                      <w:lang w:val="en-US" w:eastAsia="zh-CN" w:bidi="ar"/>
                    </w:rPr>
                    <w:t>）</w:t>
                  </w:r>
                </w:p>
              </w:tc>
              <w:tc>
                <w:tcPr>
                  <w:tcW w:w="503" w:type="pct"/>
                  <w:gridSpan w:val="2"/>
                  <w:tcBorders>
                    <w:tl2br w:val="nil"/>
                    <w:tr2bl w:val="nil"/>
                  </w:tcBorders>
                  <w:shd w:val="clear" w:color="auto" w:fill="auto"/>
                  <w:vAlign w:val="center"/>
                </w:tcPr>
                <w:p w14:paraId="485B27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eastAsia" w:ascii="Times New Roman" w:hAnsi="Times New Roman" w:eastAsia="宋体" w:cs="Times New Roman"/>
                      <w:b/>
                      <w:bCs/>
                      <w:color w:val="auto"/>
                      <w:kern w:val="0"/>
                      <w:sz w:val="18"/>
                      <w:szCs w:val="18"/>
                      <w:lang w:val="en-US" w:eastAsia="zh-CN" w:bidi="ar"/>
                    </w:rPr>
                    <w:t>有组织</w:t>
                  </w:r>
                  <w:r>
                    <w:rPr>
                      <w:rFonts w:hint="default" w:ascii="Times New Roman" w:hAnsi="Times New Roman" w:eastAsia="宋体" w:cs="Times New Roman"/>
                      <w:b/>
                      <w:bCs/>
                      <w:color w:val="auto"/>
                      <w:kern w:val="0"/>
                      <w:sz w:val="18"/>
                      <w:szCs w:val="18"/>
                      <w:lang w:val="en-US" w:eastAsia="zh-CN" w:bidi="ar"/>
                    </w:rPr>
                    <w:t>产生量</w:t>
                  </w:r>
                </w:p>
              </w:tc>
              <w:tc>
                <w:tcPr>
                  <w:tcW w:w="244" w:type="pct"/>
                  <w:vMerge w:val="continue"/>
                  <w:tcBorders>
                    <w:tl2br w:val="nil"/>
                    <w:tr2bl w:val="nil"/>
                  </w:tcBorders>
                  <w:shd w:val="clear" w:color="auto" w:fill="auto"/>
                  <w:vAlign w:val="center"/>
                </w:tcPr>
                <w:p w14:paraId="093088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eastAsia="zh-CN" w:bidi="ar"/>
                    </w:rPr>
                  </w:pPr>
                </w:p>
              </w:tc>
              <w:tc>
                <w:tcPr>
                  <w:tcW w:w="498" w:type="pct"/>
                  <w:vMerge w:val="restart"/>
                  <w:tcBorders>
                    <w:tl2br w:val="nil"/>
                    <w:tr2bl w:val="nil"/>
                  </w:tcBorders>
                  <w:shd w:val="clear" w:color="auto" w:fill="auto"/>
                  <w:vAlign w:val="center"/>
                </w:tcPr>
                <w:p w14:paraId="26BCB9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治理措施</w:t>
                  </w:r>
                </w:p>
              </w:tc>
              <w:tc>
                <w:tcPr>
                  <w:tcW w:w="219" w:type="pct"/>
                  <w:vMerge w:val="restart"/>
                  <w:tcBorders>
                    <w:tl2br w:val="nil"/>
                    <w:tr2bl w:val="nil"/>
                  </w:tcBorders>
                  <w:shd w:val="clear" w:color="auto" w:fill="auto"/>
                  <w:vAlign w:val="center"/>
                </w:tcPr>
                <w:p w14:paraId="531664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治理</w:t>
                  </w:r>
                </w:p>
                <w:p w14:paraId="73F4B8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效率</w:t>
                  </w:r>
                </w:p>
              </w:tc>
              <w:tc>
                <w:tcPr>
                  <w:tcW w:w="338" w:type="pct"/>
                  <w:vMerge w:val="restart"/>
                  <w:tcBorders>
                    <w:tl2br w:val="nil"/>
                    <w:tr2bl w:val="nil"/>
                  </w:tcBorders>
                  <w:shd w:val="clear" w:color="auto" w:fill="auto"/>
                  <w:vAlign w:val="center"/>
                </w:tcPr>
                <w:p w14:paraId="3C786B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废气排放量</w:t>
                  </w:r>
                  <w:r>
                    <w:rPr>
                      <w:rFonts w:hint="eastAsia" w:cs="Times New Roman"/>
                      <w:b/>
                      <w:bCs/>
                      <w:color w:val="auto"/>
                      <w:kern w:val="0"/>
                      <w:sz w:val="18"/>
                      <w:szCs w:val="18"/>
                      <w:lang w:val="en-US" w:eastAsia="zh-CN" w:bidi="ar"/>
                    </w:rPr>
                    <w:t>（</w:t>
                  </w:r>
                  <w:r>
                    <w:rPr>
                      <w:rFonts w:hint="default" w:ascii="Times New Roman" w:hAnsi="Times New Roman" w:eastAsia="宋体" w:cs="Times New Roman"/>
                      <w:b/>
                      <w:bCs/>
                      <w:color w:val="auto"/>
                      <w:kern w:val="0"/>
                      <w:sz w:val="18"/>
                      <w:szCs w:val="18"/>
                      <w:lang w:val="en-US" w:eastAsia="zh-CN" w:bidi="ar"/>
                    </w:rPr>
                    <w:t>m</w:t>
                  </w:r>
                  <w:r>
                    <w:rPr>
                      <w:rFonts w:hint="default" w:ascii="Times New Roman" w:hAnsi="Times New Roman" w:eastAsia="宋体" w:cs="Times New Roman"/>
                      <w:b/>
                      <w:bCs/>
                      <w:color w:val="auto"/>
                      <w:kern w:val="0"/>
                      <w:sz w:val="18"/>
                      <w:szCs w:val="18"/>
                      <w:vertAlign w:val="superscript"/>
                      <w:lang w:val="en-US" w:eastAsia="zh-CN" w:bidi="ar"/>
                    </w:rPr>
                    <w:t>3</w:t>
                  </w:r>
                  <w:r>
                    <w:rPr>
                      <w:rFonts w:hint="default" w:ascii="Times New Roman" w:hAnsi="Times New Roman" w:eastAsia="宋体" w:cs="Times New Roman"/>
                      <w:b/>
                      <w:bCs/>
                      <w:color w:val="auto"/>
                      <w:kern w:val="0"/>
                      <w:sz w:val="18"/>
                      <w:szCs w:val="18"/>
                      <w:lang w:val="en-US" w:eastAsia="zh-CN" w:bidi="ar"/>
                    </w:rPr>
                    <w:t>/h</w:t>
                  </w:r>
                  <w:r>
                    <w:rPr>
                      <w:rFonts w:hint="eastAsia" w:cs="Times New Roman"/>
                      <w:b/>
                      <w:bCs/>
                      <w:color w:val="auto"/>
                      <w:kern w:val="0"/>
                      <w:sz w:val="18"/>
                      <w:szCs w:val="18"/>
                      <w:lang w:val="en-US" w:eastAsia="zh-CN" w:bidi="ar"/>
                    </w:rPr>
                    <w:t>）</w:t>
                  </w:r>
                </w:p>
              </w:tc>
              <w:tc>
                <w:tcPr>
                  <w:tcW w:w="333" w:type="pct"/>
                  <w:vMerge w:val="restart"/>
                  <w:tcBorders>
                    <w:tl2br w:val="nil"/>
                    <w:tr2bl w:val="nil"/>
                  </w:tcBorders>
                  <w:shd w:val="clear" w:color="auto" w:fill="auto"/>
                  <w:vAlign w:val="center"/>
                </w:tcPr>
                <w:p w14:paraId="5B6481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排放</w:t>
                  </w:r>
                </w:p>
                <w:p w14:paraId="6B091A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浓度</w:t>
                  </w:r>
                  <w:r>
                    <w:rPr>
                      <w:rFonts w:hint="eastAsia" w:cs="Times New Roman"/>
                      <w:b/>
                      <w:bCs/>
                      <w:color w:val="auto"/>
                      <w:kern w:val="0"/>
                      <w:sz w:val="18"/>
                      <w:szCs w:val="18"/>
                      <w:lang w:val="en-US" w:eastAsia="zh-CN" w:bidi="ar"/>
                    </w:rPr>
                    <w:t>（</w:t>
                  </w:r>
                  <w:r>
                    <w:rPr>
                      <w:rFonts w:hint="default" w:ascii="Times New Roman" w:hAnsi="Times New Roman" w:eastAsia="宋体" w:cs="Times New Roman"/>
                      <w:b/>
                      <w:bCs/>
                      <w:color w:val="auto"/>
                      <w:kern w:val="0"/>
                      <w:sz w:val="18"/>
                      <w:szCs w:val="18"/>
                      <w:lang w:val="en-US" w:eastAsia="zh-CN" w:bidi="ar"/>
                    </w:rPr>
                    <w:t>mg/m</w:t>
                  </w:r>
                  <w:r>
                    <w:rPr>
                      <w:rFonts w:hint="default" w:ascii="Times New Roman" w:hAnsi="Times New Roman" w:eastAsia="宋体" w:cs="Times New Roman"/>
                      <w:b/>
                      <w:bCs/>
                      <w:color w:val="auto"/>
                      <w:kern w:val="0"/>
                      <w:sz w:val="18"/>
                      <w:szCs w:val="18"/>
                      <w:vertAlign w:val="superscript"/>
                      <w:lang w:val="en-US" w:eastAsia="zh-CN" w:bidi="ar"/>
                    </w:rPr>
                    <w:t>3</w:t>
                  </w:r>
                  <w:r>
                    <w:rPr>
                      <w:rFonts w:hint="eastAsia" w:cs="Times New Roman"/>
                      <w:b/>
                      <w:bCs/>
                      <w:color w:val="auto"/>
                      <w:kern w:val="0"/>
                      <w:sz w:val="18"/>
                      <w:szCs w:val="18"/>
                      <w:vertAlign w:val="superscript"/>
                      <w:lang w:val="en-US" w:eastAsia="zh-CN" w:bidi="ar"/>
                    </w:rPr>
                    <w:t>）</w:t>
                  </w:r>
                </w:p>
              </w:tc>
              <w:tc>
                <w:tcPr>
                  <w:tcW w:w="498" w:type="pct"/>
                  <w:gridSpan w:val="2"/>
                  <w:tcBorders>
                    <w:tl2br w:val="nil"/>
                    <w:tr2bl w:val="nil"/>
                  </w:tcBorders>
                  <w:shd w:val="clear" w:color="auto" w:fill="auto"/>
                  <w:vAlign w:val="center"/>
                </w:tcPr>
                <w:p w14:paraId="20A13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排放量</w:t>
                  </w:r>
                </w:p>
              </w:tc>
              <w:tc>
                <w:tcPr>
                  <w:tcW w:w="262" w:type="pct"/>
                  <w:vMerge w:val="continue"/>
                  <w:tcBorders>
                    <w:tl2br w:val="nil"/>
                    <w:tr2bl w:val="nil"/>
                  </w:tcBorders>
                  <w:shd w:val="clear" w:color="auto" w:fill="auto"/>
                  <w:vAlign w:val="center"/>
                </w:tcPr>
                <w:p w14:paraId="0B6625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r>
            <w:tr w14:paraId="757D3E4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40" w:hRule="atLeast"/>
              </w:trPr>
              <w:tc>
                <w:tcPr>
                  <w:tcW w:w="309" w:type="pct"/>
                  <w:vMerge w:val="continue"/>
                  <w:tcBorders>
                    <w:tl2br w:val="nil"/>
                    <w:tr2bl w:val="nil"/>
                  </w:tcBorders>
                  <w:shd w:val="clear" w:color="auto" w:fill="auto"/>
                  <w:vAlign w:val="center"/>
                </w:tcPr>
                <w:p w14:paraId="051A7C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281" w:type="pct"/>
                  <w:vMerge w:val="continue"/>
                  <w:tcBorders>
                    <w:tl2br w:val="nil"/>
                    <w:tr2bl w:val="nil"/>
                  </w:tcBorders>
                  <w:shd w:val="clear" w:color="auto" w:fill="auto"/>
                  <w:vAlign w:val="center"/>
                </w:tcPr>
                <w:p w14:paraId="6E8EAC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50" w:type="pct"/>
                  <w:vMerge w:val="continue"/>
                  <w:tcBorders>
                    <w:tl2br w:val="nil"/>
                    <w:tr2bl w:val="nil"/>
                  </w:tcBorders>
                  <w:shd w:val="clear" w:color="auto" w:fill="auto"/>
                  <w:vAlign w:val="center"/>
                </w:tcPr>
                <w:p w14:paraId="454D6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50" w:type="pct"/>
                  <w:vMerge w:val="continue"/>
                  <w:tcBorders>
                    <w:tl2br w:val="nil"/>
                    <w:tr2bl w:val="nil"/>
                  </w:tcBorders>
                  <w:shd w:val="clear" w:color="auto" w:fill="auto"/>
                  <w:vAlign w:val="center"/>
                </w:tcPr>
                <w:p w14:paraId="1F2DCC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87" w:type="pct"/>
                  <w:vMerge w:val="continue"/>
                  <w:tcBorders>
                    <w:tl2br w:val="nil"/>
                    <w:tr2bl w:val="nil"/>
                  </w:tcBorders>
                  <w:shd w:val="clear" w:color="auto" w:fill="auto"/>
                  <w:vAlign w:val="center"/>
                </w:tcPr>
                <w:p w14:paraId="57E967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420" w:type="pct"/>
                  <w:vMerge w:val="continue"/>
                  <w:tcBorders>
                    <w:tl2br w:val="nil"/>
                    <w:tr2bl w:val="nil"/>
                  </w:tcBorders>
                  <w:shd w:val="clear" w:color="auto" w:fill="auto"/>
                  <w:vAlign w:val="center"/>
                </w:tcPr>
                <w:p w14:paraId="0F60E6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249" w:type="pct"/>
                  <w:tcBorders>
                    <w:tl2br w:val="nil"/>
                    <w:tr2bl w:val="nil"/>
                  </w:tcBorders>
                  <w:shd w:val="clear" w:color="auto" w:fill="auto"/>
                  <w:vAlign w:val="center"/>
                </w:tcPr>
                <w:p w14:paraId="76CE45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kg/h</w:t>
                  </w:r>
                </w:p>
              </w:tc>
              <w:tc>
                <w:tcPr>
                  <w:tcW w:w="253" w:type="pct"/>
                  <w:tcBorders>
                    <w:tl2br w:val="nil"/>
                    <w:tr2bl w:val="nil"/>
                  </w:tcBorders>
                  <w:shd w:val="clear" w:color="auto" w:fill="auto"/>
                  <w:vAlign w:val="center"/>
                </w:tcPr>
                <w:p w14:paraId="1347A1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t/a</w:t>
                  </w:r>
                </w:p>
              </w:tc>
              <w:tc>
                <w:tcPr>
                  <w:tcW w:w="244" w:type="pct"/>
                  <w:vMerge w:val="continue"/>
                  <w:tcBorders>
                    <w:tl2br w:val="nil"/>
                    <w:tr2bl w:val="nil"/>
                  </w:tcBorders>
                  <w:shd w:val="clear" w:color="auto" w:fill="auto"/>
                  <w:vAlign w:val="center"/>
                </w:tcPr>
                <w:p w14:paraId="0C56A5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eastAsia="zh-CN" w:bidi="ar"/>
                    </w:rPr>
                  </w:pPr>
                </w:p>
              </w:tc>
              <w:tc>
                <w:tcPr>
                  <w:tcW w:w="498" w:type="pct"/>
                  <w:vMerge w:val="continue"/>
                  <w:tcBorders>
                    <w:tl2br w:val="nil"/>
                    <w:tr2bl w:val="nil"/>
                  </w:tcBorders>
                  <w:shd w:val="clear" w:color="auto" w:fill="auto"/>
                  <w:vAlign w:val="center"/>
                </w:tcPr>
                <w:p w14:paraId="07D76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219" w:type="pct"/>
                  <w:vMerge w:val="continue"/>
                  <w:tcBorders>
                    <w:tl2br w:val="nil"/>
                    <w:tr2bl w:val="nil"/>
                  </w:tcBorders>
                  <w:shd w:val="clear" w:color="auto" w:fill="auto"/>
                  <w:vAlign w:val="center"/>
                </w:tcPr>
                <w:p w14:paraId="72E1DE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38" w:type="pct"/>
                  <w:vMerge w:val="continue"/>
                  <w:tcBorders>
                    <w:tl2br w:val="nil"/>
                    <w:tr2bl w:val="nil"/>
                  </w:tcBorders>
                  <w:shd w:val="clear" w:color="auto" w:fill="auto"/>
                  <w:vAlign w:val="center"/>
                </w:tcPr>
                <w:p w14:paraId="07F584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33" w:type="pct"/>
                  <w:vMerge w:val="continue"/>
                  <w:tcBorders>
                    <w:tl2br w:val="nil"/>
                    <w:tr2bl w:val="nil"/>
                  </w:tcBorders>
                  <w:shd w:val="clear" w:color="auto" w:fill="auto"/>
                  <w:vAlign w:val="center"/>
                </w:tcPr>
                <w:p w14:paraId="31419C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256" w:type="pct"/>
                  <w:tcBorders>
                    <w:tl2br w:val="nil"/>
                    <w:tr2bl w:val="nil"/>
                  </w:tcBorders>
                  <w:shd w:val="clear" w:color="auto" w:fill="auto"/>
                  <w:vAlign w:val="center"/>
                </w:tcPr>
                <w:p w14:paraId="57EC65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kg/h</w:t>
                  </w:r>
                </w:p>
              </w:tc>
              <w:tc>
                <w:tcPr>
                  <w:tcW w:w="242" w:type="pct"/>
                  <w:tcBorders>
                    <w:tl2br w:val="nil"/>
                    <w:tr2bl w:val="nil"/>
                  </w:tcBorders>
                  <w:shd w:val="clear" w:color="auto" w:fill="auto"/>
                  <w:vAlign w:val="center"/>
                </w:tcPr>
                <w:p w14:paraId="59ED4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t/a</w:t>
                  </w:r>
                </w:p>
              </w:tc>
              <w:tc>
                <w:tcPr>
                  <w:tcW w:w="262" w:type="pct"/>
                  <w:vMerge w:val="continue"/>
                  <w:tcBorders>
                    <w:tl2br w:val="nil"/>
                    <w:tr2bl w:val="nil"/>
                  </w:tcBorders>
                  <w:shd w:val="clear" w:color="auto" w:fill="auto"/>
                  <w:vAlign w:val="center"/>
                </w:tcPr>
                <w:p w14:paraId="4575D2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r>
            <w:tr w14:paraId="32FAB6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309" w:type="pct"/>
                  <w:vMerge w:val="restart"/>
                  <w:tcBorders>
                    <w:tl2br w:val="nil"/>
                    <w:tr2bl w:val="nil"/>
                  </w:tcBorders>
                  <w:shd w:val="clear" w:color="auto" w:fill="auto"/>
                  <w:vAlign w:val="center"/>
                </w:tcPr>
                <w:p w14:paraId="2AF0C0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实验废气、消毒废气</w:t>
                  </w:r>
                </w:p>
              </w:tc>
              <w:tc>
                <w:tcPr>
                  <w:tcW w:w="281" w:type="pct"/>
                  <w:tcBorders>
                    <w:tl2br w:val="nil"/>
                    <w:tr2bl w:val="nil"/>
                  </w:tcBorders>
                  <w:shd w:val="clear" w:color="auto" w:fill="auto"/>
                  <w:vAlign w:val="center"/>
                </w:tcPr>
                <w:p w14:paraId="558175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20m</w:t>
                  </w:r>
                </w:p>
                <w:p w14:paraId="6B7277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DA001</w:t>
                  </w:r>
                </w:p>
              </w:tc>
              <w:tc>
                <w:tcPr>
                  <w:tcW w:w="350" w:type="pct"/>
                  <w:tcBorders>
                    <w:tl2br w:val="nil"/>
                    <w:tr2bl w:val="nil"/>
                  </w:tcBorders>
                  <w:shd w:val="clear" w:color="auto" w:fill="auto"/>
                  <w:vAlign w:val="center"/>
                </w:tcPr>
                <w:p w14:paraId="72B605A8">
                  <w:pPr>
                    <w:pStyle w:val="36"/>
                    <w:keepNext w:val="0"/>
                    <w:keepLines w:val="0"/>
                    <w:pageBreakBefore w:val="0"/>
                    <w:suppressLineNumbers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sz w:val="18"/>
                      <w:szCs w:val="18"/>
                      <w:lang w:eastAsia="zh-CN"/>
                    </w:rPr>
                    <w:t>非甲烷总烃</w:t>
                  </w:r>
                </w:p>
              </w:tc>
              <w:tc>
                <w:tcPr>
                  <w:tcW w:w="350" w:type="pct"/>
                  <w:vMerge w:val="restart"/>
                  <w:tcBorders>
                    <w:tl2br w:val="nil"/>
                    <w:tr2bl w:val="nil"/>
                  </w:tcBorders>
                  <w:shd w:val="clear" w:color="auto" w:fill="auto"/>
                  <w:vAlign w:val="center"/>
                </w:tcPr>
                <w:p w14:paraId="4F4E1F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产污系数法</w:t>
                  </w:r>
                  <w:r>
                    <w:rPr>
                      <w:rFonts w:hint="eastAsia" w:cs="Times New Roman"/>
                      <w:color w:val="auto"/>
                      <w:kern w:val="0"/>
                      <w:sz w:val="18"/>
                      <w:szCs w:val="18"/>
                      <w:lang w:val="en-US" w:eastAsia="zh-CN" w:bidi="ar"/>
                    </w:rPr>
                    <w:t>、类比法</w:t>
                  </w:r>
                </w:p>
              </w:tc>
              <w:tc>
                <w:tcPr>
                  <w:tcW w:w="387" w:type="pct"/>
                  <w:tcBorders>
                    <w:tl2br w:val="nil"/>
                    <w:tr2bl w:val="nil"/>
                  </w:tcBorders>
                  <w:shd w:val="clear" w:color="auto" w:fill="auto"/>
                  <w:vAlign w:val="center"/>
                </w:tcPr>
                <w:p w14:paraId="187E4A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4000</w:t>
                  </w:r>
                </w:p>
              </w:tc>
              <w:tc>
                <w:tcPr>
                  <w:tcW w:w="420" w:type="pct"/>
                  <w:tcBorders>
                    <w:tl2br w:val="nil"/>
                    <w:tr2bl w:val="nil"/>
                  </w:tcBorders>
                  <w:shd w:val="clear" w:color="auto" w:fill="auto"/>
                  <w:vAlign w:val="center"/>
                </w:tcPr>
                <w:p w14:paraId="5C1270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18.4</w:t>
                  </w:r>
                </w:p>
              </w:tc>
              <w:tc>
                <w:tcPr>
                  <w:tcW w:w="249" w:type="pct"/>
                  <w:tcBorders>
                    <w:tl2br w:val="nil"/>
                    <w:tr2bl w:val="nil"/>
                  </w:tcBorders>
                  <w:shd w:val="clear" w:color="auto" w:fill="auto"/>
                  <w:vAlign w:val="center"/>
                </w:tcPr>
                <w:p w14:paraId="110EC6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0.07</w:t>
                  </w:r>
                  <w:r>
                    <w:rPr>
                      <w:rFonts w:hint="eastAsia" w:ascii="Times New Roman" w:hAnsi="Times New Roman" w:eastAsia="宋体" w:cs="Times New Roman"/>
                      <w:color w:val="auto"/>
                      <w:kern w:val="0"/>
                      <w:sz w:val="18"/>
                      <w:szCs w:val="18"/>
                      <w:lang w:val="en-US" w:eastAsia="zh-CN" w:bidi="ar"/>
                    </w:rPr>
                    <w:t>4</w:t>
                  </w:r>
                </w:p>
              </w:tc>
              <w:tc>
                <w:tcPr>
                  <w:tcW w:w="253" w:type="pct"/>
                  <w:tcBorders>
                    <w:tl2br w:val="nil"/>
                    <w:tr2bl w:val="nil"/>
                  </w:tcBorders>
                  <w:shd w:val="clear" w:color="auto" w:fill="auto"/>
                  <w:vAlign w:val="center"/>
                </w:tcPr>
                <w:p w14:paraId="19C86D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0.177</w:t>
                  </w:r>
                </w:p>
              </w:tc>
              <w:tc>
                <w:tcPr>
                  <w:tcW w:w="244" w:type="pct"/>
                  <w:tcBorders>
                    <w:tl2br w:val="nil"/>
                    <w:tr2bl w:val="nil"/>
                  </w:tcBorders>
                  <w:shd w:val="clear" w:color="auto" w:fill="auto"/>
                  <w:vAlign w:val="center"/>
                </w:tcPr>
                <w:p w14:paraId="616A33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95%</w:t>
                  </w:r>
                </w:p>
              </w:tc>
              <w:tc>
                <w:tcPr>
                  <w:tcW w:w="498" w:type="pct"/>
                  <w:tcBorders>
                    <w:tl2br w:val="nil"/>
                    <w:tr2bl w:val="nil"/>
                  </w:tcBorders>
                  <w:shd w:val="clear" w:color="auto" w:fill="auto"/>
                  <w:vAlign w:val="center"/>
                </w:tcPr>
                <w:p w14:paraId="25DA28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通风橱/生物安全柜</w:t>
                  </w: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两级活性炭吸附装置</w:t>
                  </w:r>
                </w:p>
              </w:tc>
              <w:tc>
                <w:tcPr>
                  <w:tcW w:w="219" w:type="pct"/>
                  <w:tcBorders>
                    <w:tl2br w:val="nil"/>
                    <w:tr2bl w:val="nil"/>
                  </w:tcBorders>
                  <w:shd w:val="clear" w:color="auto" w:fill="auto"/>
                  <w:vAlign w:val="center"/>
                </w:tcPr>
                <w:p w14:paraId="0B17E9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90%</w:t>
                  </w:r>
                </w:p>
              </w:tc>
              <w:tc>
                <w:tcPr>
                  <w:tcW w:w="338" w:type="pct"/>
                  <w:tcBorders>
                    <w:tl2br w:val="nil"/>
                    <w:tr2bl w:val="nil"/>
                  </w:tcBorders>
                  <w:shd w:val="clear" w:color="auto" w:fill="auto"/>
                  <w:vAlign w:val="center"/>
                </w:tcPr>
                <w:p w14:paraId="1581DD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40</w:t>
                  </w:r>
                  <w:r>
                    <w:rPr>
                      <w:rFonts w:hint="eastAsia" w:ascii="Times New Roman" w:hAnsi="Times New Roman" w:eastAsia="宋体" w:cs="Times New Roman"/>
                      <w:color w:val="auto"/>
                      <w:kern w:val="0"/>
                      <w:sz w:val="18"/>
                      <w:szCs w:val="18"/>
                      <w:lang w:val="en-US" w:eastAsia="zh-CN" w:bidi="ar"/>
                    </w:rPr>
                    <w:t>00</w:t>
                  </w:r>
                </w:p>
              </w:tc>
              <w:tc>
                <w:tcPr>
                  <w:tcW w:w="333" w:type="pct"/>
                  <w:tcBorders>
                    <w:tl2br w:val="nil"/>
                    <w:tr2bl w:val="nil"/>
                  </w:tcBorders>
                  <w:shd w:val="clear" w:color="auto" w:fill="auto"/>
                  <w:vAlign w:val="center"/>
                </w:tcPr>
                <w:p w14:paraId="4EF6EF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1.84</w:t>
                  </w:r>
                </w:p>
              </w:tc>
              <w:tc>
                <w:tcPr>
                  <w:tcW w:w="256" w:type="pct"/>
                  <w:tcBorders>
                    <w:tl2br w:val="nil"/>
                    <w:tr2bl w:val="nil"/>
                  </w:tcBorders>
                  <w:shd w:val="clear" w:color="auto" w:fill="auto"/>
                  <w:vAlign w:val="center"/>
                </w:tcPr>
                <w:p w14:paraId="50B4FF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0.007</w:t>
                  </w:r>
                </w:p>
              </w:tc>
              <w:tc>
                <w:tcPr>
                  <w:tcW w:w="242" w:type="pct"/>
                  <w:tcBorders>
                    <w:tl2br w:val="nil"/>
                    <w:tr2bl w:val="nil"/>
                  </w:tcBorders>
                  <w:shd w:val="clear" w:color="auto" w:fill="auto"/>
                  <w:vAlign w:val="center"/>
                </w:tcPr>
                <w:p w14:paraId="2D6973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0.018</w:t>
                  </w:r>
                </w:p>
              </w:tc>
              <w:tc>
                <w:tcPr>
                  <w:tcW w:w="262" w:type="pct"/>
                  <w:tcBorders>
                    <w:tl2br w:val="nil"/>
                    <w:tr2bl w:val="nil"/>
                  </w:tcBorders>
                  <w:shd w:val="clear" w:color="auto" w:fill="auto"/>
                  <w:vAlign w:val="center"/>
                </w:tcPr>
                <w:p w14:paraId="4FA1FA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2400</w:t>
                  </w:r>
                </w:p>
              </w:tc>
            </w:tr>
            <w:tr w14:paraId="3ADC21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309" w:type="pct"/>
                  <w:vMerge w:val="continue"/>
                  <w:tcBorders>
                    <w:tl2br w:val="nil"/>
                    <w:tr2bl w:val="nil"/>
                  </w:tcBorders>
                  <w:shd w:val="clear" w:color="auto" w:fill="auto"/>
                  <w:vAlign w:val="center"/>
                </w:tcPr>
                <w:p w14:paraId="5ECDDE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rPr>
                  </w:pPr>
                </w:p>
              </w:tc>
              <w:tc>
                <w:tcPr>
                  <w:tcW w:w="281" w:type="pct"/>
                  <w:tcBorders>
                    <w:tl2br w:val="nil"/>
                    <w:tr2bl w:val="nil"/>
                  </w:tcBorders>
                  <w:shd w:val="clear" w:color="auto" w:fill="auto"/>
                  <w:vAlign w:val="center"/>
                </w:tcPr>
                <w:p w14:paraId="5C036F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无组织</w:t>
                  </w:r>
                </w:p>
              </w:tc>
              <w:tc>
                <w:tcPr>
                  <w:tcW w:w="350" w:type="pct"/>
                  <w:tcBorders>
                    <w:tl2br w:val="nil"/>
                    <w:tr2bl w:val="nil"/>
                  </w:tcBorders>
                  <w:shd w:val="clear" w:color="auto" w:fill="auto"/>
                  <w:vAlign w:val="center"/>
                </w:tcPr>
                <w:p w14:paraId="246D7465">
                  <w:pPr>
                    <w:pStyle w:val="36"/>
                    <w:keepNext w:val="0"/>
                    <w:keepLines w:val="0"/>
                    <w:pageBreakBefore w:val="0"/>
                    <w:suppressLineNumbers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颗粒物</w:t>
                  </w:r>
                </w:p>
              </w:tc>
              <w:tc>
                <w:tcPr>
                  <w:tcW w:w="350" w:type="pct"/>
                  <w:vMerge w:val="continue"/>
                  <w:tcBorders>
                    <w:tl2br w:val="nil"/>
                    <w:tr2bl w:val="nil"/>
                  </w:tcBorders>
                  <w:shd w:val="clear" w:color="auto" w:fill="auto"/>
                  <w:vAlign w:val="center"/>
                </w:tcPr>
                <w:p w14:paraId="333E59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p>
              </w:tc>
              <w:tc>
                <w:tcPr>
                  <w:tcW w:w="387" w:type="pct"/>
                  <w:tcBorders>
                    <w:tl2br w:val="nil"/>
                    <w:tr2bl w:val="nil"/>
                  </w:tcBorders>
                  <w:shd w:val="clear" w:color="auto" w:fill="auto"/>
                  <w:vAlign w:val="center"/>
                </w:tcPr>
                <w:p w14:paraId="60402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420" w:type="pct"/>
                  <w:tcBorders>
                    <w:tl2br w:val="nil"/>
                    <w:tr2bl w:val="nil"/>
                  </w:tcBorders>
                  <w:shd w:val="clear" w:color="auto" w:fill="auto"/>
                  <w:vAlign w:val="center"/>
                </w:tcPr>
                <w:p w14:paraId="2E5B3F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249" w:type="pct"/>
                  <w:tcBorders>
                    <w:tl2br w:val="nil"/>
                    <w:tr2bl w:val="nil"/>
                  </w:tcBorders>
                  <w:shd w:val="clear" w:color="auto" w:fill="auto"/>
                  <w:vAlign w:val="center"/>
                </w:tcPr>
                <w:p w14:paraId="6F78F7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0.004</w:t>
                  </w:r>
                </w:p>
              </w:tc>
              <w:tc>
                <w:tcPr>
                  <w:tcW w:w="253" w:type="pct"/>
                  <w:tcBorders>
                    <w:tl2br w:val="nil"/>
                    <w:tr2bl w:val="nil"/>
                  </w:tcBorders>
                  <w:shd w:val="clear" w:color="auto" w:fill="auto"/>
                  <w:vAlign w:val="center"/>
                </w:tcPr>
                <w:p w14:paraId="596A11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0.009</w:t>
                  </w:r>
                </w:p>
              </w:tc>
              <w:tc>
                <w:tcPr>
                  <w:tcW w:w="244" w:type="pct"/>
                  <w:tcBorders>
                    <w:tl2br w:val="nil"/>
                    <w:tr2bl w:val="nil"/>
                  </w:tcBorders>
                  <w:shd w:val="clear" w:color="auto" w:fill="auto"/>
                  <w:vAlign w:val="center"/>
                </w:tcPr>
                <w:p w14:paraId="3D8673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498" w:type="pct"/>
                  <w:tcBorders>
                    <w:tl2br w:val="nil"/>
                    <w:tr2bl w:val="nil"/>
                  </w:tcBorders>
                  <w:shd w:val="clear" w:color="auto" w:fill="auto"/>
                  <w:vAlign w:val="center"/>
                </w:tcPr>
                <w:p w14:paraId="476797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219" w:type="pct"/>
                  <w:tcBorders>
                    <w:tl2br w:val="nil"/>
                    <w:tr2bl w:val="nil"/>
                  </w:tcBorders>
                  <w:shd w:val="clear" w:color="auto" w:fill="auto"/>
                  <w:vAlign w:val="center"/>
                </w:tcPr>
                <w:p w14:paraId="7B5FA4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0%</w:t>
                  </w:r>
                </w:p>
              </w:tc>
              <w:tc>
                <w:tcPr>
                  <w:tcW w:w="338" w:type="pct"/>
                  <w:tcBorders>
                    <w:tl2br w:val="nil"/>
                    <w:tr2bl w:val="nil"/>
                  </w:tcBorders>
                  <w:shd w:val="clear" w:color="auto" w:fill="auto"/>
                  <w:vAlign w:val="center"/>
                </w:tcPr>
                <w:p w14:paraId="13E6E4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333" w:type="pct"/>
                  <w:tcBorders>
                    <w:tl2br w:val="nil"/>
                    <w:tr2bl w:val="nil"/>
                  </w:tcBorders>
                  <w:shd w:val="clear" w:color="auto" w:fill="auto"/>
                  <w:vAlign w:val="center"/>
                </w:tcPr>
                <w:p w14:paraId="03C41F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256" w:type="pct"/>
                  <w:tcBorders>
                    <w:tl2br w:val="nil"/>
                    <w:tr2bl w:val="nil"/>
                  </w:tcBorders>
                  <w:shd w:val="clear" w:color="auto" w:fill="auto"/>
                  <w:vAlign w:val="center"/>
                </w:tcPr>
                <w:p w14:paraId="3214BE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0.004</w:t>
                  </w:r>
                </w:p>
              </w:tc>
              <w:tc>
                <w:tcPr>
                  <w:tcW w:w="242" w:type="pct"/>
                  <w:tcBorders>
                    <w:tl2br w:val="nil"/>
                    <w:tr2bl w:val="nil"/>
                  </w:tcBorders>
                  <w:shd w:val="clear" w:color="auto" w:fill="auto"/>
                  <w:vAlign w:val="center"/>
                </w:tcPr>
                <w:p w14:paraId="1F675C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0.009</w:t>
                  </w:r>
                </w:p>
              </w:tc>
              <w:tc>
                <w:tcPr>
                  <w:tcW w:w="262" w:type="pct"/>
                  <w:tcBorders>
                    <w:top w:val="single" w:color="auto" w:sz="4" w:space="0"/>
                    <w:tl2br w:val="nil"/>
                    <w:tr2bl w:val="nil"/>
                  </w:tcBorders>
                  <w:shd w:val="clear" w:color="auto" w:fill="auto"/>
                  <w:vAlign w:val="center"/>
                </w:tcPr>
                <w:p w14:paraId="45DDD8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2400</w:t>
                  </w:r>
                </w:p>
              </w:tc>
            </w:tr>
          </w:tbl>
          <w:p w14:paraId="00D93053">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leftChars="0" w:right="0" w:firstLine="0" w:firstLineChars="0"/>
              <w:jc w:val="center"/>
              <w:textAlignment w:val="auto"/>
              <w:rPr>
                <w:rFonts w:hint="default" w:eastAsia="宋体"/>
                <w:b/>
                <w:bCs/>
                <w:color w:val="auto"/>
                <w:lang w:val="en-US" w:eastAsia="zh-CN"/>
              </w:rPr>
            </w:pPr>
            <w:r>
              <w:rPr>
                <w:rFonts w:hint="eastAsia"/>
                <w:b/>
                <w:bCs/>
                <w:color w:val="auto"/>
                <w:lang w:val="en-US" w:eastAsia="zh-CN"/>
              </w:rPr>
              <w:t>表4.1-2  建设项目有组织废气污染源源强核算结果及相关参数一览表</w:t>
            </w:r>
          </w:p>
          <w:tbl>
            <w:tblPr>
              <w:tblStyle w:val="24"/>
              <w:tblW w:w="501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47"/>
              <w:gridCol w:w="1202"/>
              <w:gridCol w:w="936"/>
              <w:gridCol w:w="985"/>
              <w:gridCol w:w="872"/>
              <w:gridCol w:w="954"/>
              <w:gridCol w:w="1214"/>
              <w:gridCol w:w="663"/>
              <w:gridCol w:w="936"/>
              <w:gridCol w:w="985"/>
              <w:gridCol w:w="900"/>
              <w:gridCol w:w="916"/>
              <w:gridCol w:w="724"/>
              <w:gridCol w:w="634"/>
              <w:gridCol w:w="865"/>
            </w:tblGrid>
            <w:tr w14:paraId="7C189F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6" w:hRule="atLeast"/>
                <w:jc w:val="center"/>
              </w:trPr>
              <w:tc>
                <w:tcPr>
                  <w:tcW w:w="278" w:type="pct"/>
                  <w:vMerge w:val="restart"/>
                  <w:tcBorders>
                    <w:tl2br w:val="nil"/>
                    <w:tr2bl w:val="nil"/>
                  </w:tcBorders>
                  <w:shd w:val="clear" w:color="auto" w:fill="auto"/>
                  <w:vAlign w:val="center"/>
                </w:tcPr>
                <w:p w14:paraId="1D490E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eastAsia" w:cs="Times New Roman"/>
                      <w:b/>
                      <w:bCs/>
                      <w:color w:val="auto"/>
                      <w:kern w:val="0"/>
                      <w:sz w:val="18"/>
                      <w:szCs w:val="18"/>
                      <w:lang w:val="en-US" w:eastAsia="zh-CN" w:bidi="ar"/>
                    </w:rPr>
                    <w:t>排放</w:t>
                  </w:r>
                  <w:r>
                    <w:rPr>
                      <w:rFonts w:hint="default" w:ascii="Times New Roman" w:hAnsi="Times New Roman" w:eastAsia="宋体" w:cs="Times New Roman"/>
                      <w:b/>
                      <w:bCs/>
                      <w:color w:val="auto"/>
                      <w:kern w:val="0"/>
                      <w:sz w:val="18"/>
                      <w:szCs w:val="18"/>
                      <w:lang w:val="en-US" w:eastAsia="zh-CN" w:bidi="ar"/>
                    </w:rPr>
                    <w:t>源</w:t>
                  </w:r>
                </w:p>
              </w:tc>
              <w:tc>
                <w:tcPr>
                  <w:tcW w:w="446" w:type="pct"/>
                  <w:vMerge w:val="restart"/>
                  <w:tcBorders>
                    <w:tl2br w:val="nil"/>
                    <w:tr2bl w:val="nil"/>
                  </w:tcBorders>
                  <w:shd w:val="clear" w:color="auto" w:fill="auto"/>
                  <w:vAlign w:val="center"/>
                </w:tcPr>
                <w:p w14:paraId="21A9D8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污染物</w:t>
                  </w:r>
                </w:p>
              </w:tc>
              <w:tc>
                <w:tcPr>
                  <w:tcW w:w="346" w:type="pct"/>
                  <w:vMerge w:val="restart"/>
                  <w:tcBorders>
                    <w:tl2br w:val="nil"/>
                    <w:tr2bl w:val="nil"/>
                  </w:tcBorders>
                  <w:shd w:val="clear" w:color="auto" w:fill="auto"/>
                  <w:vAlign w:val="center"/>
                </w:tcPr>
                <w:p w14:paraId="75F4E7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废气产生量</w:t>
                  </w:r>
                  <w:r>
                    <w:rPr>
                      <w:rFonts w:hint="eastAsia" w:cs="Times New Roman"/>
                      <w:b/>
                      <w:bCs/>
                      <w:color w:val="auto"/>
                      <w:kern w:val="0"/>
                      <w:sz w:val="18"/>
                      <w:szCs w:val="18"/>
                      <w:lang w:val="en-US" w:eastAsia="zh-CN" w:bidi="ar"/>
                    </w:rPr>
                    <w:t>（</w:t>
                  </w:r>
                  <w:r>
                    <w:rPr>
                      <w:rFonts w:hint="default" w:ascii="Times New Roman" w:hAnsi="Times New Roman" w:eastAsia="宋体" w:cs="Times New Roman"/>
                      <w:b/>
                      <w:bCs/>
                      <w:color w:val="auto"/>
                      <w:kern w:val="0"/>
                      <w:sz w:val="18"/>
                      <w:szCs w:val="18"/>
                      <w:lang w:val="en-US" w:eastAsia="zh-CN" w:bidi="ar"/>
                    </w:rPr>
                    <w:t>m</w:t>
                  </w:r>
                  <w:r>
                    <w:rPr>
                      <w:rFonts w:hint="default" w:ascii="Times New Roman" w:hAnsi="Times New Roman" w:eastAsia="宋体" w:cs="Times New Roman"/>
                      <w:b/>
                      <w:bCs/>
                      <w:color w:val="auto"/>
                      <w:kern w:val="0"/>
                      <w:sz w:val="18"/>
                      <w:szCs w:val="18"/>
                      <w:vertAlign w:val="superscript"/>
                      <w:lang w:val="en-US" w:eastAsia="zh-CN" w:bidi="ar"/>
                    </w:rPr>
                    <w:t>3</w:t>
                  </w:r>
                  <w:r>
                    <w:rPr>
                      <w:rFonts w:hint="default" w:ascii="Times New Roman" w:hAnsi="Times New Roman" w:eastAsia="宋体" w:cs="Times New Roman"/>
                      <w:b/>
                      <w:bCs/>
                      <w:color w:val="auto"/>
                      <w:kern w:val="0"/>
                      <w:sz w:val="18"/>
                      <w:szCs w:val="18"/>
                      <w:lang w:val="en-US" w:eastAsia="zh-CN" w:bidi="ar"/>
                    </w:rPr>
                    <w:t>/h</w:t>
                  </w:r>
                  <w:r>
                    <w:rPr>
                      <w:rFonts w:hint="eastAsia" w:cs="Times New Roman"/>
                      <w:b/>
                      <w:bCs/>
                      <w:color w:val="auto"/>
                      <w:kern w:val="0"/>
                      <w:sz w:val="18"/>
                      <w:szCs w:val="18"/>
                      <w:lang w:val="en-US" w:eastAsia="zh-CN" w:bidi="ar"/>
                    </w:rPr>
                    <w:t>）</w:t>
                  </w:r>
                </w:p>
              </w:tc>
              <w:tc>
                <w:tcPr>
                  <w:tcW w:w="361" w:type="pct"/>
                  <w:vMerge w:val="restart"/>
                  <w:tcBorders>
                    <w:tl2br w:val="nil"/>
                    <w:tr2bl w:val="nil"/>
                  </w:tcBorders>
                  <w:shd w:val="clear" w:color="auto" w:fill="auto"/>
                  <w:vAlign w:val="center"/>
                </w:tcPr>
                <w:p w14:paraId="0003C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产生浓度</w:t>
                  </w:r>
                  <w:r>
                    <w:rPr>
                      <w:rFonts w:hint="eastAsia" w:cs="Times New Roman"/>
                      <w:b/>
                      <w:bCs/>
                      <w:color w:val="auto"/>
                      <w:kern w:val="0"/>
                      <w:sz w:val="18"/>
                      <w:szCs w:val="18"/>
                      <w:lang w:val="en-US" w:eastAsia="zh-CN" w:bidi="ar"/>
                    </w:rPr>
                    <w:t>（</w:t>
                  </w:r>
                  <w:r>
                    <w:rPr>
                      <w:rFonts w:hint="default" w:ascii="Times New Roman" w:hAnsi="Times New Roman" w:eastAsia="宋体" w:cs="Times New Roman"/>
                      <w:b/>
                      <w:bCs/>
                      <w:color w:val="auto"/>
                      <w:kern w:val="0"/>
                      <w:sz w:val="18"/>
                      <w:szCs w:val="18"/>
                      <w:lang w:val="en-US" w:eastAsia="zh-CN" w:bidi="ar"/>
                    </w:rPr>
                    <w:t>mg/m</w:t>
                  </w:r>
                  <w:r>
                    <w:rPr>
                      <w:rFonts w:hint="default" w:ascii="Times New Roman" w:hAnsi="Times New Roman" w:eastAsia="宋体" w:cs="Times New Roman"/>
                      <w:b/>
                      <w:bCs/>
                      <w:color w:val="auto"/>
                      <w:kern w:val="0"/>
                      <w:sz w:val="18"/>
                      <w:szCs w:val="18"/>
                      <w:vertAlign w:val="superscript"/>
                      <w:lang w:val="en-US" w:eastAsia="zh-CN" w:bidi="ar"/>
                    </w:rPr>
                    <w:t>3</w:t>
                  </w:r>
                  <w:r>
                    <w:rPr>
                      <w:rFonts w:hint="eastAsia" w:cs="Times New Roman"/>
                      <w:b/>
                      <w:bCs/>
                      <w:color w:val="auto"/>
                      <w:kern w:val="0"/>
                      <w:sz w:val="18"/>
                      <w:szCs w:val="18"/>
                      <w:vertAlign w:val="superscript"/>
                      <w:lang w:val="en-US" w:eastAsia="zh-CN" w:bidi="ar"/>
                    </w:rPr>
                    <w:t>）</w:t>
                  </w:r>
                </w:p>
              </w:tc>
              <w:tc>
                <w:tcPr>
                  <w:tcW w:w="672" w:type="pct"/>
                  <w:gridSpan w:val="2"/>
                  <w:tcBorders>
                    <w:tl2br w:val="nil"/>
                    <w:tr2bl w:val="nil"/>
                  </w:tcBorders>
                  <w:shd w:val="clear" w:color="auto" w:fill="auto"/>
                  <w:vAlign w:val="center"/>
                </w:tcPr>
                <w:p w14:paraId="541A98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产生量</w:t>
                  </w:r>
                </w:p>
              </w:tc>
              <w:tc>
                <w:tcPr>
                  <w:tcW w:w="699" w:type="pct"/>
                  <w:gridSpan w:val="2"/>
                  <w:tcBorders>
                    <w:tl2br w:val="nil"/>
                    <w:tr2bl w:val="nil"/>
                  </w:tcBorders>
                  <w:shd w:val="clear" w:color="auto" w:fill="auto"/>
                  <w:vAlign w:val="center"/>
                </w:tcPr>
                <w:p w14:paraId="4E8C8D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治理措施</w:t>
                  </w:r>
                </w:p>
              </w:tc>
              <w:tc>
                <w:tcPr>
                  <w:tcW w:w="346" w:type="pct"/>
                  <w:vMerge w:val="restart"/>
                  <w:tcBorders>
                    <w:tl2br w:val="nil"/>
                    <w:tr2bl w:val="nil"/>
                  </w:tcBorders>
                  <w:shd w:val="clear" w:color="auto" w:fill="auto"/>
                  <w:vAlign w:val="center"/>
                </w:tcPr>
                <w:p w14:paraId="6F11A4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废气排放量</w:t>
                  </w:r>
                  <w:r>
                    <w:rPr>
                      <w:rFonts w:hint="eastAsia" w:cs="Times New Roman"/>
                      <w:b/>
                      <w:bCs/>
                      <w:color w:val="auto"/>
                      <w:kern w:val="0"/>
                      <w:sz w:val="18"/>
                      <w:szCs w:val="18"/>
                      <w:lang w:val="en-US" w:eastAsia="zh-CN" w:bidi="ar"/>
                    </w:rPr>
                    <w:t>（</w:t>
                  </w:r>
                  <w:r>
                    <w:rPr>
                      <w:rFonts w:hint="default" w:ascii="Times New Roman" w:hAnsi="Times New Roman" w:eastAsia="宋体" w:cs="Times New Roman"/>
                      <w:b/>
                      <w:bCs/>
                      <w:color w:val="auto"/>
                      <w:kern w:val="0"/>
                      <w:sz w:val="18"/>
                      <w:szCs w:val="18"/>
                      <w:lang w:val="en-US" w:eastAsia="zh-CN" w:bidi="ar"/>
                    </w:rPr>
                    <w:t>m</w:t>
                  </w:r>
                  <w:r>
                    <w:rPr>
                      <w:rFonts w:hint="default" w:ascii="Times New Roman" w:hAnsi="Times New Roman" w:eastAsia="宋体" w:cs="Times New Roman"/>
                      <w:b/>
                      <w:bCs/>
                      <w:color w:val="auto"/>
                      <w:kern w:val="0"/>
                      <w:sz w:val="18"/>
                      <w:szCs w:val="18"/>
                      <w:vertAlign w:val="superscript"/>
                      <w:lang w:val="en-US" w:eastAsia="zh-CN" w:bidi="ar"/>
                    </w:rPr>
                    <w:t>3</w:t>
                  </w:r>
                  <w:r>
                    <w:rPr>
                      <w:rFonts w:hint="default" w:ascii="Times New Roman" w:hAnsi="Times New Roman" w:eastAsia="宋体" w:cs="Times New Roman"/>
                      <w:b/>
                      <w:bCs/>
                      <w:color w:val="auto"/>
                      <w:kern w:val="0"/>
                      <w:sz w:val="18"/>
                      <w:szCs w:val="18"/>
                      <w:lang w:val="en-US" w:eastAsia="zh-CN" w:bidi="ar"/>
                    </w:rPr>
                    <w:t>/h</w:t>
                  </w:r>
                  <w:r>
                    <w:rPr>
                      <w:rFonts w:hint="eastAsia" w:cs="Times New Roman"/>
                      <w:b/>
                      <w:bCs/>
                      <w:color w:val="auto"/>
                      <w:kern w:val="0"/>
                      <w:sz w:val="18"/>
                      <w:szCs w:val="18"/>
                      <w:lang w:val="en-US" w:eastAsia="zh-CN" w:bidi="ar"/>
                    </w:rPr>
                    <w:t>）</w:t>
                  </w:r>
                </w:p>
              </w:tc>
              <w:tc>
                <w:tcPr>
                  <w:tcW w:w="351" w:type="pct"/>
                  <w:vMerge w:val="restart"/>
                  <w:tcBorders>
                    <w:tl2br w:val="nil"/>
                    <w:tr2bl w:val="nil"/>
                  </w:tcBorders>
                  <w:shd w:val="clear" w:color="auto" w:fill="auto"/>
                  <w:vAlign w:val="center"/>
                </w:tcPr>
                <w:p w14:paraId="7527C9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排放浓度</w:t>
                  </w:r>
                  <w:r>
                    <w:rPr>
                      <w:rFonts w:hint="eastAsia" w:cs="Times New Roman"/>
                      <w:b/>
                      <w:bCs/>
                      <w:color w:val="auto"/>
                      <w:kern w:val="0"/>
                      <w:sz w:val="18"/>
                      <w:szCs w:val="18"/>
                      <w:lang w:val="en-US" w:eastAsia="zh-CN" w:bidi="ar"/>
                    </w:rPr>
                    <w:t>（</w:t>
                  </w:r>
                  <w:r>
                    <w:rPr>
                      <w:rFonts w:hint="default" w:ascii="Times New Roman" w:hAnsi="Times New Roman" w:eastAsia="宋体" w:cs="Times New Roman"/>
                      <w:b/>
                      <w:bCs/>
                      <w:color w:val="auto"/>
                      <w:kern w:val="0"/>
                      <w:sz w:val="18"/>
                      <w:szCs w:val="18"/>
                      <w:lang w:val="en-US" w:eastAsia="zh-CN" w:bidi="ar"/>
                    </w:rPr>
                    <w:t>mg/m</w:t>
                  </w:r>
                  <w:r>
                    <w:rPr>
                      <w:rFonts w:hint="default" w:ascii="Times New Roman" w:hAnsi="Times New Roman" w:eastAsia="宋体" w:cs="Times New Roman"/>
                      <w:b/>
                      <w:bCs/>
                      <w:color w:val="auto"/>
                      <w:kern w:val="0"/>
                      <w:sz w:val="18"/>
                      <w:szCs w:val="18"/>
                      <w:vertAlign w:val="superscript"/>
                      <w:lang w:val="en-US" w:eastAsia="zh-CN" w:bidi="ar"/>
                    </w:rPr>
                    <w:t>3</w:t>
                  </w:r>
                  <w:r>
                    <w:rPr>
                      <w:rFonts w:hint="eastAsia" w:cs="Times New Roman"/>
                      <w:b/>
                      <w:bCs/>
                      <w:color w:val="auto"/>
                      <w:kern w:val="0"/>
                      <w:sz w:val="18"/>
                      <w:szCs w:val="18"/>
                      <w:vertAlign w:val="superscript"/>
                      <w:lang w:val="en-US" w:eastAsia="zh-CN" w:bidi="ar"/>
                    </w:rPr>
                    <w:t>）</w:t>
                  </w:r>
                </w:p>
              </w:tc>
              <w:tc>
                <w:tcPr>
                  <w:tcW w:w="668" w:type="pct"/>
                  <w:gridSpan w:val="2"/>
                  <w:tcBorders>
                    <w:tl2br w:val="nil"/>
                    <w:tr2bl w:val="nil"/>
                  </w:tcBorders>
                  <w:shd w:val="clear" w:color="auto" w:fill="auto"/>
                  <w:vAlign w:val="center"/>
                </w:tcPr>
                <w:p w14:paraId="087243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排放量</w:t>
                  </w:r>
                </w:p>
              </w:tc>
              <w:tc>
                <w:tcPr>
                  <w:tcW w:w="507" w:type="pct"/>
                  <w:gridSpan w:val="2"/>
                  <w:tcBorders>
                    <w:tl2br w:val="nil"/>
                    <w:tr2bl w:val="nil"/>
                  </w:tcBorders>
                  <w:shd w:val="clear" w:color="auto" w:fill="auto"/>
                  <w:vAlign w:val="center"/>
                </w:tcPr>
                <w:p w14:paraId="4AE471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执行标准</w:t>
                  </w:r>
                </w:p>
              </w:tc>
              <w:tc>
                <w:tcPr>
                  <w:tcW w:w="321" w:type="pct"/>
                  <w:vMerge w:val="restart"/>
                  <w:tcBorders>
                    <w:tl2br w:val="nil"/>
                    <w:tr2bl w:val="nil"/>
                  </w:tcBorders>
                  <w:shd w:val="clear" w:color="auto" w:fill="auto"/>
                  <w:vAlign w:val="center"/>
                </w:tcPr>
                <w:p w14:paraId="6992AE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排放时间</w:t>
                  </w:r>
                  <w:r>
                    <w:rPr>
                      <w:rFonts w:hint="eastAsia" w:cs="Times New Roman"/>
                      <w:b/>
                      <w:bCs/>
                      <w:color w:val="auto"/>
                      <w:kern w:val="0"/>
                      <w:sz w:val="18"/>
                      <w:szCs w:val="18"/>
                      <w:lang w:val="en-US" w:eastAsia="zh-CN" w:bidi="ar"/>
                    </w:rPr>
                    <w:t>（</w:t>
                  </w:r>
                  <w:r>
                    <w:rPr>
                      <w:rFonts w:hint="default" w:ascii="Times New Roman" w:hAnsi="Times New Roman" w:eastAsia="宋体" w:cs="Times New Roman"/>
                      <w:b/>
                      <w:bCs/>
                      <w:color w:val="auto"/>
                      <w:kern w:val="0"/>
                      <w:sz w:val="18"/>
                      <w:szCs w:val="18"/>
                      <w:lang w:val="en-US" w:eastAsia="zh-CN" w:bidi="ar"/>
                    </w:rPr>
                    <w:t>h</w:t>
                  </w:r>
                  <w:r>
                    <w:rPr>
                      <w:rFonts w:hint="eastAsia" w:cs="Times New Roman"/>
                      <w:b/>
                      <w:bCs/>
                      <w:color w:val="auto"/>
                      <w:kern w:val="0"/>
                      <w:sz w:val="18"/>
                      <w:szCs w:val="18"/>
                      <w:lang w:val="en-US" w:eastAsia="zh-CN" w:bidi="ar"/>
                    </w:rPr>
                    <w:t>）</w:t>
                  </w:r>
                </w:p>
              </w:tc>
            </w:tr>
            <w:tr w14:paraId="2E0EBC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278" w:type="pct"/>
                  <w:vMerge w:val="continue"/>
                  <w:tcBorders>
                    <w:tl2br w:val="nil"/>
                    <w:tr2bl w:val="nil"/>
                  </w:tcBorders>
                  <w:shd w:val="clear" w:color="auto" w:fill="auto"/>
                  <w:vAlign w:val="center"/>
                </w:tcPr>
                <w:p w14:paraId="3A20AB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446" w:type="pct"/>
                  <w:vMerge w:val="continue"/>
                  <w:tcBorders>
                    <w:tl2br w:val="nil"/>
                    <w:tr2bl w:val="nil"/>
                  </w:tcBorders>
                  <w:shd w:val="clear" w:color="auto" w:fill="auto"/>
                  <w:vAlign w:val="center"/>
                </w:tcPr>
                <w:p w14:paraId="23F29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46" w:type="pct"/>
                  <w:vMerge w:val="continue"/>
                  <w:tcBorders>
                    <w:tl2br w:val="nil"/>
                    <w:tr2bl w:val="nil"/>
                  </w:tcBorders>
                  <w:shd w:val="clear" w:color="auto" w:fill="auto"/>
                  <w:vAlign w:val="center"/>
                </w:tcPr>
                <w:p w14:paraId="703C56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61" w:type="pct"/>
                  <w:vMerge w:val="continue"/>
                  <w:tcBorders>
                    <w:tl2br w:val="nil"/>
                    <w:tr2bl w:val="nil"/>
                  </w:tcBorders>
                  <w:shd w:val="clear" w:color="auto" w:fill="auto"/>
                  <w:vAlign w:val="center"/>
                </w:tcPr>
                <w:p w14:paraId="40FAE5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21" w:type="pct"/>
                  <w:tcBorders>
                    <w:tl2br w:val="nil"/>
                    <w:tr2bl w:val="nil"/>
                  </w:tcBorders>
                  <w:shd w:val="clear" w:color="auto" w:fill="auto"/>
                  <w:vAlign w:val="center"/>
                </w:tcPr>
                <w:p w14:paraId="7147DC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kg/h</w:t>
                  </w:r>
                </w:p>
              </w:tc>
              <w:tc>
                <w:tcPr>
                  <w:tcW w:w="351" w:type="pct"/>
                  <w:tcBorders>
                    <w:tl2br w:val="nil"/>
                    <w:tr2bl w:val="nil"/>
                  </w:tcBorders>
                  <w:shd w:val="clear" w:color="auto" w:fill="auto"/>
                  <w:vAlign w:val="center"/>
                </w:tcPr>
                <w:p w14:paraId="2BFB7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t/a</w:t>
                  </w:r>
                </w:p>
              </w:tc>
              <w:tc>
                <w:tcPr>
                  <w:tcW w:w="452" w:type="pct"/>
                  <w:tcBorders>
                    <w:tl2br w:val="nil"/>
                    <w:tr2bl w:val="nil"/>
                  </w:tcBorders>
                  <w:shd w:val="clear" w:color="auto" w:fill="auto"/>
                  <w:vAlign w:val="center"/>
                </w:tcPr>
                <w:p w14:paraId="4CE514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0"/>
                      <w:sz w:val="18"/>
                      <w:szCs w:val="18"/>
                      <w:lang w:val="en-US" w:eastAsia="zh-CN" w:bidi="ar"/>
                    </w:rPr>
                    <w:t>工艺</w:t>
                  </w:r>
                </w:p>
              </w:tc>
              <w:tc>
                <w:tcPr>
                  <w:tcW w:w="247" w:type="pct"/>
                  <w:tcBorders>
                    <w:tl2br w:val="nil"/>
                    <w:tr2bl w:val="nil"/>
                  </w:tcBorders>
                  <w:shd w:val="clear" w:color="auto" w:fill="auto"/>
                  <w:vAlign w:val="center"/>
                </w:tcPr>
                <w:p w14:paraId="057E39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0"/>
                      <w:sz w:val="18"/>
                      <w:szCs w:val="18"/>
                      <w:lang w:val="en-US" w:eastAsia="zh-CN" w:bidi="ar"/>
                    </w:rPr>
                    <w:t>效率</w:t>
                  </w:r>
                </w:p>
              </w:tc>
              <w:tc>
                <w:tcPr>
                  <w:tcW w:w="346" w:type="pct"/>
                  <w:vMerge w:val="continue"/>
                  <w:tcBorders>
                    <w:tl2br w:val="nil"/>
                    <w:tr2bl w:val="nil"/>
                  </w:tcBorders>
                  <w:shd w:val="clear" w:color="auto" w:fill="auto"/>
                  <w:vAlign w:val="center"/>
                </w:tcPr>
                <w:p w14:paraId="623612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51" w:type="pct"/>
                  <w:vMerge w:val="continue"/>
                  <w:tcBorders>
                    <w:tl2br w:val="nil"/>
                    <w:tr2bl w:val="nil"/>
                  </w:tcBorders>
                  <w:shd w:val="clear" w:color="auto" w:fill="auto"/>
                  <w:vAlign w:val="center"/>
                </w:tcPr>
                <w:p w14:paraId="62AB6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c>
                <w:tcPr>
                  <w:tcW w:w="331" w:type="pct"/>
                  <w:tcBorders>
                    <w:tl2br w:val="nil"/>
                    <w:tr2bl w:val="nil"/>
                  </w:tcBorders>
                  <w:shd w:val="clear" w:color="auto" w:fill="auto"/>
                  <w:vAlign w:val="center"/>
                </w:tcPr>
                <w:p w14:paraId="3460D2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kg/h</w:t>
                  </w:r>
                </w:p>
              </w:tc>
              <w:tc>
                <w:tcPr>
                  <w:tcW w:w="337" w:type="pct"/>
                  <w:tcBorders>
                    <w:tl2br w:val="nil"/>
                    <w:tr2bl w:val="nil"/>
                  </w:tcBorders>
                  <w:shd w:val="clear" w:color="auto" w:fill="auto"/>
                  <w:vAlign w:val="center"/>
                </w:tcPr>
                <w:p w14:paraId="4714B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lang w:val="en-US"/>
                    </w:rPr>
                  </w:pPr>
                  <w:r>
                    <w:rPr>
                      <w:rFonts w:hint="default" w:ascii="Times New Roman" w:hAnsi="Times New Roman" w:eastAsia="宋体" w:cs="Times New Roman"/>
                      <w:b/>
                      <w:bCs/>
                      <w:color w:val="auto"/>
                      <w:kern w:val="0"/>
                      <w:sz w:val="18"/>
                      <w:szCs w:val="18"/>
                      <w:lang w:val="en-US" w:eastAsia="zh-CN" w:bidi="ar"/>
                    </w:rPr>
                    <w:t>t/a</w:t>
                  </w:r>
                </w:p>
              </w:tc>
              <w:tc>
                <w:tcPr>
                  <w:tcW w:w="271" w:type="pct"/>
                  <w:tcBorders>
                    <w:tl2br w:val="nil"/>
                    <w:tr2bl w:val="nil"/>
                  </w:tcBorders>
                  <w:shd w:val="clear" w:color="auto" w:fill="auto"/>
                  <w:vAlign w:val="center"/>
                </w:tcPr>
                <w:p w14:paraId="1107C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0"/>
                      <w:sz w:val="18"/>
                      <w:szCs w:val="18"/>
                      <w:lang w:val="en-US" w:eastAsia="zh-CN" w:bidi="ar"/>
                    </w:rPr>
                    <w:t>mg/m</w:t>
                  </w:r>
                  <w:r>
                    <w:rPr>
                      <w:rFonts w:hint="default" w:ascii="Times New Roman" w:hAnsi="Times New Roman" w:eastAsia="宋体" w:cs="Times New Roman"/>
                      <w:b/>
                      <w:bCs/>
                      <w:color w:val="auto"/>
                      <w:kern w:val="0"/>
                      <w:sz w:val="18"/>
                      <w:szCs w:val="18"/>
                      <w:vertAlign w:val="superscript"/>
                      <w:lang w:val="en-US" w:eastAsia="zh-CN" w:bidi="ar"/>
                    </w:rPr>
                    <w:t>3</w:t>
                  </w:r>
                </w:p>
              </w:tc>
              <w:tc>
                <w:tcPr>
                  <w:tcW w:w="236" w:type="pct"/>
                  <w:tcBorders>
                    <w:tl2br w:val="nil"/>
                    <w:tr2bl w:val="nil"/>
                  </w:tcBorders>
                  <w:shd w:val="clear" w:color="auto" w:fill="auto"/>
                  <w:vAlign w:val="center"/>
                </w:tcPr>
                <w:p w14:paraId="612BF2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0"/>
                      <w:sz w:val="18"/>
                      <w:szCs w:val="18"/>
                      <w:lang w:val="en-US" w:eastAsia="zh-CN" w:bidi="ar"/>
                    </w:rPr>
                    <w:t>kg/h</w:t>
                  </w:r>
                </w:p>
              </w:tc>
              <w:tc>
                <w:tcPr>
                  <w:tcW w:w="321" w:type="pct"/>
                  <w:vMerge w:val="continue"/>
                  <w:tcBorders>
                    <w:tl2br w:val="nil"/>
                    <w:tr2bl w:val="nil"/>
                  </w:tcBorders>
                  <w:shd w:val="clear" w:color="auto" w:fill="auto"/>
                  <w:vAlign w:val="center"/>
                </w:tcPr>
                <w:p w14:paraId="11C8A6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rPr>
                  </w:pPr>
                </w:p>
              </w:tc>
            </w:tr>
            <w:tr w14:paraId="4C207F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278" w:type="pct"/>
                  <w:tcBorders>
                    <w:tl2br w:val="nil"/>
                    <w:tr2bl w:val="nil"/>
                  </w:tcBorders>
                  <w:shd w:val="clear" w:color="auto" w:fill="auto"/>
                  <w:noWrap/>
                  <w:vAlign w:val="center"/>
                </w:tcPr>
                <w:p w14:paraId="1BB9D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20m</w:t>
                  </w:r>
                </w:p>
                <w:p w14:paraId="37D6F4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DA00</w:t>
                  </w:r>
                  <w:r>
                    <w:rPr>
                      <w:rFonts w:hint="default" w:ascii="Times New Roman" w:hAnsi="Times New Roman" w:cs="Times New Roman"/>
                      <w:color w:val="auto"/>
                      <w:kern w:val="0"/>
                      <w:sz w:val="18"/>
                      <w:szCs w:val="18"/>
                      <w:lang w:val="en-US" w:eastAsia="zh-CN" w:bidi="ar"/>
                    </w:rPr>
                    <w:t>1</w:t>
                  </w:r>
                </w:p>
              </w:tc>
              <w:tc>
                <w:tcPr>
                  <w:tcW w:w="446" w:type="pct"/>
                  <w:tcBorders>
                    <w:tl2br w:val="nil"/>
                    <w:tr2bl w:val="nil"/>
                  </w:tcBorders>
                  <w:shd w:val="clear" w:color="auto" w:fill="auto"/>
                  <w:vAlign w:val="center"/>
                </w:tcPr>
                <w:p w14:paraId="221A96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sz w:val="18"/>
                      <w:szCs w:val="18"/>
                      <w:lang w:eastAsia="zh-CN"/>
                    </w:rPr>
                    <w:t>非甲烷总烃</w:t>
                  </w:r>
                </w:p>
              </w:tc>
              <w:tc>
                <w:tcPr>
                  <w:tcW w:w="346" w:type="pct"/>
                  <w:tcBorders>
                    <w:tl2br w:val="nil"/>
                    <w:tr2bl w:val="nil"/>
                  </w:tcBorders>
                  <w:shd w:val="clear" w:color="auto" w:fill="auto"/>
                  <w:noWrap/>
                  <w:vAlign w:val="center"/>
                </w:tcPr>
                <w:p w14:paraId="2E6CA1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kern w:val="0"/>
                      <w:sz w:val="18"/>
                      <w:szCs w:val="18"/>
                      <w:lang w:val="en-US" w:eastAsia="zh-CN" w:bidi="ar"/>
                    </w:rPr>
                    <w:t>4000</w:t>
                  </w:r>
                </w:p>
              </w:tc>
              <w:tc>
                <w:tcPr>
                  <w:tcW w:w="981" w:type="dxa"/>
                  <w:tcBorders>
                    <w:tl2br w:val="nil"/>
                    <w:tr2bl w:val="nil"/>
                  </w:tcBorders>
                  <w:shd w:val="clear" w:color="auto" w:fill="auto"/>
                  <w:noWrap/>
                  <w:vAlign w:val="center"/>
                </w:tcPr>
                <w:p w14:paraId="06D4AC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18.4</w:t>
                  </w:r>
                </w:p>
              </w:tc>
              <w:tc>
                <w:tcPr>
                  <w:tcW w:w="872" w:type="dxa"/>
                  <w:tcBorders>
                    <w:tl2br w:val="nil"/>
                    <w:tr2bl w:val="nil"/>
                  </w:tcBorders>
                  <w:shd w:val="clear" w:color="auto" w:fill="auto"/>
                  <w:noWrap/>
                  <w:vAlign w:val="center"/>
                </w:tcPr>
                <w:p w14:paraId="117A85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0.07</w:t>
                  </w:r>
                  <w:r>
                    <w:rPr>
                      <w:rFonts w:hint="eastAsia" w:ascii="Times New Roman" w:hAnsi="Times New Roman" w:eastAsia="宋体" w:cs="Times New Roman"/>
                      <w:color w:val="auto"/>
                      <w:kern w:val="0"/>
                      <w:sz w:val="18"/>
                      <w:szCs w:val="18"/>
                      <w:lang w:val="en-US" w:eastAsia="zh-CN" w:bidi="ar"/>
                    </w:rPr>
                    <w:t>4</w:t>
                  </w:r>
                </w:p>
              </w:tc>
              <w:tc>
                <w:tcPr>
                  <w:tcW w:w="954" w:type="dxa"/>
                  <w:tcBorders>
                    <w:tl2br w:val="nil"/>
                    <w:tr2bl w:val="nil"/>
                  </w:tcBorders>
                  <w:shd w:val="clear" w:color="auto" w:fill="auto"/>
                  <w:noWrap/>
                  <w:vAlign w:val="center"/>
                </w:tcPr>
                <w:p w14:paraId="5E37C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0.177</w:t>
                  </w:r>
                </w:p>
              </w:tc>
              <w:tc>
                <w:tcPr>
                  <w:tcW w:w="452" w:type="pct"/>
                  <w:tcBorders>
                    <w:tl2br w:val="nil"/>
                    <w:tr2bl w:val="nil"/>
                  </w:tcBorders>
                  <w:shd w:val="clear" w:color="auto" w:fill="auto"/>
                  <w:vAlign w:val="center"/>
                </w:tcPr>
                <w:p w14:paraId="7A4C1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通风橱/生物安全柜</w:t>
                  </w: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两级活性炭吸附装置</w:t>
                  </w:r>
                </w:p>
              </w:tc>
              <w:tc>
                <w:tcPr>
                  <w:tcW w:w="247" w:type="pct"/>
                  <w:tcBorders>
                    <w:tl2br w:val="nil"/>
                    <w:tr2bl w:val="nil"/>
                  </w:tcBorders>
                  <w:shd w:val="clear" w:color="auto" w:fill="auto"/>
                  <w:vAlign w:val="center"/>
                </w:tcPr>
                <w:p w14:paraId="0F3F57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rPr>
                  </w:pPr>
                  <w:r>
                    <w:rPr>
                      <w:rFonts w:hint="default" w:ascii="Times New Roman" w:hAnsi="Times New Roman" w:eastAsia="宋体" w:cs="Times New Roman"/>
                      <w:color w:val="auto"/>
                      <w:kern w:val="0"/>
                      <w:sz w:val="18"/>
                      <w:szCs w:val="18"/>
                      <w:lang w:val="en-US" w:eastAsia="zh-CN" w:bidi="ar"/>
                    </w:rPr>
                    <w:t>9</w:t>
                  </w:r>
                  <w:r>
                    <w:rPr>
                      <w:rFonts w:hint="eastAsia" w:cs="Times New Roman"/>
                      <w:color w:val="auto"/>
                      <w:kern w:val="0"/>
                      <w:sz w:val="18"/>
                      <w:szCs w:val="18"/>
                      <w:lang w:val="en-US" w:eastAsia="zh-CN" w:bidi="ar"/>
                    </w:rPr>
                    <w:t>0</w:t>
                  </w:r>
                  <w:r>
                    <w:rPr>
                      <w:rFonts w:hint="default" w:ascii="Times New Roman" w:hAnsi="Times New Roman" w:eastAsia="宋体" w:cs="Times New Roman"/>
                      <w:color w:val="auto"/>
                      <w:kern w:val="0"/>
                      <w:sz w:val="18"/>
                      <w:szCs w:val="18"/>
                      <w:lang w:val="en-US" w:eastAsia="zh-CN" w:bidi="ar"/>
                    </w:rPr>
                    <w:t>%</w:t>
                  </w:r>
                </w:p>
              </w:tc>
              <w:tc>
                <w:tcPr>
                  <w:tcW w:w="346" w:type="pct"/>
                  <w:tcBorders>
                    <w:tl2br w:val="nil"/>
                    <w:tr2bl w:val="nil"/>
                  </w:tcBorders>
                  <w:shd w:val="clear" w:color="auto" w:fill="auto"/>
                  <w:noWrap/>
                  <w:vAlign w:val="center"/>
                </w:tcPr>
                <w:p w14:paraId="00F0D7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4</w:t>
                  </w:r>
                  <w:r>
                    <w:rPr>
                      <w:rFonts w:hint="default" w:ascii="Times New Roman" w:hAnsi="Times New Roman" w:cs="Times New Roman"/>
                      <w:color w:val="auto"/>
                      <w:kern w:val="0"/>
                      <w:sz w:val="18"/>
                      <w:szCs w:val="18"/>
                      <w:lang w:val="en-US" w:eastAsia="zh-CN"/>
                    </w:rPr>
                    <w:t>000</w:t>
                  </w:r>
                </w:p>
              </w:tc>
              <w:tc>
                <w:tcPr>
                  <w:tcW w:w="954" w:type="dxa"/>
                  <w:tcBorders>
                    <w:tl2br w:val="nil"/>
                    <w:tr2bl w:val="nil"/>
                  </w:tcBorders>
                  <w:shd w:val="clear" w:color="auto" w:fill="auto"/>
                  <w:noWrap/>
                  <w:vAlign w:val="center"/>
                </w:tcPr>
                <w:p w14:paraId="6AFC41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1.84</w:t>
                  </w:r>
                </w:p>
              </w:tc>
              <w:tc>
                <w:tcPr>
                  <w:tcW w:w="900" w:type="dxa"/>
                  <w:tcBorders>
                    <w:tl2br w:val="nil"/>
                    <w:tr2bl w:val="nil"/>
                  </w:tcBorders>
                  <w:shd w:val="clear" w:color="auto" w:fill="auto"/>
                  <w:noWrap/>
                  <w:vAlign w:val="center"/>
                </w:tcPr>
                <w:p w14:paraId="253085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0.007</w:t>
                  </w:r>
                </w:p>
              </w:tc>
              <w:tc>
                <w:tcPr>
                  <w:tcW w:w="916" w:type="dxa"/>
                  <w:tcBorders>
                    <w:tl2br w:val="nil"/>
                    <w:tr2bl w:val="nil"/>
                  </w:tcBorders>
                  <w:shd w:val="clear" w:color="auto" w:fill="auto"/>
                  <w:noWrap/>
                  <w:vAlign w:val="center"/>
                </w:tcPr>
                <w:p w14:paraId="75FA4C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0.018</w:t>
                  </w:r>
                </w:p>
              </w:tc>
              <w:tc>
                <w:tcPr>
                  <w:tcW w:w="271" w:type="pct"/>
                  <w:tcBorders>
                    <w:tl2br w:val="nil"/>
                    <w:tr2bl w:val="nil"/>
                  </w:tcBorders>
                  <w:shd w:val="clear" w:color="auto" w:fill="auto"/>
                  <w:noWrap/>
                  <w:vAlign w:val="center"/>
                </w:tcPr>
                <w:p w14:paraId="6882EC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60</w:t>
                  </w:r>
                </w:p>
              </w:tc>
              <w:tc>
                <w:tcPr>
                  <w:tcW w:w="236" w:type="pct"/>
                  <w:tcBorders>
                    <w:tl2br w:val="nil"/>
                    <w:tr2bl w:val="nil"/>
                  </w:tcBorders>
                  <w:shd w:val="clear" w:color="auto" w:fill="auto"/>
                  <w:noWrap/>
                  <w:vAlign w:val="center"/>
                </w:tcPr>
                <w:p w14:paraId="073DE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3</w:t>
                  </w:r>
                </w:p>
              </w:tc>
              <w:tc>
                <w:tcPr>
                  <w:tcW w:w="321" w:type="pct"/>
                  <w:tcBorders>
                    <w:tl2br w:val="nil"/>
                    <w:tr2bl w:val="nil"/>
                  </w:tcBorders>
                  <w:shd w:val="clear" w:color="auto" w:fill="auto"/>
                  <w:noWrap/>
                  <w:vAlign w:val="center"/>
                </w:tcPr>
                <w:p w14:paraId="4741C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cs="Times New Roman"/>
                      <w:color w:val="auto"/>
                      <w:kern w:val="0"/>
                      <w:sz w:val="18"/>
                      <w:szCs w:val="18"/>
                      <w:lang w:val="en-US" w:eastAsia="zh-CN" w:bidi="ar"/>
                    </w:rPr>
                    <w:t>24</w:t>
                  </w:r>
                  <w:r>
                    <w:rPr>
                      <w:rFonts w:hint="default" w:ascii="Times New Roman" w:hAnsi="Times New Roman" w:eastAsia="宋体" w:cs="Times New Roman"/>
                      <w:color w:val="auto"/>
                      <w:kern w:val="0"/>
                      <w:sz w:val="18"/>
                      <w:szCs w:val="18"/>
                      <w:lang w:val="en-US" w:eastAsia="zh-CN" w:bidi="ar"/>
                    </w:rPr>
                    <w:t>00</w:t>
                  </w:r>
                </w:p>
              </w:tc>
            </w:tr>
          </w:tbl>
          <w:p w14:paraId="374AE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color w:val="auto"/>
                <w:lang w:val="en-US" w:eastAsia="zh-CN"/>
              </w:rPr>
            </w:pPr>
            <w:r>
              <w:rPr>
                <w:rFonts w:hint="eastAsia"/>
                <w:color w:val="auto"/>
              </w:rPr>
              <w:t>由上述分析可知，DA00</w:t>
            </w:r>
            <w:r>
              <w:rPr>
                <w:rFonts w:hint="eastAsia"/>
                <w:color w:val="auto"/>
                <w:lang w:val="en-US" w:eastAsia="zh-CN"/>
              </w:rPr>
              <w:t>1</w:t>
            </w:r>
            <w:r>
              <w:rPr>
                <w:rFonts w:hint="eastAsia"/>
                <w:color w:val="auto"/>
              </w:rPr>
              <w:t>排气筒</w:t>
            </w:r>
            <w:r>
              <w:rPr>
                <w:rFonts w:hint="eastAsia"/>
                <w:color w:val="auto"/>
                <w:lang w:val="en-US" w:eastAsia="zh-CN"/>
              </w:rPr>
              <w:t>非甲烷总烃排放浓度及速率</w:t>
            </w:r>
            <w:r>
              <w:rPr>
                <w:rFonts w:hint="eastAsia"/>
                <w:color w:val="auto"/>
              </w:rPr>
              <w:t>满足</w:t>
            </w:r>
            <w:r>
              <w:rPr>
                <w:rFonts w:hint="eastAsia"/>
                <w:color w:val="auto"/>
                <w:lang w:val="en-US" w:eastAsia="zh-CN"/>
              </w:rPr>
              <w:t>江苏省地方标准</w:t>
            </w:r>
            <w:r>
              <w:rPr>
                <w:rFonts w:hint="eastAsia"/>
                <w:color w:val="auto"/>
              </w:rPr>
              <w:t>《大气污染物综合排放标准》（DB32/4041-2021）表1排放限值</w:t>
            </w:r>
            <w:r>
              <w:rPr>
                <w:rFonts w:hint="eastAsia"/>
                <w:color w:val="auto"/>
                <w:lang w:eastAsia="zh-CN"/>
              </w:rPr>
              <w:t>要求</w:t>
            </w:r>
            <w:r>
              <w:rPr>
                <w:rFonts w:hint="eastAsia"/>
                <w:color w:val="auto"/>
                <w:lang w:val="en-US" w:eastAsia="zh-CN"/>
              </w:rPr>
              <w:t>。</w:t>
            </w:r>
          </w:p>
          <w:p w14:paraId="00F99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b/>
                <w:bCs/>
                <w:color w:val="auto"/>
                <w:lang w:val="en-US" w:eastAsia="zh-CN"/>
              </w:rPr>
            </w:pPr>
          </w:p>
          <w:p w14:paraId="5DC5E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b/>
                <w:bCs/>
                <w:color w:val="auto"/>
                <w:lang w:val="en-US" w:eastAsia="zh-CN"/>
              </w:rPr>
            </w:pPr>
          </w:p>
          <w:p w14:paraId="2CFC95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b/>
                <w:bCs/>
                <w:color w:val="auto"/>
                <w:lang w:val="en-US" w:eastAsia="zh-CN"/>
              </w:rPr>
            </w:pPr>
            <w:r>
              <w:rPr>
                <w:rFonts w:hint="eastAsia"/>
                <w:b/>
                <w:bCs/>
                <w:color w:val="auto"/>
                <w:lang w:val="en-US" w:eastAsia="zh-CN"/>
              </w:rPr>
              <w:t>表4.1-3  建设项目无组织废气污染源源强核算结果及相关参数一览表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1588"/>
              <w:gridCol w:w="1588"/>
              <w:gridCol w:w="1591"/>
              <w:gridCol w:w="1588"/>
              <w:gridCol w:w="1588"/>
              <w:gridCol w:w="1588"/>
              <w:gridCol w:w="2377"/>
            </w:tblGrid>
            <w:tr w14:paraId="77E33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588" w:type="pct"/>
                  <w:vMerge w:val="restart"/>
                  <w:tcBorders>
                    <w:tl2br w:val="nil"/>
                    <w:tr2bl w:val="nil"/>
                  </w:tcBorders>
                  <w:vAlign w:val="center"/>
                </w:tcPr>
                <w:p w14:paraId="5D1A0F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污染源位置</w:t>
                  </w:r>
                </w:p>
              </w:tc>
              <w:tc>
                <w:tcPr>
                  <w:tcW w:w="588" w:type="pct"/>
                  <w:vMerge w:val="restart"/>
                  <w:tcBorders>
                    <w:tl2br w:val="nil"/>
                    <w:tr2bl w:val="nil"/>
                  </w:tcBorders>
                  <w:vAlign w:val="center"/>
                </w:tcPr>
                <w:p w14:paraId="09267A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污染物名称</w:t>
                  </w:r>
                </w:p>
              </w:tc>
              <w:tc>
                <w:tcPr>
                  <w:tcW w:w="1177" w:type="pct"/>
                  <w:gridSpan w:val="2"/>
                  <w:tcBorders>
                    <w:tl2br w:val="nil"/>
                    <w:tr2bl w:val="nil"/>
                  </w:tcBorders>
                  <w:vAlign w:val="center"/>
                </w:tcPr>
                <w:p w14:paraId="4CB2EE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排放源强</w:t>
                  </w:r>
                </w:p>
              </w:tc>
              <w:tc>
                <w:tcPr>
                  <w:tcW w:w="588" w:type="pct"/>
                  <w:vMerge w:val="restart"/>
                  <w:tcBorders>
                    <w:tl2br w:val="nil"/>
                    <w:tr2bl w:val="nil"/>
                  </w:tcBorders>
                  <w:vAlign w:val="center"/>
                </w:tcPr>
                <w:p w14:paraId="229668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面源长度</w:t>
                  </w:r>
                  <w:r>
                    <w:rPr>
                      <w:rFonts w:hint="eastAsia" w:cs="Times New Roman"/>
                      <w:b/>
                      <w:bCs/>
                      <w:color w:val="auto"/>
                      <w:sz w:val="18"/>
                      <w:szCs w:val="18"/>
                      <w:lang w:eastAsia="zh-CN"/>
                    </w:rPr>
                    <w:t>（</w:t>
                  </w:r>
                  <w:r>
                    <w:rPr>
                      <w:rFonts w:hint="default" w:ascii="Times New Roman" w:hAnsi="Times New Roman" w:eastAsia="宋体" w:cs="Times New Roman"/>
                      <w:b/>
                      <w:bCs/>
                      <w:color w:val="auto"/>
                      <w:sz w:val="18"/>
                      <w:szCs w:val="18"/>
                    </w:rPr>
                    <w:t>m</w:t>
                  </w:r>
                  <w:r>
                    <w:rPr>
                      <w:rFonts w:hint="eastAsia" w:cs="Times New Roman"/>
                      <w:b/>
                      <w:bCs/>
                      <w:color w:val="auto"/>
                      <w:sz w:val="18"/>
                      <w:szCs w:val="18"/>
                      <w:lang w:eastAsia="zh-CN"/>
                    </w:rPr>
                    <w:t>）</w:t>
                  </w:r>
                </w:p>
              </w:tc>
              <w:tc>
                <w:tcPr>
                  <w:tcW w:w="588" w:type="pct"/>
                  <w:vMerge w:val="restart"/>
                  <w:tcBorders>
                    <w:tl2br w:val="nil"/>
                    <w:tr2bl w:val="nil"/>
                  </w:tcBorders>
                  <w:vAlign w:val="center"/>
                </w:tcPr>
                <w:p w14:paraId="0F2143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面源宽度</w:t>
                  </w:r>
                  <w:r>
                    <w:rPr>
                      <w:rFonts w:hint="eastAsia" w:cs="Times New Roman"/>
                      <w:b/>
                      <w:bCs/>
                      <w:color w:val="auto"/>
                      <w:sz w:val="18"/>
                      <w:szCs w:val="18"/>
                      <w:lang w:eastAsia="zh-CN"/>
                    </w:rPr>
                    <w:t>（</w:t>
                  </w:r>
                  <w:r>
                    <w:rPr>
                      <w:rFonts w:hint="default" w:ascii="Times New Roman" w:hAnsi="Times New Roman" w:eastAsia="宋体" w:cs="Times New Roman"/>
                      <w:b/>
                      <w:bCs/>
                      <w:color w:val="auto"/>
                      <w:sz w:val="18"/>
                      <w:szCs w:val="18"/>
                    </w:rPr>
                    <w:t>m</w:t>
                  </w:r>
                  <w:r>
                    <w:rPr>
                      <w:rFonts w:hint="eastAsia" w:cs="Times New Roman"/>
                      <w:b/>
                      <w:bCs/>
                      <w:color w:val="auto"/>
                      <w:sz w:val="18"/>
                      <w:szCs w:val="18"/>
                      <w:lang w:eastAsia="zh-CN"/>
                    </w:rPr>
                    <w:t>）</w:t>
                  </w:r>
                </w:p>
              </w:tc>
              <w:tc>
                <w:tcPr>
                  <w:tcW w:w="588" w:type="pct"/>
                  <w:vMerge w:val="restart"/>
                  <w:tcBorders>
                    <w:tl2br w:val="nil"/>
                    <w:tr2bl w:val="nil"/>
                  </w:tcBorders>
                  <w:vAlign w:val="center"/>
                </w:tcPr>
                <w:p w14:paraId="5CA305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面源高度</w:t>
                  </w:r>
                  <w:r>
                    <w:rPr>
                      <w:rFonts w:hint="eastAsia" w:cs="Times New Roman"/>
                      <w:b/>
                      <w:bCs/>
                      <w:color w:val="auto"/>
                      <w:sz w:val="18"/>
                      <w:szCs w:val="18"/>
                      <w:lang w:eastAsia="zh-CN"/>
                    </w:rPr>
                    <w:t>（</w:t>
                  </w:r>
                  <w:r>
                    <w:rPr>
                      <w:rFonts w:hint="default" w:ascii="Times New Roman" w:hAnsi="Times New Roman" w:eastAsia="宋体" w:cs="Times New Roman"/>
                      <w:b/>
                      <w:bCs/>
                      <w:color w:val="auto"/>
                      <w:sz w:val="18"/>
                      <w:szCs w:val="18"/>
                    </w:rPr>
                    <w:t>m</w:t>
                  </w:r>
                  <w:r>
                    <w:rPr>
                      <w:rFonts w:hint="eastAsia" w:cs="Times New Roman"/>
                      <w:b/>
                      <w:bCs/>
                      <w:color w:val="auto"/>
                      <w:sz w:val="18"/>
                      <w:szCs w:val="18"/>
                      <w:lang w:eastAsia="zh-CN"/>
                    </w:rPr>
                    <w:t>）</w:t>
                  </w:r>
                </w:p>
              </w:tc>
              <w:tc>
                <w:tcPr>
                  <w:tcW w:w="880" w:type="pct"/>
                  <w:vMerge w:val="restart"/>
                  <w:tcBorders>
                    <w:tl2br w:val="nil"/>
                    <w:tr2bl w:val="nil"/>
                  </w:tcBorders>
                  <w:vAlign w:val="center"/>
                </w:tcPr>
                <w:p w14:paraId="366437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排放时间</w:t>
                  </w:r>
                  <w:r>
                    <w:rPr>
                      <w:rFonts w:hint="eastAsia" w:cs="Times New Roman"/>
                      <w:b/>
                      <w:bCs/>
                      <w:color w:val="auto"/>
                      <w:sz w:val="18"/>
                      <w:szCs w:val="18"/>
                      <w:lang w:eastAsia="zh-CN"/>
                    </w:rPr>
                    <w:t>（</w:t>
                  </w:r>
                  <w:r>
                    <w:rPr>
                      <w:rFonts w:hint="default" w:ascii="Times New Roman" w:hAnsi="Times New Roman" w:eastAsia="宋体" w:cs="Times New Roman"/>
                      <w:b/>
                      <w:bCs/>
                      <w:color w:val="auto"/>
                      <w:sz w:val="18"/>
                      <w:szCs w:val="18"/>
                    </w:rPr>
                    <w:t>h</w:t>
                  </w:r>
                  <w:r>
                    <w:rPr>
                      <w:rFonts w:hint="eastAsia" w:cs="Times New Roman"/>
                      <w:b/>
                      <w:bCs/>
                      <w:color w:val="auto"/>
                      <w:sz w:val="18"/>
                      <w:szCs w:val="18"/>
                      <w:lang w:eastAsia="zh-CN"/>
                    </w:rPr>
                    <w:t>）</w:t>
                  </w:r>
                </w:p>
              </w:tc>
            </w:tr>
            <w:tr w14:paraId="1998F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588" w:type="pct"/>
                  <w:vMerge w:val="continue"/>
                  <w:tcBorders>
                    <w:tl2br w:val="nil"/>
                    <w:tr2bl w:val="nil"/>
                  </w:tcBorders>
                  <w:vAlign w:val="center"/>
                </w:tcPr>
                <w:p w14:paraId="628448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588" w:type="pct"/>
                  <w:vMerge w:val="continue"/>
                  <w:tcBorders>
                    <w:tl2br w:val="nil"/>
                    <w:tr2bl w:val="nil"/>
                  </w:tcBorders>
                  <w:vAlign w:val="center"/>
                </w:tcPr>
                <w:p w14:paraId="279D2D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588" w:type="pct"/>
                  <w:tcBorders>
                    <w:tl2br w:val="nil"/>
                    <w:tr2bl w:val="nil"/>
                  </w:tcBorders>
                  <w:vAlign w:val="center"/>
                </w:tcPr>
                <w:p w14:paraId="3B9203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(kg/h)</w:t>
                  </w:r>
                </w:p>
              </w:tc>
              <w:tc>
                <w:tcPr>
                  <w:tcW w:w="589" w:type="pct"/>
                  <w:tcBorders>
                    <w:tl2br w:val="nil"/>
                    <w:tr2bl w:val="nil"/>
                  </w:tcBorders>
                  <w:vAlign w:val="center"/>
                </w:tcPr>
                <w:p w14:paraId="2265BB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(t/a)</w:t>
                  </w:r>
                </w:p>
              </w:tc>
              <w:tc>
                <w:tcPr>
                  <w:tcW w:w="588" w:type="pct"/>
                  <w:vMerge w:val="continue"/>
                  <w:tcBorders>
                    <w:tl2br w:val="nil"/>
                    <w:tr2bl w:val="nil"/>
                  </w:tcBorders>
                  <w:vAlign w:val="center"/>
                </w:tcPr>
                <w:p w14:paraId="039DAE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588" w:type="pct"/>
                  <w:vMerge w:val="continue"/>
                  <w:tcBorders>
                    <w:tl2br w:val="nil"/>
                    <w:tr2bl w:val="nil"/>
                  </w:tcBorders>
                  <w:vAlign w:val="center"/>
                </w:tcPr>
                <w:p w14:paraId="0FA3BC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588" w:type="pct"/>
                  <w:vMerge w:val="continue"/>
                  <w:tcBorders>
                    <w:tl2br w:val="nil"/>
                    <w:tr2bl w:val="nil"/>
                  </w:tcBorders>
                  <w:vAlign w:val="center"/>
                </w:tcPr>
                <w:p w14:paraId="0B7E95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c>
                <w:tcPr>
                  <w:tcW w:w="880" w:type="pct"/>
                  <w:vMerge w:val="continue"/>
                  <w:tcBorders>
                    <w:tl2br w:val="nil"/>
                    <w:tr2bl w:val="nil"/>
                  </w:tcBorders>
                  <w:vAlign w:val="center"/>
                </w:tcPr>
                <w:p w14:paraId="29BE1C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rPr>
                  </w:pPr>
                </w:p>
              </w:tc>
            </w:tr>
            <w:tr w14:paraId="05D69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88" w:type="pct"/>
                  <w:tcBorders>
                    <w:tl2br w:val="nil"/>
                    <w:tr2bl w:val="nil"/>
                  </w:tcBorders>
                  <w:vAlign w:val="center"/>
                </w:tcPr>
                <w:p w14:paraId="0B4CD3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实验室</w:t>
                  </w:r>
                </w:p>
              </w:tc>
              <w:tc>
                <w:tcPr>
                  <w:tcW w:w="588" w:type="pct"/>
                  <w:tcBorders>
                    <w:tl2br w:val="nil"/>
                    <w:tr2bl w:val="nil"/>
                  </w:tcBorders>
                  <w:vAlign w:val="center"/>
                </w:tcPr>
                <w:p w14:paraId="6DB7D9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非甲烷总烃</w:t>
                  </w:r>
                </w:p>
              </w:tc>
              <w:tc>
                <w:tcPr>
                  <w:tcW w:w="1593" w:type="dxa"/>
                  <w:tcBorders>
                    <w:tl2br w:val="nil"/>
                    <w:tr2bl w:val="nil"/>
                  </w:tcBorders>
                  <w:vAlign w:val="center"/>
                </w:tcPr>
                <w:p w14:paraId="7233B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eastAsia="宋体" w:cs="Times New Roman"/>
                      <w:color w:val="auto"/>
                      <w:kern w:val="0"/>
                      <w:sz w:val="18"/>
                      <w:szCs w:val="18"/>
                      <w:lang w:val="en-US" w:eastAsia="zh-CN" w:bidi="ar"/>
                    </w:rPr>
                    <w:t>0.004</w:t>
                  </w:r>
                </w:p>
              </w:tc>
              <w:tc>
                <w:tcPr>
                  <w:tcW w:w="1596" w:type="dxa"/>
                  <w:tcBorders>
                    <w:tl2br w:val="nil"/>
                    <w:tr2bl w:val="nil"/>
                  </w:tcBorders>
                  <w:vAlign w:val="center"/>
                </w:tcPr>
                <w:p w14:paraId="0B1272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eastAsia="宋体" w:cs="Times New Roman"/>
                      <w:color w:val="auto"/>
                      <w:kern w:val="0"/>
                      <w:sz w:val="18"/>
                      <w:szCs w:val="18"/>
                      <w:lang w:val="en-US" w:eastAsia="zh-CN" w:bidi="ar"/>
                    </w:rPr>
                    <w:t>0.009</w:t>
                  </w:r>
                </w:p>
              </w:tc>
              <w:tc>
                <w:tcPr>
                  <w:tcW w:w="588" w:type="pct"/>
                  <w:tcBorders>
                    <w:tl2br w:val="nil"/>
                    <w:tr2bl w:val="nil"/>
                  </w:tcBorders>
                  <w:vAlign w:val="center"/>
                </w:tcPr>
                <w:p w14:paraId="099F06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28</w:t>
                  </w:r>
                </w:p>
              </w:tc>
              <w:tc>
                <w:tcPr>
                  <w:tcW w:w="588" w:type="pct"/>
                  <w:tcBorders>
                    <w:tl2br w:val="nil"/>
                    <w:tr2bl w:val="nil"/>
                  </w:tcBorders>
                  <w:vAlign w:val="center"/>
                </w:tcPr>
                <w:p w14:paraId="6FEAE8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15</w:t>
                  </w:r>
                </w:p>
              </w:tc>
              <w:tc>
                <w:tcPr>
                  <w:tcW w:w="588" w:type="pct"/>
                  <w:tcBorders>
                    <w:tl2br w:val="nil"/>
                    <w:tr2bl w:val="nil"/>
                  </w:tcBorders>
                  <w:vAlign w:val="center"/>
                </w:tcPr>
                <w:p w14:paraId="404E56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w:t>
                  </w:r>
                </w:p>
              </w:tc>
              <w:tc>
                <w:tcPr>
                  <w:tcW w:w="880" w:type="pct"/>
                  <w:tcBorders>
                    <w:tl2br w:val="nil"/>
                    <w:tr2bl w:val="nil"/>
                  </w:tcBorders>
                  <w:vAlign w:val="center"/>
                </w:tcPr>
                <w:p w14:paraId="218285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2400</w:t>
                  </w:r>
                </w:p>
              </w:tc>
            </w:tr>
          </w:tbl>
          <w:p w14:paraId="5929002B">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leftChars="0" w:right="0" w:firstLine="0" w:firstLineChars="0"/>
              <w:jc w:val="center"/>
              <w:textAlignment w:val="auto"/>
              <w:rPr>
                <w:rFonts w:hint="eastAsia"/>
                <w:b/>
                <w:bCs/>
                <w:color w:val="auto"/>
                <w:lang w:val="en-US" w:eastAsia="zh-CN"/>
              </w:rPr>
            </w:pPr>
            <w:r>
              <w:rPr>
                <w:rFonts w:hint="eastAsia"/>
                <w:b/>
                <w:bCs/>
                <w:color w:val="auto"/>
                <w:lang w:val="en-US" w:eastAsia="zh-CN"/>
              </w:rPr>
              <w:t>表4.1-4  建设项目废气收集、治理措施及排放情况汇总表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7"/>
              <w:gridCol w:w="2007"/>
              <w:gridCol w:w="1375"/>
              <w:gridCol w:w="1205"/>
              <w:gridCol w:w="1089"/>
              <w:gridCol w:w="2264"/>
              <w:gridCol w:w="1029"/>
              <w:gridCol w:w="1151"/>
              <w:gridCol w:w="1859"/>
            </w:tblGrid>
            <w:tr w14:paraId="5206BE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05" w:type="pct"/>
                  <w:gridSpan w:val="2"/>
                  <w:tcBorders>
                    <w:tl2br w:val="nil"/>
                    <w:tr2bl w:val="nil"/>
                  </w:tcBorders>
                  <w:vAlign w:val="center"/>
                </w:tcPr>
                <w:p w14:paraId="5D7086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产污环节</w:t>
                  </w:r>
                </w:p>
              </w:tc>
              <w:tc>
                <w:tcPr>
                  <w:tcW w:w="509" w:type="pct"/>
                  <w:vMerge w:val="restart"/>
                  <w:tcBorders>
                    <w:tl2br w:val="nil"/>
                    <w:tr2bl w:val="nil"/>
                  </w:tcBorders>
                  <w:vAlign w:val="center"/>
                </w:tcPr>
                <w:p w14:paraId="171A40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污染物种类</w:t>
                  </w:r>
                </w:p>
              </w:tc>
              <w:tc>
                <w:tcPr>
                  <w:tcW w:w="446" w:type="pct"/>
                  <w:vMerge w:val="restart"/>
                  <w:tcBorders>
                    <w:tl2br w:val="nil"/>
                    <w:tr2bl w:val="nil"/>
                  </w:tcBorders>
                  <w:vAlign w:val="center"/>
                </w:tcPr>
                <w:p w14:paraId="54F5C0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收集效率</w:t>
                  </w:r>
                </w:p>
              </w:tc>
              <w:tc>
                <w:tcPr>
                  <w:tcW w:w="403" w:type="pct"/>
                  <w:vMerge w:val="restart"/>
                  <w:tcBorders>
                    <w:tl2br w:val="nil"/>
                    <w:tr2bl w:val="nil"/>
                  </w:tcBorders>
                  <w:vAlign w:val="center"/>
                </w:tcPr>
                <w:p w14:paraId="332FB3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设计风量</w:t>
                  </w:r>
                  <w:r>
                    <w:rPr>
                      <w:rFonts w:hint="eastAsia" w:cs="Times New Roman"/>
                      <w:b/>
                      <w:bCs/>
                      <w:color w:val="auto"/>
                      <w:sz w:val="18"/>
                      <w:szCs w:val="18"/>
                      <w:lang w:eastAsia="zh-CN"/>
                    </w:rPr>
                    <w:t>（</w:t>
                  </w:r>
                  <w:r>
                    <w:rPr>
                      <w:rFonts w:hint="default" w:ascii="Times New Roman" w:hAnsi="Times New Roman" w:cs="Times New Roman"/>
                      <w:b/>
                      <w:bCs/>
                      <w:color w:val="auto"/>
                      <w:sz w:val="18"/>
                      <w:szCs w:val="18"/>
                    </w:rPr>
                    <w:t>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/h</w:t>
                  </w:r>
                  <w:r>
                    <w:rPr>
                      <w:rFonts w:hint="eastAsia" w:cs="Times New Roman"/>
                      <w:b/>
                      <w:bCs/>
                      <w:color w:val="auto"/>
                      <w:sz w:val="18"/>
                      <w:szCs w:val="18"/>
                      <w:lang w:eastAsia="zh-CN"/>
                    </w:rPr>
                    <w:t>）</w:t>
                  </w:r>
                </w:p>
              </w:tc>
              <w:tc>
                <w:tcPr>
                  <w:tcW w:w="838" w:type="pct"/>
                  <w:vMerge w:val="restart"/>
                  <w:tcBorders>
                    <w:tl2br w:val="nil"/>
                    <w:tr2bl w:val="nil"/>
                  </w:tcBorders>
                  <w:vAlign w:val="center"/>
                </w:tcPr>
                <w:p w14:paraId="4BBF26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治理工艺</w:t>
                  </w:r>
                </w:p>
              </w:tc>
              <w:tc>
                <w:tcPr>
                  <w:tcW w:w="381" w:type="pct"/>
                  <w:vMerge w:val="restart"/>
                  <w:tcBorders>
                    <w:tl2br w:val="nil"/>
                    <w:tr2bl w:val="nil"/>
                  </w:tcBorders>
                  <w:vAlign w:val="center"/>
                </w:tcPr>
                <w:p w14:paraId="083E0A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去除效率</w:t>
                  </w:r>
                </w:p>
              </w:tc>
              <w:tc>
                <w:tcPr>
                  <w:tcW w:w="426" w:type="pct"/>
                  <w:vMerge w:val="restart"/>
                  <w:tcBorders>
                    <w:tl2br w:val="nil"/>
                    <w:tr2bl w:val="nil"/>
                  </w:tcBorders>
                  <w:vAlign w:val="center"/>
                </w:tcPr>
                <w:p w14:paraId="702EC9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rPr>
                    <w:t>是否为可行技术</w:t>
                  </w:r>
                </w:p>
              </w:tc>
              <w:tc>
                <w:tcPr>
                  <w:tcW w:w="688" w:type="pct"/>
                  <w:vMerge w:val="restart"/>
                  <w:tcBorders>
                    <w:tl2br w:val="nil"/>
                    <w:tr2bl w:val="nil"/>
                  </w:tcBorders>
                  <w:vAlign w:val="center"/>
                </w:tcPr>
                <w:p w14:paraId="50C54C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排放形式</w:t>
                  </w:r>
                </w:p>
              </w:tc>
            </w:tr>
            <w:tr w14:paraId="478629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562" w:type="pct"/>
                  <w:tcBorders>
                    <w:tl2br w:val="nil"/>
                    <w:tr2bl w:val="nil"/>
                  </w:tcBorders>
                  <w:vAlign w:val="center"/>
                </w:tcPr>
                <w:p w14:paraId="36084F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eastAsia="宋体" w:cs="Times New Roman"/>
                      <w:b/>
                      <w:bCs/>
                      <w:color w:val="auto"/>
                      <w:sz w:val="18"/>
                      <w:szCs w:val="18"/>
                    </w:rPr>
                    <w:t>污染源位置</w:t>
                  </w:r>
                </w:p>
              </w:tc>
              <w:tc>
                <w:tcPr>
                  <w:tcW w:w="743" w:type="pct"/>
                  <w:tcBorders>
                    <w:tl2br w:val="nil"/>
                    <w:tr2bl w:val="nil"/>
                  </w:tcBorders>
                  <w:vAlign w:val="center"/>
                </w:tcPr>
                <w:p w14:paraId="0774D6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废气种类</w:t>
                  </w:r>
                </w:p>
              </w:tc>
              <w:tc>
                <w:tcPr>
                  <w:tcW w:w="509" w:type="pct"/>
                  <w:vMerge w:val="continue"/>
                  <w:tcBorders>
                    <w:tl2br w:val="nil"/>
                    <w:tr2bl w:val="nil"/>
                  </w:tcBorders>
                  <w:vAlign w:val="center"/>
                </w:tcPr>
                <w:p w14:paraId="36D9C1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p>
              </w:tc>
              <w:tc>
                <w:tcPr>
                  <w:tcW w:w="446" w:type="pct"/>
                  <w:vMerge w:val="continue"/>
                  <w:tcBorders>
                    <w:tl2br w:val="nil"/>
                    <w:tr2bl w:val="nil"/>
                  </w:tcBorders>
                  <w:vAlign w:val="center"/>
                </w:tcPr>
                <w:p w14:paraId="63FD64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p>
              </w:tc>
              <w:tc>
                <w:tcPr>
                  <w:tcW w:w="403" w:type="pct"/>
                  <w:vMerge w:val="continue"/>
                  <w:tcBorders>
                    <w:tl2br w:val="nil"/>
                    <w:tr2bl w:val="nil"/>
                  </w:tcBorders>
                  <w:vAlign w:val="center"/>
                </w:tcPr>
                <w:p w14:paraId="64936F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p>
              </w:tc>
              <w:tc>
                <w:tcPr>
                  <w:tcW w:w="838" w:type="pct"/>
                  <w:vMerge w:val="continue"/>
                  <w:tcBorders>
                    <w:tl2br w:val="nil"/>
                    <w:tr2bl w:val="nil"/>
                  </w:tcBorders>
                  <w:vAlign w:val="center"/>
                </w:tcPr>
                <w:p w14:paraId="18426B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p>
              </w:tc>
              <w:tc>
                <w:tcPr>
                  <w:tcW w:w="381" w:type="pct"/>
                  <w:vMerge w:val="continue"/>
                  <w:tcBorders>
                    <w:tl2br w:val="nil"/>
                    <w:tr2bl w:val="nil"/>
                  </w:tcBorders>
                  <w:vAlign w:val="center"/>
                </w:tcPr>
                <w:p w14:paraId="76B049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p>
              </w:tc>
              <w:tc>
                <w:tcPr>
                  <w:tcW w:w="426" w:type="pct"/>
                  <w:vMerge w:val="continue"/>
                  <w:tcBorders>
                    <w:tl2br w:val="nil"/>
                    <w:tr2bl w:val="nil"/>
                  </w:tcBorders>
                  <w:vAlign w:val="center"/>
                </w:tcPr>
                <w:p w14:paraId="101DC7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p>
              </w:tc>
              <w:tc>
                <w:tcPr>
                  <w:tcW w:w="688" w:type="pct"/>
                  <w:vMerge w:val="continue"/>
                  <w:tcBorders>
                    <w:tl2br w:val="nil"/>
                    <w:tr2bl w:val="nil"/>
                  </w:tcBorders>
                  <w:vAlign w:val="center"/>
                </w:tcPr>
                <w:p w14:paraId="0F34EA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p>
              </w:tc>
            </w:tr>
            <w:tr w14:paraId="5568D3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62" w:type="pct"/>
                  <w:tcBorders>
                    <w:tl2br w:val="nil"/>
                    <w:tr2bl w:val="nil"/>
                  </w:tcBorders>
                  <w:vAlign w:val="center"/>
                </w:tcPr>
                <w:p w14:paraId="55B5F1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实验室</w:t>
                  </w:r>
                </w:p>
              </w:tc>
              <w:tc>
                <w:tcPr>
                  <w:tcW w:w="743" w:type="pct"/>
                  <w:tcBorders>
                    <w:tl2br w:val="nil"/>
                    <w:tr2bl w:val="nil"/>
                  </w:tcBorders>
                  <w:vAlign w:val="center"/>
                </w:tcPr>
                <w:p w14:paraId="5AF693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kern w:val="0"/>
                      <w:sz w:val="18"/>
                      <w:szCs w:val="18"/>
                      <w:lang w:val="en-US" w:eastAsia="zh-CN"/>
                    </w:rPr>
                    <w:t>实验废气、消毒废气</w:t>
                  </w:r>
                </w:p>
              </w:tc>
              <w:tc>
                <w:tcPr>
                  <w:tcW w:w="509" w:type="pct"/>
                  <w:tcBorders>
                    <w:tl2br w:val="nil"/>
                    <w:tr2bl w:val="nil"/>
                  </w:tcBorders>
                  <w:vAlign w:val="center"/>
                </w:tcPr>
                <w:p w14:paraId="3DC4B9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非甲烷总烃</w:t>
                  </w:r>
                </w:p>
              </w:tc>
              <w:tc>
                <w:tcPr>
                  <w:tcW w:w="446" w:type="pct"/>
                  <w:tcBorders>
                    <w:tl2br w:val="nil"/>
                    <w:tr2bl w:val="nil"/>
                  </w:tcBorders>
                  <w:vAlign w:val="center"/>
                </w:tcPr>
                <w:p w14:paraId="2713C7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95</w:t>
                  </w:r>
                  <w:r>
                    <w:rPr>
                      <w:rFonts w:hint="default" w:ascii="Times New Roman" w:hAnsi="Times New Roman" w:cs="Times New Roman"/>
                      <w:color w:val="auto"/>
                      <w:sz w:val="18"/>
                      <w:szCs w:val="18"/>
                    </w:rPr>
                    <w:t>%</w:t>
                  </w:r>
                </w:p>
              </w:tc>
              <w:tc>
                <w:tcPr>
                  <w:tcW w:w="403" w:type="pct"/>
                  <w:tcBorders>
                    <w:tl2br w:val="nil"/>
                    <w:tr2bl w:val="nil"/>
                  </w:tcBorders>
                  <w:vAlign w:val="center"/>
                </w:tcPr>
                <w:p w14:paraId="5ED5FC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4</w:t>
                  </w:r>
                  <w:r>
                    <w:rPr>
                      <w:rFonts w:hint="default" w:ascii="Times New Roman" w:hAnsi="Times New Roman" w:cs="Times New Roman"/>
                      <w:color w:val="auto"/>
                      <w:sz w:val="18"/>
                      <w:szCs w:val="18"/>
                    </w:rPr>
                    <w:t>000</w:t>
                  </w:r>
                </w:p>
              </w:tc>
              <w:tc>
                <w:tcPr>
                  <w:tcW w:w="838" w:type="pct"/>
                  <w:tcBorders>
                    <w:tl2br w:val="nil"/>
                    <w:tr2bl w:val="nil"/>
                  </w:tcBorders>
                  <w:vAlign w:val="center"/>
                </w:tcPr>
                <w:p w14:paraId="4DBAB3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通风橱/生物安全柜</w:t>
                  </w: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两级活性炭吸附装置</w:t>
                  </w:r>
                </w:p>
              </w:tc>
              <w:tc>
                <w:tcPr>
                  <w:tcW w:w="381" w:type="pct"/>
                  <w:tcBorders>
                    <w:tl2br w:val="nil"/>
                    <w:tr2bl w:val="nil"/>
                  </w:tcBorders>
                  <w:vAlign w:val="center"/>
                </w:tcPr>
                <w:p w14:paraId="3D3328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r>
                    <w:rPr>
                      <w:rFonts w:hint="eastAsia" w:cs="Times New Roman"/>
                      <w:color w:val="auto"/>
                      <w:sz w:val="18"/>
                      <w:szCs w:val="18"/>
                      <w:lang w:val="en-US" w:eastAsia="zh-CN"/>
                    </w:rPr>
                    <w:t>0</w:t>
                  </w:r>
                  <w:r>
                    <w:rPr>
                      <w:rFonts w:hint="default" w:ascii="Times New Roman" w:hAnsi="Times New Roman" w:cs="Times New Roman"/>
                      <w:color w:val="auto"/>
                      <w:sz w:val="18"/>
                      <w:szCs w:val="18"/>
                    </w:rPr>
                    <w:t>%</w:t>
                  </w:r>
                </w:p>
              </w:tc>
              <w:tc>
                <w:tcPr>
                  <w:tcW w:w="426" w:type="pct"/>
                  <w:tcBorders>
                    <w:tl2br w:val="nil"/>
                    <w:tr2bl w:val="nil"/>
                  </w:tcBorders>
                  <w:vAlign w:val="center"/>
                </w:tcPr>
                <w:p w14:paraId="04401C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是</w:t>
                  </w:r>
                </w:p>
              </w:tc>
              <w:tc>
                <w:tcPr>
                  <w:tcW w:w="688" w:type="pct"/>
                  <w:tcBorders>
                    <w:tl2br w:val="nil"/>
                    <w:tr2bl w:val="nil"/>
                  </w:tcBorders>
                  <w:vAlign w:val="center"/>
                </w:tcPr>
                <w:p w14:paraId="047D11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20</w:t>
                  </w:r>
                  <w:r>
                    <w:rPr>
                      <w:rFonts w:hint="default" w:ascii="Times New Roman" w:hAnsi="Times New Roman" w:cs="Times New Roman"/>
                      <w:color w:val="auto"/>
                      <w:sz w:val="18"/>
                      <w:szCs w:val="18"/>
                      <w:lang w:val="en-US" w:eastAsia="zh-CN"/>
                    </w:rPr>
                    <w:t>m排气筒</w:t>
                  </w:r>
                  <w:r>
                    <w:rPr>
                      <w:rFonts w:hint="default" w:ascii="Times New Roman" w:hAnsi="Times New Roman" w:cs="Times New Roman"/>
                      <w:color w:val="auto"/>
                      <w:sz w:val="18"/>
                      <w:szCs w:val="18"/>
                    </w:rPr>
                    <w:t>DA00</w:t>
                  </w:r>
                  <w:r>
                    <w:rPr>
                      <w:rFonts w:hint="default" w:ascii="Times New Roman" w:hAnsi="Times New Roman" w:cs="Times New Roman"/>
                      <w:color w:val="auto"/>
                      <w:sz w:val="18"/>
                      <w:szCs w:val="18"/>
                      <w:lang w:val="en-US" w:eastAsia="zh-CN"/>
                    </w:rPr>
                    <w:t>1</w:t>
                  </w:r>
                </w:p>
              </w:tc>
            </w:tr>
          </w:tbl>
          <w:p w14:paraId="272FBB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default" w:ascii="Times New Roman" w:hAnsi="Times New Roman" w:eastAsia="宋体"/>
                <w:color w:val="auto"/>
                <w:sz w:val="18"/>
                <w:szCs w:val="18"/>
                <w:lang w:val="en-US" w:eastAsia="zh-CN"/>
              </w:rPr>
            </w:pPr>
            <w:r>
              <w:rPr>
                <w:rFonts w:hint="eastAsia"/>
                <w:b/>
                <w:bCs/>
                <w:color w:val="auto"/>
                <w:sz w:val="18"/>
                <w:szCs w:val="18"/>
                <w:lang w:val="en-US" w:eastAsia="zh-CN"/>
              </w:rPr>
              <w:t>注：</w:t>
            </w:r>
            <w:r>
              <w:rPr>
                <w:rFonts w:hint="eastAsia"/>
                <w:color w:val="auto"/>
                <w:sz w:val="18"/>
                <w:szCs w:val="18"/>
                <w:lang w:val="en-US" w:eastAsia="zh-CN"/>
              </w:rPr>
              <w:t>建设项目</w:t>
            </w:r>
            <w:r>
              <w:rPr>
                <w:rFonts w:hint="eastAsia" w:ascii="Times New Roman" w:hAnsi="Times New Roman" w:eastAsia="宋体"/>
                <w:color w:val="auto"/>
                <w:sz w:val="18"/>
                <w:szCs w:val="18"/>
                <w:lang w:val="en-US" w:eastAsia="zh-CN"/>
              </w:rPr>
              <w:t>属于金属制品制造行业，国家生态环境部门尚未发布相关行业污染防治可行技术指南、排污许可技术规范</w:t>
            </w:r>
            <w:r>
              <w:rPr>
                <w:rFonts w:hint="eastAsia"/>
                <w:color w:val="auto"/>
                <w:sz w:val="18"/>
                <w:szCs w:val="18"/>
                <w:lang w:val="en-US" w:eastAsia="zh-CN"/>
              </w:rPr>
              <w:t>等技术规范资料</w:t>
            </w:r>
            <w:r>
              <w:rPr>
                <w:rFonts w:hint="eastAsia" w:ascii="Times New Roman" w:hAnsi="Times New Roman" w:eastAsia="宋体"/>
                <w:color w:val="auto"/>
                <w:sz w:val="18"/>
                <w:szCs w:val="18"/>
                <w:lang w:val="en-US" w:eastAsia="zh-CN"/>
              </w:rPr>
              <w:t>，参照</w:t>
            </w:r>
            <w:r>
              <w:rPr>
                <w:rFonts w:hint="default" w:ascii="Times New Roman" w:hAnsi="Times New Roman" w:eastAsia="宋体"/>
                <w:color w:val="auto"/>
                <w:sz w:val="18"/>
                <w:szCs w:val="18"/>
                <w:lang w:val="en-US" w:eastAsia="zh-CN"/>
              </w:rPr>
              <w:t>《排污许可证申请与核发技术规范</w:t>
            </w:r>
            <w:r>
              <w:rPr>
                <w:rFonts w:hint="eastAsia" w:ascii="Times New Roman" w:hAnsi="Times New Roman" w:eastAsia="宋体"/>
                <w:color w:val="auto"/>
                <w:sz w:val="18"/>
                <w:szCs w:val="18"/>
                <w:lang w:val="en-US" w:eastAsia="zh-CN"/>
              </w:rPr>
              <w:t xml:space="preserve"> </w:t>
            </w:r>
            <w:r>
              <w:rPr>
                <w:rFonts w:hint="default" w:ascii="Times New Roman" w:hAnsi="Times New Roman" w:eastAsia="宋体"/>
                <w:color w:val="auto"/>
                <w:sz w:val="18"/>
                <w:szCs w:val="18"/>
                <w:lang w:val="en-US" w:eastAsia="zh-CN"/>
              </w:rPr>
              <w:t>铁路、船舶、航空航天和其他运输设备制造业》（HJ1124</w:t>
            </w:r>
            <w:r>
              <w:rPr>
                <w:rFonts w:hint="eastAsia" w:ascii="Times New Roman" w:hAnsi="Times New Roman" w:eastAsia="宋体"/>
                <w:color w:val="auto"/>
                <w:sz w:val="18"/>
                <w:szCs w:val="18"/>
                <w:lang w:val="en-US" w:eastAsia="zh-CN"/>
              </w:rPr>
              <w:t>-</w:t>
            </w:r>
            <w:r>
              <w:rPr>
                <w:rFonts w:hint="default" w:ascii="Times New Roman" w:hAnsi="Times New Roman" w:eastAsia="宋体"/>
                <w:color w:val="auto"/>
                <w:sz w:val="18"/>
                <w:szCs w:val="18"/>
                <w:lang w:val="en-US" w:eastAsia="zh-CN"/>
              </w:rPr>
              <w:t>2020）中附录</w:t>
            </w:r>
            <w:r>
              <w:rPr>
                <w:rFonts w:hint="eastAsia" w:ascii="Times New Roman" w:hAnsi="Times New Roman" w:eastAsia="宋体"/>
                <w:color w:val="auto"/>
                <w:sz w:val="18"/>
                <w:szCs w:val="18"/>
                <w:lang w:val="en-US" w:eastAsia="zh-CN"/>
              </w:rPr>
              <w:t>C</w:t>
            </w:r>
            <w:r>
              <w:rPr>
                <w:rFonts w:hint="eastAsia"/>
                <w:color w:val="auto"/>
                <w:sz w:val="18"/>
                <w:szCs w:val="18"/>
                <w:lang w:val="en-US" w:eastAsia="zh-CN"/>
              </w:rPr>
              <w:t>.1-C.4所列</w:t>
            </w:r>
            <w:r>
              <w:rPr>
                <w:rFonts w:hint="eastAsia" w:ascii="Times New Roman" w:hAnsi="Times New Roman" w:eastAsia="宋体"/>
                <w:color w:val="auto"/>
                <w:sz w:val="18"/>
                <w:szCs w:val="18"/>
                <w:lang w:val="en-US" w:eastAsia="zh-CN"/>
              </w:rPr>
              <w:t>污染防治可行技术可知二级活性炭吸附</w:t>
            </w:r>
            <w:r>
              <w:rPr>
                <w:rFonts w:hint="eastAsia"/>
                <w:color w:val="auto"/>
                <w:sz w:val="18"/>
                <w:szCs w:val="18"/>
                <w:lang w:val="en-US" w:eastAsia="zh-CN"/>
              </w:rPr>
              <w:t>属于污染治理可行技术。</w:t>
            </w:r>
          </w:p>
          <w:p w14:paraId="77600C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b/>
                <w:bCs/>
                <w:color w:val="auto"/>
                <w:lang w:val="en-US" w:eastAsia="zh-CN"/>
              </w:rPr>
            </w:pPr>
            <w:r>
              <w:rPr>
                <w:rFonts w:hint="eastAsia"/>
                <w:b/>
                <w:bCs/>
                <w:color w:val="auto"/>
                <w:lang w:val="en-US" w:eastAsia="zh-CN"/>
              </w:rPr>
              <w:t>表4.1-5  建设项目废气排放口基本情况一览表</w:t>
            </w:r>
          </w:p>
          <w:tbl>
            <w:tblPr>
              <w:tblStyle w:val="25"/>
              <w:tblW w:w="134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380"/>
              <w:gridCol w:w="1170"/>
              <w:gridCol w:w="1245"/>
              <w:gridCol w:w="1296"/>
              <w:gridCol w:w="892"/>
              <w:gridCol w:w="1040"/>
              <w:gridCol w:w="892"/>
              <w:gridCol w:w="745"/>
              <w:gridCol w:w="1330"/>
              <w:gridCol w:w="1344"/>
              <w:gridCol w:w="1255"/>
            </w:tblGrid>
            <w:tr w14:paraId="34DEC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907" w:type="dxa"/>
                  <w:vMerge w:val="restart"/>
                  <w:tcBorders>
                    <w:tl2br w:val="nil"/>
                    <w:tr2bl w:val="nil"/>
                  </w:tcBorders>
                  <w:vAlign w:val="center"/>
                </w:tcPr>
                <w:p w14:paraId="218D4F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18"/>
                      <w:szCs w:val="18"/>
                      <w:lang w:eastAsia="zh-CN"/>
                    </w:rPr>
                  </w:pPr>
                  <w:r>
                    <w:rPr>
                      <w:rFonts w:hint="eastAsia" w:cs="Times New Roman"/>
                      <w:b/>
                      <w:bCs/>
                      <w:color w:val="auto"/>
                      <w:sz w:val="18"/>
                      <w:szCs w:val="18"/>
                      <w:lang w:eastAsia="zh-CN"/>
                    </w:rPr>
                    <w:t>排放源</w:t>
                  </w:r>
                </w:p>
              </w:tc>
              <w:tc>
                <w:tcPr>
                  <w:tcW w:w="1380" w:type="dxa"/>
                  <w:vMerge w:val="restart"/>
                  <w:tcBorders>
                    <w:tl2br w:val="nil"/>
                    <w:tr2bl w:val="nil"/>
                  </w:tcBorders>
                  <w:vAlign w:val="center"/>
                </w:tcPr>
                <w:p w14:paraId="1BB251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排放口类型</w:t>
                  </w:r>
                </w:p>
              </w:tc>
              <w:tc>
                <w:tcPr>
                  <w:tcW w:w="2415" w:type="dxa"/>
                  <w:gridSpan w:val="2"/>
                  <w:tcBorders>
                    <w:tl2br w:val="nil"/>
                    <w:tr2bl w:val="nil"/>
                  </w:tcBorders>
                  <w:vAlign w:val="center"/>
                </w:tcPr>
                <w:p w14:paraId="09BD6F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排气筒底部中心坐标（UTM）坐标</w:t>
                  </w:r>
                </w:p>
              </w:tc>
              <w:tc>
                <w:tcPr>
                  <w:tcW w:w="1296" w:type="dxa"/>
                  <w:vMerge w:val="restart"/>
                  <w:tcBorders>
                    <w:tl2br w:val="nil"/>
                    <w:tr2bl w:val="nil"/>
                  </w:tcBorders>
                  <w:vAlign w:val="center"/>
                </w:tcPr>
                <w:p w14:paraId="3739B6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排气筒底部</w:t>
                  </w:r>
                  <w:r>
                    <w:rPr>
                      <w:rFonts w:hint="eastAsia" w:cs="Times New Roman"/>
                      <w:b/>
                      <w:bCs/>
                      <w:color w:val="auto"/>
                      <w:sz w:val="18"/>
                      <w:szCs w:val="18"/>
                      <w:lang w:eastAsia="zh-CN"/>
                    </w:rPr>
                    <w:t>海拔</w:t>
                  </w:r>
                  <w:r>
                    <w:rPr>
                      <w:rFonts w:hint="default" w:ascii="Times New Roman" w:hAnsi="Times New Roman" w:cs="Times New Roman"/>
                      <w:b/>
                      <w:bCs/>
                      <w:color w:val="auto"/>
                      <w:sz w:val="18"/>
                      <w:szCs w:val="18"/>
                    </w:rPr>
                    <w:t>/m</w:t>
                  </w:r>
                </w:p>
              </w:tc>
              <w:tc>
                <w:tcPr>
                  <w:tcW w:w="892" w:type="dxa"/>
                  <w:vMerge w:val="restart"/>
                  <w:tcBorders>
                    <w:tl2br w:val="nil"/>
                    <w:tr2bl w:val="nil"/>
                  </w:tcBorders>
                  <w:vAlign w:val="center"/>
                </w:tcPr>
                <w:p w14:paraId="0645B8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排气筒高度/m</w:t>
                  </w:r>
                </w:p>
              </w:tc>
              <w:tc>
                <w:tcPr>
                  <w:tcW w:w="1040" w:type="dxa"/>
                  <w:vMerge w:val="restart"/>
                  <w:tcBorders>
                    <w:tl2br w:val="nil"/>
                    <w:tr2bl w:val="nil"/>
                  </w:tcBorders>
                  <w:vAlign w:val="center"/>
                </w:tcPr>
                <w:p w14:paraId="2484C3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排气筒内径/m</w:t>
                  </w:r>
                </w:p>
              </w:tc>
              <w:tc>
                <w:tcPr>
                  <w:tcW w:w="892" w:type="dxa"/>
                  <w:vMerge w:val="restart"/>
                  <w:tcBorders>
                    <w:tl2br w:val="nil"/>
                    <w:tr2bl w:val="nil"/>
                  </w:tcBorders>
                  <w:vAlign w:val="center"/>
                </w:tcPr>
                <w:p w14:paraId="7371AA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烟气温度/℃</w:t>
                  </w:r>
                </w:p>
              </w:tc>
              <w:tc>
                <w:tcPr>
                  <w:tcW w:w="745" w:type="dxa"/>
                  <w:vMerge w:val="restart"/>
                  <w:tcBorders>
                    <w:tl2br w:val="nil"/>
                    <w:tr2bl w:val="nil"/>
                  </w:tcBorders>
                  <w:vAlign w:val="center"/>
                </w:tcPr>
                <w:p w14:paraId="362FDE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排放工况</w:t>
                  </w:r>
                </w:p>
              </w:tc>
              <w:tc>
                <w:tcPr>
                  <w:tcW w:w="1330" w:type="dxa"/>
                  <w:vMerge w:val="restart"/>
                  <w:tcBorders>
                    <w:tl2br w:val="nil"/>
                    <w:tr2bl w:val="nil"/>
                  </w:tcBorders>
                  <w:vAlign w:val="center"/>
                </w:tcPr>
                <w:p w14:paraId="361921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污染物类型</w:t>
                  </w:r>
                </w:p>
              </w:tc>
              <w:tc>
                <w:tcPr>
                  <w:tcW w:w="2599" w:type="dxa"/>
                  <w:gridSpan w:val="2"/>
                  <w:tcBorders>
                    <w:tl2br w:val="nil"/>
                    <w:tr2bl w:val="nil"/>
                  </w:tcBorders>
                  <w:vAlign w:val="center"/>
                </w:tcPr>
                <w:p w14:paraId="13425D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执行标准</w:t>
                  </w:r>
                </w:p>
              </w:tc>
            </w:tr>
            <w:tr w14:paraId="61F76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07" w:type="dxa"/>
                  <w:vMerge w:val="continue"/>
                  <w:tcBorders>
                    <w:tl2br w:val="nil"/>
                    <w:tr2bl w:val="nil"/>
                  </w:tcBorders>
                  <w:vAlign w:val="center"/>
                </w:tcPr>
                <w:p w14:paraId="5D9087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c>
                <w:tcPr>
                  <w:tcW w:w="1380" w:type="dxa"/>
                  <w:vMerge w:val="continue"/>
                  <w:tcBorders>
                    <w:tl2br w:val="nil"/>
                    <w:tr2bl w:val="nil"/>
                  </w:tcBorders>
                  <w:vAlign w:val="center"/>
                </w:tcPr>
                <w:p w14:paraId="65A45D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p>
              </w:tc>
              <w:tc>
                <w:tcPr>
                  <w:tcW w:w="1170" w:type="dxa"/>
                  <w:tcBorders>
                    <w:tl2br w:val="nil"/>
                    <w:tr2bl w:val="nil"/>
                  </w:tcBorders>
                  <w:vAlign w:val="center"/>
                </w:tcPr>
                <w:p w14:paraId="2EECDD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X</w:t>
                  </w:r>
                </w:p>
              </w:tc>
              <w:tc>
                <w:tcPr>
                  <w:tcW w:w="1245" w:type="dxa"/>
                  <w:tcBorders>
                    <w:tl2br w:val="nil"/>
                    <w:tr2bl w:val="nil"/>
                  </w:tcBorders>
                  <w:vAlign w:val="center"/>
                </w:tcPr>
                <w:p w14:paraId="7FD6DB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Y</w:t>
                  </w:r>
                </w:p>
              </w:tc>
              <w:tc>
                <w:tcPr>
                  <w:tcW w:w="1296" w:type="dxa"/>
                  <w:vMerge w:val="continue"/>
                  <w:tcBorders>
                    <w:tl2br w:val="nil"/>
                    <w:tr2bl w:val="nil"/>
                  </w:tcBorders>
                  <w:vAlign w:val="center"/>
                </w:tcPr>
                <w:p w14:paraId="5C3B7C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c>
                <w:tcPr>
                  <w:tcW w:w="892" w:type="dxa"/>
                  <w:vMerge w:val="continue"/>
                  <w:tcBorders>
                    <w:tl2br w:val="nil"/>
                    <w:tr2bl w:val="nil"/>
                  </w:tcBorders>
                  <w:vAlign w:val="center"/>
                </w:tcPr>
                <w:p w14:paraId="115495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c>
                <w:tcPr>
                  <w:tcW w:w="1040" w:type="dxa"/>
                  <w:vMerge w:val="continue"/>
                  <w:tcBorders>
                    <w:tl2br w:val="nil"/>
                    <w:tr2bl w:val="nil"/>
                  </w:tcBorders>
                  <w:vAlign w:val="center"/>
                </w:tcPr>
                <w:p w14:paraId="17521D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c>
                <w:tcPr>
                  <w:tcW w:w="892" w:type="dxa"/>
                  <w:vMerge w:val="continue"/>
                  <w:tcBorders>
                    <w:tl2br w:val="nil"/>
                    <w:tr2bl w:val="nil"/>
                  </w:tcBorders>
                  <w:vAlign w:val="center"/>
                </w:tcPr>
                <w:p w14:paraId="65E97F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c>
                <w:tcPr>
                  <w:tcW w:w="745" w:type="dxa"/>
                  <w:vMerge w:val="continue"/>
                  <w:tcBorders>
                    <w:tl2br w:val="nil"/>
                    <w:tr2bl w:val="nil"/>
                  </w:tcBorders>
                  <w:vAlign w:val="center"/>
                </w:tcPr>
                <w:p w14:paraId="533BDF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c>
                <w:tcPr>
                  <w:tcW w:w="1330" w:type="dxa"/>
                  <w:vMerge w:val="continue"/>
                  <w:tcBorders>
                    <w:tl2br w:val="nil"/>
                    <w:tr2bl w:val="nil"/>
                  </w:tcBorders>
                  <w:vAlign w:val="center"/>
                </w:tcPr>
                <w:p w14:paraId="44B42F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c>
                <w:tcPr>
                  <w:tcW w:w="1344" w:type="dxa"/>
                  <w:tcBorders>
                    <w:tl2br w:val="nil"/>
                    <w:tr2bl w:val="nil"/>
                  </w:tcBorders>
                  <w:vAlign w:val="center"/>
                </w:tcPr>
                <w:p w14:paraId="21DD56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浓度</w:t>
                  </w:r>
                  <w:r>
                    <w:rPr>
                      <w:rFonts w:hint="eastAsia" w:cs="Times New Roman"/>
                      <w:b/>
                      <w:bCs/>
                      <w:color w:val="auto"/>
                      <w:sz w:val="18"/>
                      <w:szCs w:val="18"/>
                      <w:lang w:eastAsia="zh-CN"/>
                    </w:rPr>
                    <w:t>（</w:t>
                  </w:r>
                  <w:r>
                    <w:rPr>
                      <w:rFonts w:hint="default" w:ascii="Times New Roman" w:hAnsi="Times New Roman" w:cs="Times New Roman"/>
                      <w:b/>
                      <w:bCs/>
                      <w:color w:val="auto"/>
                      <w:sz w:val="18"/>
                      <w:szCs w:val="18"/>
                    </w:rPr>
                    <w:t>mg/m</w:t>
                  </w:r>
                  <w:r>
                    <w:rPr>
                      <w:rFonts w:hint="default" w:ascii="Times New Roman" w:hAnsi="Times New Roman" w:cs="Times New Roman"/>
                      <w:b/>
                      <w:bCs/>
                      <w:color w:val="auto"/>
                      <w:sz w:val="18"/>
                      <w:szCs w:val="18"/>
                      <w:vertAlign w:val="superscript"/>
                    </w:rPr>
                    <w:t>3</w:t>
                  </w:r>
                  <w:r>
                    <w:rPr>
                      <w:rFonts w:hint="eastAsia" w:cs="Times New Roman"/>
                      <w:b/>
                      <w:bCs/>
                      <w:color w:val="auto"/>
                      <w:sz w:val="18"/>
                      <w:szCs w:val="18"/>
                      <w:vertAlign w:val="superscript"/>
                      <w:lang w:eastAsia="zh-CN"/>
                    </w:rPr>
                    <w:t>）</w:t>
                  </w:r>
                </w:p>
              </w:tc>
              <w:tc>
                <w:tcPr>
                  <w:tcW w:w="1255" w:type="dxa"/>
                  <w:tcBorders>
                    <w:tl2br w:val="nil"/>
                    <w:tr2bl w:val="nil"/>
                  </w:tcBorders>
                  <w:vAlign w:val="center"/>
                </w:tcPr>
                <w:p w14:paraId="46A992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速率</w:t>
                  </w:r>
                  <w:r>
                    <w:rPr>
                      <w:rFonts w:hint="eastAsia" w:cs="Times New Roman"/>
                      <w:b/>
                      <w:bCs/>
                      <w:color w:val="auto"/>
                      <w:sz w:val="18"/>
                      <w:szCs w:val="18"/>
                      <w:lang w:eastAsia="zh-CN"/>
                    </w:rPr>
                    <w:t>（</w:t>
                  </w:r>
                  <w:r>
                    <w:rPr>
                      <w:rFonts w:hint="default" w:ascii="Times New Roman" w:hAnsi="Times New Roman" w:cs="Times New Roman"/>
                      <w:b/>
                      <w:bCs/>
                      <w:color w:val="auto"/>
                      <w:sz w:val="18"/>
                      <w:szCs w:val="18"/>
                    </w:rPr>
                    <w:t>kg/h</w:t>
                  </w:r>
                  <w:r>
                    <w:rPr>
                      <w:rFonts w:hint="eastAsia" w:cs="Times New Roman"/>
                      <w:b/>
                      <w:bCs/>
                      <w:color w:val="auto"/>
                      <w:sz w:val="18"/>
                      <w:szCs w:val="18"/>
                      <w:lang w:eastAsia="zh-CN"/>
                    </w:rPr>
                    <w:t>）</w:t>
                  </w:r>
                </w:p>
              </w:tc>
            </w:tr>
            <w:tr w14:paraId="7B6CA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07" w:type="dxa"/>
                  <w:tcBorders>
                    <w:tl2br w:val="nil"/>
                    <w:tr2bl w:val="nil"/>
                  </w:tcBorders>
                  <w:vAlign w:val="center"/>
                </w:tcPr>
                <w:p w14:paraId="0D18A7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20m</w:t>
                  </w:r>
                </w:p>
                <w:p w14:paraId="5CF0C5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DA001</w:t>
                  </w:r>
                </w:p>
              </w:tc>
              <w:tc>
                <w:tcPr>
                  <w:tcW w:w="1380" w:type="dxa"/>
                  <w:tcBorders>
                    <w:tl2br w:val="nil"/>
                    <w:tr2bl w:val="nil"/>
                  </w:tcBorders>
                  <w:vAlign w:val="center"/>
                </w:tcPr>
                <w:p w14:paraId="3F34CA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一般排放口</w:t>
                  </w:r>
                </w:p>
              </w:tc>
              <w:tc>
                <w:tcPr>
                  <w:tcW w:w="1170" w:type="dxa"/>
                  <w:tcBorders>
                    <w:tl2br w:val="nil"/>
                    <w:tr2bl w:val="nil"/>
                  </w:tcBorders>
                  <w:vAlign w:val="center"/>
                </w:tcPr>
                <w:p w14:paraId="56117C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119.</w:t>
                  </w:r>
                  <w:r>
                    <w:rPr>
                      <w:rFonts w:hint="eastAsia" w:cs="Times New Roman"/>
                      <w:color w:val="auto"/>
                      <w:sz w:val="18"/>
                      <w:szCs w:val="18"/>
                      <w:lang w:val="en-US" w:eastAsia="zh-CN"/>
                    </w:rPr>
                    <w:t>289533</w:t>
                  </w:r>
                </w:p>
              </w:tc>
              <w:tc>
                <w:tcPr>
                  <w:tcW w:w="1245" w:type="dxa"/>
                  <w:tcBorders>
                    <w:tl2br w:val="nil"/>
                    <w:tr2bl w:val="nil"/>
                  </w:tcBorders>
                  <w:vAlign w:val="center"/>
                </w:tcPr>
                <w:p w14:paraId="6295AD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33.</w:t>
                  </w:r>
                  <w:r>
                    <w:rPr>
                      <w:rFonts w:hint="eastAsia" w:ascii="Times New Roman" w:hAnsi="Times New Roman" w:eastAsia="宋体" w:cs="Times New Roman"/>
                      <w:color w:val="auto"/>
                      <w:sz w:val="18"/>
                      <w:szCs w:val="18"/>
                      <w:lang w:val="en-US" w:eastAsia="zh-CN"/>
                    </w:rPr>
                    <w:t>784024</w:t>
                  </w:r>
                </w:p>
              </w:tc>
              <w:tc>
                <w:tcPr>
                  <w:tcW w:w="1296" w:type="dxa"/>
                  <w:tcBorders>
                    <w:tl2br w:val="nil"/>
                    <w:tr2bl w:val="nil"/>
                  </w:tcBorders>
                  <w:vAlign w:val="center"/>
                </w:tcPr>
                <w:p w14:paraId="5335A9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8</w:t>
                  </w:r>
                </w:p>
              </w:tc>
              <w:tc>
                <w:tcPr>
                  <w:tcW w:w="892" w:type="dxa"/>
                  <w:tcBorders>
                    <w:tl2br w:val="nil"/>
                    <w:tr2bl w:val="nil"/>
                  </w:tcBorders>
                  <w:vAlign w:val="center"/>
                </w:tcPr>
                <w:p w14:paraId="3A673E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w:t>
                  </w:r>
                </w:p>
              </w:tc>
              <w:tc>
                <w:tcPr>
                  <w:tcW w:w="1040" w:type="dxa"/>
                  <w:tcBorders>
                    <w:tl2br w:val="nil"/>
                    <w:tr2bl w:val="nil"/>
                  </w:tcBorders>
                  <w:vAlign w:val="center"/>
                </w:tcPr>
                <w:p w14:paraId="0FD078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w:t>
                  </w:r>
                  <w:r>
                    <w:rPr>
                      <w:rFonts w:hint="eastAsia" w:cs="Times New Roman"/>
                      <w:color w:val="auto"/>
                      <w:sz w:val="18"/>
                      <w:szCs w:val="18"/>
                      <w:lang w:val="en-US" w:eastAsia="zh-CN"/>
                    </w:rPr>
                    <w:t>2</w:t>
                  </w:r>
                  <w:r>
                    <w:rPr>
                      <w:rFonts w:hint="default" w:ascii="Times New Roman" w:hAnsi="Times New Roman" w:cs="Times New Roman"/>
                      <w:color w:val="auto"/>
                      <w:sz w:val="18"/>
                      <w:szCs w:val="18"/>
                      <w:lang w:val="en-US" w:eastAsia="zh-CN"/>
                    </w:rPr>
                    <w:t>5</w:t>
                  </w:r>
                </w:p>
              </w:tc>
              <w:tc>
                <w:tcPr>
                  <w:tcW w:w="892" w:type="dxa"/>
                  <w:tcBorders>
                    <w:tl2br w:val="nil"/>
                    <w:tr2bl w:val="nil"/>
                  </w:tcBorders>
                  <w:vAlign w:val="center"/>
                </w:tcPr>
                <w:p w14:paraId="471E1B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745" w:type="dxa"/>
                  <w:tcBorders>
                    <w:tl2br w:val="nil"/>
                    <w:tr2bl w:val="nil"/>
                  </w:tcBorders>
                  <w:vAlign w:val="center"/>
                </w:tcPr>
                <w:p w14:paraId="79FB72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正常</w:t>
                  </w:r>
                </w:p>
              </w:tc>
              <w:tc>
                <w:tcPr>
                  <w:tcW w:w="1330" w:type="dxa"/>
                  <w:tcBorders>
                    <w:tl2br w:val="nil"/>
                    <w:tr2bl w:val="nil"/>
                  </w:tcBorders>
                  <w:vAlign w:val="center"/>
                </w:tcPr>
                <w:p w14:paraId="0B9644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非甲烷总烃</w:t>
                  </w:r>
                </w:p>
              </w:tc>
              <w:tc>
                <w:tcPr>
                  <w:tcW w:w="1344" w:type="dxa"/>
                  <w:tcBorders>
                    <w:tl2br w:val="nil"/>
                    <w:tr2bl w:val="nil"/>
                  </w:tcBorders>
                  <w:vAlign w:val="center"/>
                </w:tcPr>
                <w:p w14:paraId="72471F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kern w:val="0"/>
                      <w:sz w:val="18"/>
                      <w:szCs w:val="18"/>
                      <w:lang w:val="en-US" w:eastAsia="zh-CN"/>
                    </w:rPr>
                    <w:t>60</w:t>
                  </w:r>
                </w:p>
              </w:tc>
              <w:tc>
                <w:tcPr>
                  <w:tcW w:w="1255" w:type="dxa"/>
                  <w:tcBorders>
                    <w:tl2br w:val="nil"/>
                    <w:tr2bl w:val="nil"/>
                  </w:tcBorders>
                  <w:vAlign w:val="center"/>
                </w:tcPr>
                <w:p w14:paraId="63ED87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kern w:val="0"/>
                      <w:sz w:val="18"/>
                      <w:szCs w:val="18"/>
                      <w:lang w:val="en-US" w:eastAsia="zh-CN" w:bidi="ar"/>
                    </w:rPr>
                    <w:t>3</w:t>
                  </w:r>
                </w:p>
              </w:tc>
            </w:tr>
          </w:tbl>
          <w:p w14:paraId="26E915BC">
            <w:pPr>
              <w:keepNext w:val="0"/>
              <w:keepLines w:val="0"/>
              <w:suppressLineNumbers w:val="0"/>
              <w:bidi w:val="0"/>
              <w:spacing w:before="0" w:beforeAutospacing="0" w:after="0" w:afterAutospacing="0"/>
              <w:ind w:left="0" w:leftChars="0" w:right="0" w:firstLine="0" w:firstLineChars="0"/>
              <w:rPr>
                <w:rFonts w:hint="default"/>
                <w:color w:val="auto"/>
                <w:lang w:val="en-US" w:eastAsia="zh-CN"/>
              </w:rPr>
            </w:pPr>
          </w:p>
        </w:tc>
      </w:tr>
    </w:tbl>
    <w:p w14:paraId="7D9E9C9B">
      <w:pPr>
        <w:numPr>
          <w:ilvl w:val="0"/>
          <w:numId w:val="0"/>
        </w:numPr>
        <w:ind w:leftChars="0"/>
        <w:rPr>
          <w:rFonts w:hint="default"/>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8300"/>
      </w:tblGrid>
      <w:tr w14:paraId="488D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7" w:hRule="atLeast"/>
        </w:trPr>
        <w:tc>
          <w:tcPr>
            <w:tcW w:w="354" w:type="dxa"/>
          </w:tcPr>
          <w:p w14:paraId="36CDDC00">
            <w:pPr>
              <w:keepNext w:val="0"/>
              <w:keepLines w:val="0"/>
              <w:numPr>
                <w:ilvl w:val="0"/>
                <w:numId w:val="0"/>
              </w:numPr>
              <w:suppressLineNumbers w:val="0"/>
              <w:spacing w:before="0" w:beforeAutospacing="0" w:after="0" w:afterAutospacing="0"/>
              <w:ind w:left="0" w:right="0"/>
              <w:rPr>
                <w:rFonts w:hint="default"/>
                <w:color w:val="auto"/>
                <w:vertAlign w:val="baseline"/>
                <w:lang w:val="en-US" w:eastAsia="zh-CN"/>
              </w:rPr>
            </w:pPr>
          </w:p>
        </w:tc>
        <w:tc>
          <w:tcPr>
            <w:tcW w:w="8168" w:type="dxa"/>
          </w:tcPr>
          <w:p w14:paraId="622CC6EE">
            <w:pPr>
              <w:keepNext w:val="0"/>
              <w:keepLines w:val="0"/>
              <w:numPr>
                <w:ilvl w:val="0"/>
                <w:numId w:val="0"/>
              </w:numPr>
              <w:suppressLineNumbers w:val="0"/>
              <w:bidi w:val="0"/>
              <w:spacing w:before="0" w:beforeAutospacing="0" w:after="0" w:afterAutospacing="0"/>
              <w:ind w:left="480" w:leftChars="200" w:right="0"/>
              <w:rPr>
                <w:rFonts w:hint="eastAsia"/>
                <w:color w:val="auto"/>
                <w:lang w:val="en-US" w:eastAsia="zh-CN"/>
              </w:rPr>
            </w:pPr>
            <w:r>
              <w:rPr>
                <w:rFonts w:hint="eastAsia"/>
                <w:b/>
                <w:bCs/>
                <w:color w:val="auto"/>
                <w:lang w:val="en-US" w:eastAsia="zh-CN"/>
              </w:rPr>
              <w:t>1.2废气污染源强核算过程简述</w:t>
            </w:r>
          </w:p>
          <w:p w14:paraId="3AFF44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项目运营期产生的废气主要为检验过程中的有机废气以及消毒产生的有机废气</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以非甲烷总烃计</w:t>
            </w:r>
            <w:r>
              <w:rPr>
                <w:rFonts w:hint="eastAsia" w:cs="Times New Roman"/>
                <w:color w:val="auto"/>
                <w:kern w:val="0"/>
                <w:sz w:val="24"/>
                <w:szCs w:val="24"/>
                <w:highlight w:val="none"/>
                <w:lang w:val="en-US" w:eastAsia="zh-CN" w:bidi="ar"/>
              </w:rPr>
              <w:t>）、生物气溶胶以及污水处理站恶臭</w:t>
            </w:r>
            <w:r>
              <w:rPr>
                <w:rFonts w:hint="default" w:ascii="Times New Roman" w:hAnsi="Times New Roman" w:eastAsia="宋体" w:cs="Times New Roman"/>
                <w:color w:val="auto"/>
                <w:kern w:val="0"/>
                <w:sz w:val="24"/>
                <w:szCs w:val="24"/>
                <w:highlight w:val="none"/>
                <w:lang w:val="en-US" w:eastAsia="zh-CN" w:bidi="ar"/>
              </w:rPr>
              <w:t>。</w:t>
            </w:r>
          </w:p>
          <w:p w14:paraId="1776E1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1）实验废气</w:t>
            </w:r>
          </w:p>
          <w:p w14:paraId="641CB1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本项目PCR实验室和</w:t>
            </w:r>
            <w:r>
              <w:rPr>
                <w:rFonts w:hint="eastAsia" w:ascii="Times New Roman" w:hAnsi="Times New Roman" w:eastAsia="宋体" w:cs="Times New Roman"/>
                <w:color w:val="auto"/>
                <w:kern w:val="0"/>
                <w:sz w:val="24"/>
                <w:szCs w:val="24"/>
                <w:highlight w:val="none"/>
                <w:lang w:val="en-US" w:eastAsia="zh-CN" w:bidi="ar"/>
              </w:rPr>
              <w:t>其他</w:t>
            </w:r>
            <w:r>
              <w:rPr>
                <w:rFonts w:hint="default" w:ascii="Times New Roman" w:hAnsi="Times New Roman" w:eastAsia="宋体" w:cs="Times New Roman"/>
                <w:color w:val="auto"/>
                <w:kern w:val="0"/>
                <w:sz w:val="24"/>
                <w:szCs w:val="24"/>
                <w:highlight w:val="none"/>
                <w:lang w:val="en-US" w:eastAsia="zh-CN" w:bidi="ar"/>
              </w:rPr>
              <w:t>实验过程中会使用少量有机溶剂，产生少量的有机溶剂挥发气体（涉及使用有机溶剂实验均在生物安全柜内进行），主要为异丙醇、</w:t>
            </w:r>
            <w:r>
              <w:rPr>
                <w:rFonts w:hint="eastAsia" w:cs="Times New Roman"/>
                <w:color w:val="auto"/>
                <w:kern w:val="0"/>
                <w:sz w:val="24"/>
                <w:szCs w:val="24"/>
                <w:highlight w:val="none"/>
                <w:lang w:val="en-US" w:eastAsia="zh-CN" w:bidi="ar"/>
              </w:rPr>
              <w:t>无水</w:t>
            </w:r>
            <w:r>
              <w:rPr>
                <w:rFonts w:hint="default" w:ascii="Times New Roman" w:hAnsi="Times New Roman" w:eastAsia="宋体" w:cs="Times New Roman"/>
                <w:color w:val="auto"/>
                <w:kern w:val="0"/>
                <w:sz w:val="24"/>
                <w:szCs w:val="24"/>
                <w:highlight w:val="none"/>
                <w:lang w:val="en-US" w:eastAsia="zh-CN" w:bidi="ar"/>
              </w:rPr>
              <w:t>乙醇、丙烯酰胺</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异氟烷等，以非甲烷总烃计。由于试剂操作时间短，为间断式，且项目每次添加试剂的量很小，试剂挥发量</w:t>
            </w:r>
            <w:r>
              <w:rPr>
                <w:rFonts w:hint="eastAsia" w:cs="Times New Roman"/>
                <w:color w:val="auto"/>
                <w:kern w:val="0"/>
                <w:sz w:val="24"/>
                <w:szCs w:val="24"/>
                <w:highlight w:val="none"/>
                <w:lang w:val="en-US" w:eastAsia="zh-CN" w:bidi="ar"/>
              </w:rPr>
              <w:t>数量级</w:t>
            </w:r>
            <w:r>
              <w:rPr>
                <w:rFonts w:hint="default" w:ascii="Times New Roman" w:hAnsi="Times New Roman" w:eastAsia="宋体" w:cs="Times New Roman"/>
                <w:color w:val="auto"/>
                <w:kern w:val="0"/>
                <w:sz w:val="24"/>
                <w:szCs w:val="24"/>
                <w:highlight w:val="none"/>
                <w:lang w:val="en-US" w:eastAsia="zh-CN" w:bidi="ar"/>
              </w:rPr>
              <w:t>有限。</w:t>
            </w:r>
            <w:r>
              <w:rPr>
                <w:rFonts w:hint="eastAsia" w:cs="Times New Roman"/>
                <w:color w:val="auto"/>
                <w:kern w:val="0"/>
                <w:sz w:val="24"/>
                <w:szCs w:val="24"/>
                <w:highlight w:val="none"/>
                <w:lang w:val="en-US" w:eastAsia="zh-CN" w:bidi="ar"/>
              </w:rPr>
              <w:t>项目</w:t>
            </w:r>
            <w:r>
              <w:rPr>
                <w:rFonts w:hint="default" w:ascii="Times New Roman" w:hAnsi="Times New Roman" w:eastAsia="宋体" w:cs="Times New Roman"/>
                <w:color w:val="auto"/>
                <w:kern w:val="0"/>
                <w:sz w:val="24"/>
                <w:szCs w:val="24"/>
                <w:highlight w:val="none"/>
                <w:lang w:val="en-US" w:eastAsia="zh-CN" w:bidi="ar"/>
              </w:rPr>
              <w:t>异丙醇用量约为</w:t>
            </w:r>
            <w:r>
              <w:rPr>
                <w:rFonts w:hint="eastAsia" w:cs="Times New Roman"/>
                <w:color w:val="auto"/>
                <w:kern w:val="0"/>
                <w:sz w:val="24"/>
                <w:szCs w:val="24"/>
                <w:highlight w:val="none"/>
                <w:lang w:val="en-US" w:eastAsia="zh-CN" w:bidi="ar"/>
              </w:rPr>
              <w:t>125L/年（0.098t</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无水乙醇用量约</w:t>
            </w:r>
            <w:r>
              <w:rPr>
                <w:rFonts w:hint="eastAsia" w:cs="Times New Roman"/>
                <w:color w:val="auto"/>
                <w:kern w:val="0"/>
                <w:sz w:val="24"/>
                <w:szCs w:val="24"/>
                <w:highlight w:val="none"/>
                <w:lang w:val="en-US" w:eastAsia="zh-CN" w:bidi="ar"/>
              </w:rPr>
              <w:t>125L/年（0.1t</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）、丙烯酰胺0.25t/a、异氟烷及其他有机溶剂用量0.711t/a，合计用量约1.159t/a</w:t>
            </w:r>
            <w:r>
              <w:rPr>
                <w:rFonts w:hint="default" w:ascii="Times New Roman" w:hAnsi="Times New Roman" w:eastAsia="宋体" w:cs="Times New Roman"/>
                <w:color w:val="auto"/>
                <w:kern w:val="0"/>
                <w:sz w:val="24"/>
                <w:szCs w:val="24"/>
                <w:highlight w:val="none"/>
                <w:lang w:val="en-US" w:eastAsia="zh-CN" w:bidi="ar"/>
              </w:rPr>
              <w:t>。</w:t>
            </w:r>
          </w:p>
          <w:p w14:paraId="7A8DE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cs="Times New Roman"/>
                <w:color w:val="auto"/>
                <w:highlight w:val="none"/>
              </w:rPr>
            </w:pPr>
            <w:r>
              <w:rPr>
                <w:rFonts w:hint="eastAsia" w:cs="Times New Roman"/>
                <w:color w:val="auto"/>
                <w:kern w:val="0"/>
                <w:sz w:val="24"/>
                <w:szCs w:val="24"/>
                <w:highlight w:val="none"/>
                <w:lang w:val="en-US" w:eastAsia="zh-CN" w:bidi="ar"/>
              </w:rPr>
              <w:t>经类比《</w:t>
            </w:r>
            <w:r>
              <w:rPr>
                <w:rFonts w:hint="default" w:ascii="Times New Roman" w:hAnsi="Times New Roman" w:cs="Times New Roman"/>
                <w:color w:val="auto"/>
                <w:sz w:val="24"/>
                <w:highlight w:val="none"/>
                <w:lang w:eastAsia="zh-CN"/>
              </w:rPr>
              <w:t>芜湖迈新医学检验实验室有限公司</w:t>
            </w:r>
            <w:r>
              <w:rPr>
                <w:rFonts w:hint="eastAsia" w:cs="Times New Roman"/>
                <w:color w:val="auto"/>
                <w:kern w:val="0"/>
                <w:sz w:val="24"/>
                <w:szCs w:val="24"/>
                <w:highlight w:val="none"/>
                <w:lang w:val="en-US" w:eastAsia="zh-CN" w:bidi="ar"/>
              </w:rPr>
              <w:t>医学检验实验室项目环境影响报告表》，</w:t>
            </w:r>
            <w:r>
              <w:rPr>
                <w:rFonts w:hint="default" w:ascii="Times New Roman" w:hAnsi="Times New Roman" w:eastAsia="宋体" w:cs="Times New Roman"/>
                <w:color w:val="auto"/>
                <w:kern w:val="0"/>
                <w:sz w:val="24"/>
                <w:szCs w:val="24"/>
                <w:highlight w:val="none"/>
                <w:lang w:val="en-US" w:eastAsia="zh-CN" w:bidi="ar"/>
              </w:rPr>
              <w:t>溶剂废气挥发以溶剂用量的10%计，</w:t>
            </w:r>
            <w:r>
              <w:rPr>
                <w:rFonts w:hint="eastAsia" w:cs="Times New Roman"/>
                <w:color w:val="auto"/>
                <w:kern w:val="0"/>
                <w:sz w:val="24"/>
                <w:szCs w:val="24"/>
                <w:highlight w:val="none"/>
                <w:lang w:val="en-US" w:eastAsia="zh-CN" w:bidi="ar"/>
              </w:rPr>
              <w:t>经计算</w:t>
            </w:r>
            <w:r>
              <w:rPr>
                <w:rFonts w:hint="default" w:ascii="Times New Roman" w:hAnsi="Times New Roman" w:eastAsia="宋体" w:cs="Times New Roman"/>
                <w:color w:val="auto"/>
                <w:kern w:val="0"/>
                <w:sz w:val="24"/>
                <w:szCs w:val="24"/>
                <w:highlight w:val="none"/>
                <w:lang w:val="en-US" w:eastAsia="zh-CN" w:bidi="ar"/>
              </w:rPr>
              <w:t>产生</w:t>
            </w:r>
            <w:r>
              <w:rPr>
                <w:rFonts w:hint="eastAsia" w:cs="Times New Roman"/>
                <w:color w:val="auto"/>
                <w:kern w:val="0"/>
                <w:sz w:val="24"/>
                <w:szCs w:val="24"/>
                <w:highlight w:val="none"/>
                <w:lang w:val="en-US" w:eastAsia="zh-CN" w:bidi="ar"/>
              </w:rPr>
              <w:t>实验废气</w:t>
            </w:r>
            <w:r>
              <w:rPr>
                <w:rFonts w:hint="default" w:ascii="Times New Roman" w:hAnsi="Times New Roman" w:eastAsia="宋体" w:cs="Times New Roman"/>
                <w:color w:val="auto"/>
                <w:kern w:val="0"/>
                <w:sz w:val="24"/>
                <w:szCs w:val="24"/>
                <w:highlight w:val="none"/>
                <w:lang w:val="en-US" w:eastAsia="zh-CN" w:bidi="ar"/>
              </w:rPr>
              <w:t>非甲烷总烃</w:t>
            </w:r>
            <w:r>
              <w:rPr>
                <w:rFonts w:hint="eastAsia" w:cs="Times New Roman"/>
                <w:color w:val="auto"/>
                <w:kern w:val="0"/>
                <w:sz w:val="24"/>
                <w:szCs w:val="24"/>
                <w:highlight w:val="none"/>
                <w:lang w:val="en-US" w:eastAsia="zh-CN" w:bidi="ar"/>
              </w:rPr>
              <w:t>0.116t/a</w:t>
            </w:r>
            <w:r>
              <w:rPr>
                <w:rFonts w:hint="default" w:ascii="Times New Roman" w:hAnsi="Times New Roman" w:eastAsia="宋体" w:cs="Times New Roman"/>
                <w:color w:val="auto"/>
                <w:kern w:val="0"/>
                <w:sz w:val="24"/>
                <w:szCs w:val="24"/>
                <w:highlight w:val="none"/>
                <w:lang w:val="en-US" w:eastAsia="zh-CN" w:bidi="ar"/>
              </w:rPr>
              <w:t>。</w:t>
            </w:r>
          </w:p>
          <w:p w14:paraId="70AE0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2）消毒废气</w:t>
            </w:r>
          </w:p>
          <w:p w14:paraId="56A9D2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项目灭菌消毒室</w:t>
            </w:r>
            <w:r>
              <w:rPr>
                <w:rFonts w:hint="eastAsia" w:cs="Times New Roman"/>
                <w:color w:val="auto"/>
                <w:kern w:val="0"/>
                <w:sz w:val="24"/>
                <w:szCs w:val="24"/>
                <w:highlight w:val="none"/>
                <w:lang w:val="en-US" w:eastAsia="zh-CN" w:bidi="ar"/>
              </w:rPr>
              <w:t>及相关</w:t>
            </w:r>
            <w:r>
              <w:rPr>
                <w:rFonts w:hint="default" w:ascii="Times New Roman" w:hAnsi="Times New Roman" w:eastAsia="宋体" w:cs="Times New Roman"/>
                <w:color w:val="auto"/>
                <w:kern w:val="0"/>
                <w:sz w:val="24"/>
                <w:szCs w:val="24"/>
                <w:highlight w:val="none"/>
                <w:lang w:val="en-US" w:eastAsia="zh-CN" w:bidi="ar"/>
              </w:rPr>
              <w:t>检测中心台面采用75%乙醇溶液</w:t>
            </w:r>
            <w:r>
              <w:rPr>
                <w:rFonts w:hint="eastAsia" w:cs="Times New Roman"/>
                <w:color w:val="auto"/>
                <w:kern w:val="0"/>
                <w:sz w:val="24"/>
                <w:szCs w:val="24"/>
                <w:highlight w:val="none"/>
                <w:lang w:val="en-US" w:eastAsia="zh-CN" w:bidi="ar"/>
              </w:rPr>
              <w:t>及95%乙醇溶液</w:t>
            </w:r>
            <w:r>
              <w:rPr>
                <w:rFonts w:hint="default" w:ascii="Times New Roman" w:hAnsi="Times New Roman" w:eastAsia="宋体" w:cs="Times New Roman"/>
                <w:color w:val="auto"/>
                <w:kern w:val="0"/>
                <w:sz w:val="24"/>
                <w:szCs w:val="24"/>
                <w:highlight w:val="none"/>
                <w:lang w:val="en-US" w:eastAsia="zh-CN" w:bidi="ar"/>
              </w:rPr>
              <w:t>消毒，75%乙醇溶液用量</w:t>
            </w:r>
            <w:r>
              <w:rPr>
                <w:rFonts w:hint="eastAsia" w:cs="Times New Roman"/>
                <w:color w:val="auto"/>
                <w:kern w:val="0"/>
                <w:sz w:val="24"/>
                <w:szCs w:val="24"/>
                <w:highlight w:val="none"/>
                <w:lang w:val="en-US" w:eastAsia="zh-CN" w:bidi="ar"/>
              </w:rPr>
              <w:t>0.043t</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（乙醇0.032t/a）、9</w:t>
            </w:r>
            <w:r>
              <w:rPr>
                <w:rFonts w:hint="default" w:ascii="Times New Roman" w:hAnsi="Times New Roman" w:eastAsia="宋体" w:cs="Times New Roman"/>
                <w:color w:val="auto"/>
                <w:kern w:val="0"/>
                <w:sz w:val="24"/>
                <w:szCs w:val="24"/>
                <w:highlight w:val="none"/>
                <w:lang w:val="en-US" w:eastAsia="zh-CN" w:bidi="ar"/>
              </w:rPr>
              <w:t>5%乙醇溶液用量</w:t>
            </w:r>
            <w:r>
              <w:rPr>
                <w:rFonts w:hint="eastAsia" w:cs="Times New Roman"/>
                <w:color w:val="auto"/>
                <w:kern w:val="0"/>
                <w:sz w:val="24"/>
                <w:szCs w:val="24"/>
                <w:highlight w:val="none"/>
                <w:lang w:val="en-US" w:eastAsia="zh-CN" w:bidi="ar"/>
              </w:rPr>
              <w:t>0.04t</w:t>
            </w:r>
            <w:r>
              <w:rPr>
                <w:rFonts w:hint="default" w:ascii="Times New Roman" w:hAnsi="Times New Roman" w:eastAsia="宋体" w:cs="Times New Roman"/>
                <w:color w:val="auto"/>
                <w:kern w:val="0"/>
                <w:sz w:val="24"/>
                <w:szCs w:val="24"/>
                <w:highlight w:val="none"/>
                <w:lang w:val="en-US" w:eastAsia="zh-CN" w:bidi="ar"/>
              </w:rPr>
              <w:t>/a</w:t>
            </w:r>
            <w:r>
              <w:rPr>
                <w:rFonts w:hint="eastAsia" w:cs="Times New Roman"/>
                <w:color w:val="auto"/>
                <w:kern w:val="0"/>
                <w:sz w:val="24"/>
                <w:szCs w:val="24"/>
                <w:highlight w:val="none"/>
                <w:lang w:val="en-US" w:eastAsia="zh-CN" w:bidi="ar"/>
              </w:rPr>
              <w:t>（乙醇0.038t/a）</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扣除水分，</w:t>
            </w:r>
            <w:r>
              <w:rPr>
                <w:rFonts w:hint="default" w:ascii="Times New Roman" w:hAnsi="Times New Roman" w:eastAsia="宋体" w:cs="Times New Roman"/>
                <w:color w:val="auto"/>
                <w:kern w:val="0"/>
                <w:sz w:val="24"/>
                <w:szCs w:val="24"/>
                <w:highlight w:val="none"/>
                <w:lang w:val="en-US" w:eastAsia="zh-CN" w:bidi="ar"/>
              </w:rPr>
              <w:t>消毒过程的乙醇按全部挥发进行计算</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以上废气均以非甲烷总烃计，需消毒台面位于通风柜垂直下方</w:t>
            </w:r>
            <w:r>
              <w:rPr>
                <w:rFonts w:hint="default" w:ascii="Times New Roman" w:hAnsi="Times New Roman" w:eastAsia="宋体" w:cs="Times New Roman"/>
                <w:color w:val="auto"/>
                <w:kern w:val="0"/>
                <w:sz w:val="20"/>
                <w:szCs w:val="20"/>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消毒过程均在</w:t>
            </w:r>
            <w:r>
              <w:rPr>
                <w:rFonts w:hint="eastAsia" w:cs="Times New Roman"/>
                <w:color w:val="auto"/>
                <w:kern w:val="0"/>
                <w:sz w:val="24"/>
                <w:szCs w:val="24"/>
                <w:highlight w:val="none"/>
                <w:lang w:val="en-US" w:eastAsia="zh-CN" w:bidi="ar"/>
              </w:rPr>
              <w:t>通风柜</w:t>
            </w:r>
            <w:r>
              <w:rPr>
                <w:rFonts w:hint="eastAsia" w:ascii="Times New Roman" w:hAnsi="Times New Roman" w:eastAsia="宋体" w:cs="Times New Roman"/>
                <w:color w:val="auto"/>
                <w:kern w:val="0"/>
                <w:sz w:val="24"/>
                <w:szCs w:val="24"/>
                <w:highlight w:val="none"/>
                <w:lang w:val="en-US" w:eastAsia="zh-CN" w:bidi="ar"/>
              </w:rPr>
              <w:t>/</w:t>
            </w:r>
            <w:r>
              <w:rPr>
                <w:rFonts w:hint="eastAsia"/>
                <w:color w:val="auto"/>
                <w:sz w:val="24"/>
                <w:highlight w:val="none"/>
                <w:lang w:val="en-US" w:eastAsia="zh-CN"/>
              </w:rPr>
              <w:t>生物安全柜</w:t>
            </w:r>
            <w:r>
              <w:rPr>
                <w:rFonts w:hint="default" w:ascii="Times New Roman" w:hAnsi="Times New Roman" w:eastAsia="宋体" w:cs="Times New Roman"/>
                <w:color w:val="auto"/>
                <w:kern w:val="0"/>
                <w:sz w:val="24"/>
                <w:szCs w:val="24"/>
                <w:highlight w:val="none"/>
                <w:lang w:val="en-US" w:eastAsia="zh-CN" w:bidi="ar"/>
              </w:rPr>
              <w:t>范围内进行，则项目实验室消毒挥发的非甲烷总烃产生量约为0.0</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t/a。</w:t>
            </w:r>
          </w:p>
          <w:p w14:paraId="19389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综上，本项目</w:t>
            </w:r>
            <w:r>
              <w:rPr>
                <w:rFonts w:hint="eastAsia" w:cs="Times New Roman"/>
                <w:b w:val="0"/>
                <w:bCs w:val="0"/>
                <w:color w:val="auto"/>
                <w:kern w:val="0"/>
                <w:sz w:val="24"/>
                <w:szCs w:val="24"/>
                <w:highlight w:val="none"/>
                <w:lang w:val="en-US" w:eastAsia="zh-CN" w:bidi="ar"/>
              </w:rPr>
              <w:t>实验</w:t>
            </w:r>
            <w:r>
              <w:rPr>
                <w:rFonts w:hint="default" w:ascii="Times New Roman" w:hAnsi="Times New Roman" w:eastAsia="宋体" w:cs="Times New Roman"/>
                <w:b w:val="0"/>
                <w:bCs w:val="0"/>
                <w:color w:val="auto"/>
                <w:kern w:val="0"/>
                <w:sz w:val="24"/>
                <w:szCs w:val="24"/>
                <w:highlight w:val="none"/>
                <w:lang w:val="en-US" w:eastAsia="zh-CN" w:bidi="ar"/>
              </w:rPr>
              <w:t>以及消毒</w:t>
            </w:r>
            <w:r>
              <w:rPr>
                <w:rFonts w:hint="eastAsia" w:cs="Times New Roman"/>
                <w:b w:val="0"/>
                <w:bCs w:val="0"/>
                <w:color w:val="auto"/>
                <w:kern w:val="0"/>
                <w:sz w:val="24"/>
                <w:szCs w:val="24"/>
                <w:highlight w:val="none"/>
                <w:lang w:val="en-US" w:eastAsia="zh-CN" w:bidi="ar"/>
              </w:rPr>
              <w:t>过程</w:t>
            </w:r>
            <w:r>
              <w:rPr>
                <w:rFonts w:hint="default" w:ascii="Times New Roman" w:hAnsi="Times New Roman" w:eastAsia="宋体" w:cs="Times New Roman"/>
                <w:color w:val="auto"/>
                <w:kern w:val="0"/>
                <w:sz w:val="24"/>
                <w:szCs w:val="24"/>
                <w:highlight w:val="none"/>
                <w:lang w:val="en-US" w:eastAsia="zh-CN" w:bidi="ar"/>
              </w:rPr>
              <w:t>非甲烷总烃产生量共计为0.</w:t>
            </w:r>
            <w:r>
              <w:rPr>
                <w:rFonts w:hint="eastAsia" w:cs="Times New Roman"/>
                <w:color w:val="auto"/>
                <w:kern w:val="0"/>
                <w:sz w:val="24"/>
                <w:szCs w:val="24"/>
                <w:highlight w:val="none"/>
                <w:lang w:val="en-US" w:eastAsia="zh-CN" w:bidi="ar"/>
              </w:rPr>
              <w:t>186</w:t>
            </w:r>
            <w:r>
              <w:rPr>
                <w:rFonts w:hint="default" w:ascii="Times New Roman" w:hAnsi="Times New Roman" w:eastAsia="宋体" w:cs="Times New Roman"/>
                <w:color w:val="auto"/>
                <w:kern w:val="0"/>
                <w:sz w:val="24"/>
                <w:szCs w:val="24"/>
                <w:highlight w:val="none"/>
                <w:lang w:val="en-US" w:eastAsia="zh-CN" w:bidi="ar"/>
              </w:rPr>
              <w:t>t/a。</w:t>
            </w:r>
            <w:r>
              <w:rPr>
                <w:rFonts w:hint="default" w:ascii="Times New Roman" w:hAnsi="Times New Roman" w:eastAsia="宋体" w:cs="Times New Roman"/>
                <w:b w:val="0"/>
                <w:bCs w:val="0"/>
                <w:color w:val="auto"/>
                <w:kern w:val="0"/>
                <w:sz w:val="24"/>
                <w:szCs w:val="24"/>
                <w:highlight w:val="none"/>
                <w:lang w:val="en-US" w:eastAsia="zh-CN" w:bidi="ar"/>
              </w:rPr>
              <w:t>项目</w:t>
            </w:r>
            <w:r>
              <w:rPr>
                <w:rFonts w:hint="eastAsia" w:cs="Times New Roman"/>
                <w:b w:val="0"/>
                <w:bCs w:val="0"/>
                <w:color w:val="auto"/>
                <w:kern w:val="0"/>
                <w:sz w:val="24"/>
                <w:szCs w:val="24"/>
                <w:highlight w:val="none"/>
                <w:lang w:val="en-US" w:eastAsia="zh-CN" w:bidi="ar"/>
              </w:rPr>
              <w:t>实验</w:t>
            </w:r>
            <w:r>
              <w:rPr>
                <w:rFonts w:hint="default" w:ascii="Times New Roman" w:hAnsi="Times New Roman" w:eastAsia="宋体" w:cs="Times New Roman"/>
                <w:b w:val="0"/>
                <w:bCs w:val="0"/>
                <w:color w:val="auto"/>
                <w:kern w:val="0"/>
                <w:sz w:val="24"/>
                <w:szCs w:val="24"/>
                <w:highlight w:val="none"/>
                <w:lang w:val="en-US" w:eastAsia="zh-CN" w:bidi="ar"/>
              </w:rPr>
              <w:t>以及消毒</w:t>
            </w:r>
            <w:r>
              <w:rPr>
                <w:rFonts w:hint="eastAsia" w:cs="Times New Roman"/>
                <w:b w:val="0"/>
                <w:bCs w:val="0"/>
                <w:color w:val="auto"/>
                <w:kern w:val="0"/>
                <w:sz w:val="24"/>
                <w:szCs w:val="24"/>
                <w:highlight w:val="none"/>
                <w:lang w:val="en-US" w:eastAsia="zh-CN" w:bidi="ar"/>
              </w:rPr>
              <w:t>过程</w:t>
            </w:r>
            <w:r>
              <w:rPr>
                <w:rFonts w:hint="default" w:ascii="Times New Roman" w:hAnsi="Times New Roman" w:eastAsia="宋体" w:cs="Times New Roman"/>
                <w:b w:val="0"/>
                <w:bCs w:val="0"/>
                <w:color w:val="auto"/>
                <w:kern w:val="0"/>
                <w:sz w:val="24"/>
                <w:szCs w:val="24"/>
                <w:highlight w:val="none"/>
                <w:lang w:val="en-US" w:eastAsia="zh-CN" w:bidi="ar"/>
              </w:rPr>
              <w:t>等均在</w:t>
            </w:r>
            <w:r>
              <w:rPr>
                <w:rFonts w:hint="eastAsia" w:ascii="Times New Roman" w:hAnsi="Times New Roman" w:eastAsia="宋体" w:cs="Times New Roman"/>
                <w:b w:val="0"/>
                <w:bCs w:val="0"/>
                <w:color w:val="auto"/>
                <w:kern w:val="0"/>
                <w:sz w:val="24"/>
                <w:szCs w:val="24"/>
                <w:highlight w:val="none"/>
                <w:lang w:val="en-US" w:eastAsia="zh-CN" w:bidi="ar"/>
              </w:rPr>
              <w:t>通风橱</w:t>
            </w:r>
            <w:r>
              <w:rPr>
                <w:rFonts w:hint="eastAsia"/>
                <w:color w:val="auto"/>
                <w:sz w:val="24"/>
                <w:highlight w:val="none"/>
                <w:lang w:val="en-US" w:eastAsia="zh-CN"/>
              </w:rPr>
              <w:t>/生物安全柜</w:t>
            </w:r>
            <w:r>
              <w:rPr>
                <w:rFonts w:hint="default" w:ascii="Times New Roman" w:hAnsi="Times New Roman" w:eastAsia="宋体" w:cs="Times New Roman"/>
                <w:b w:val="0"/>
                <w:bCs w:val="0"/>
                <w:color w:val="auto"/>
                <w:kern w:val="0"/>
                <w:sz w:val="24"/>
                <w:szCs w:val="24"/>
                <w:highlight w:val="none"/>
                <w:lang w:val="en-US" w:eastAsia="zh-CN" w:bidi="ar"/>
              </w:rPr>
              <w:t>内进行，以上产生的有机废气经通风</w:t>
            </w:r>
            <w:r>
              <w:rPr>
                <w:rFonts w:hint="eastAsia" w:ascii="Times New Roman" w:hAnsi="Times New Roman" w:eastAsia="宋体" w:cs="Times New Roman"/>
                <w:b w:val="0"/>
                <w:bCs w:val="0"/>
                <w:color w:val="auto"/>
                <w:kern w:val="0"/>
                <w:sz w:val="24"/>
                <w:szCs w:val="24"/>
                <w:highlight w:val="none"/>
                <w:lang w:val="en-US" w:eastAsia="zh-CN" w:bidi="ar"/>
              </w:rPr>
              <w:t>橱/</w:t>
            </w:r>
            <w:r>
              <w:rPr>
                <w:rFonts w:hint="eastAsia"/>
                <w:color w:val="auto"/>
                <w:sz w:val="24"/>
                <w:highlight w:val="none"/>
                <w:lang w:val="en-US" w:eastAsia="zh-CN"/>
              </w:rPr>
              <w:t>生物安全柜</w:t>
            </w:r>
            <w:r>
              <w:rPr>
                <w:rFonts w:hint="default" w:ascii="Times New Roman" w:hAnsi="Times New Roman" w:eastAsia="宋体" w:cs="Times New Roman"/>
                <w:b w:val="0"/>
                <w:bCs w:val="0"/>
                <w:color w:val="auto"/>
                <w:kern w:val="0"/>
                <w:sz w:val="24"/>
                <w:szCs w:val="24"/>
                <w:highlight w:val="none"/>
                <w:lang w:val="en-US" w:eastAsia="zh-CN" w:bidi="ar"/>
              </w:rPr>
              <w:t>收集后</w:t>
            </w:r>
            <w:r>
              <w:rPr>
                <w:rFonts w:hint="eastAsia" w:cs="Times New Roman"/>
                <w:b w:val="0"/>
                <w:bCs w:val="0"/>
                <w:color w:val="auto"/>
                <w:kern w:val="0"/>
                <w:sz w:val="24"/>
                <w:szCs w:val="24"/>
                <w:highlight w:val="none"/>
                <w:lang w:val="en-US" w:eastAsia="zh-CN" w:bidi="ar"/>
              </w:rPr>
              <w:t>统一送新建</w:t>
            </w:r>
            <w:r>
              <w:rPr>
                <w:rFonts w:hint="default" w:ascii="Times New Roman" w:hAnsi="Times New Roman" w:eastAsia="宋体" w:cs="Times New Roman"/>
                <w:b w:val="0"/>
                <w:bCs w:val="0"/>
                <w:color w:val="auto"/>
                <w:kern w:val="0"/>
                <w:sz w:val="24"/>
                <w:szCs w:val="24"/>
                <w:highlight w:val="none"/>
                <w:lang w:val="en-US" w:eastAsia="zh-CN" w:bidi="ar"/>
              </w:rPr>
              <w:t>一套两级活性炭吸附装置处理后由一根</w:t>
            </w:r>
            <w:r>
              <w:rPr>
                <w:rFonts w:hint="eastAsia" w:cs="Times New Roman"/>
                <w:b w:val="0"/>
                <w:bCs w:val="0"/>
                <w:color w:val="auto"/>
                <w:kern w:val="0"/>
                <w:sz w:val="24"/>
                <w:szCs w:val="24"/>
                <w:highlight w:val="none"/>
                <w:lang w:val="en-US" w:eastAsia="zh-CN" w:bidi="ar"/>
              </w:rPr>
              <w:t>20</w:t>
            </w:r>
            <w:r>
              <w:rPr>
                <w:rFonts w:hint="default" w:ascii="Times New Roman" w:hAnsi="Times New Roman" w:eastAsia="宋体" w:cs="Times New Roman"/>
                <w:b w:val="0"/>
                <w:bCs w:val="0"/>
                <w:color w:val="auto"/>
                <w:kern w:val="0"/>
                <w:sz w:val="24"/>
                <w:szCs w:val="24"/>
                <w:highlight w:val="none"/>
                <w:lang w:val="en-US" w:eastAsia="zh-CN" w:bidi="ar"/>
              </w:rPr>
              <w:t>m高排气筒（DA001）高空排放</w:t>
            </w:r>
            <w:r>
              <w:rPr>
                <w:rFonts w:hint="eastAsia" w:ascii="Times New Roman" w:hAnsi="Times New Roman" w:eastAsia="宋体" w:cs="Times New Roman"/>
                <w:b w:val="0"/>
                <w:bCs w:val="0"/>
                <w:color w:val="auto"/>
                <w:kern w:val="0"/>
                <w:sz w:val="24"/>
                <w:szCs w:val="24"/>
                <w:highlight w:val="none"/>
                <w:lang w:val="en-US" w:eastAsia="zh-CN" w:bidi="ar"/>
              </w:rPr>
              <w:t>。通风橱</w:t>
            </w:r>
            <w:r>
              <w:rPr>
                <w:rFonts w:hint="eastAsia"/>
                <w:color w:val="auto"/>
                <w:sz w:val="24"/>
                <w:highlight w:val="none"/>
                <w:lang w:val="en-US" w:eastAsia="zh-CN"/>
              </w:rPr>
              <w:t>/生物安全柜负压集风，收集效率约为95%，二级活性炭吸附效率约为90%，经计算，非甲烷总烃</w:t>
            </w:r>
            <w:r>
              <w:rPr>
                <w:rFonts w:hint="eastAsia" w:cs="Times New Roman"/>
                <w:color w:val="auto"/>
                <w:lang w:val="en-US" w:eastAsia="zh-CN"/>
              </w:rPr>
              <w:t>有组织产生量0.177t/a、</w:t>
            </w:r>
            <w:r>
              <w:rPr>
                <w:rFonts w:hint="default" w:ascii="Times New Roman" w:hAnsi="Times New Roman" w:eastAsia="宋体" w:cs="Times New Roman"/>
                <w:color w:val="auto"/>
                <w:lang w:eastAsia="zh-CN"/>
              </w:rPr>
              <w:t>有组织排放量</w:t>
            </w:r>
            <w:r>
              <w:rPr>
                <w:rFonts w:hint="default" w:ascii="Times New Roman" w:hAnsi="Times New Roman" w:eastAsia="宋体" w:cs="Times New Roman"/>
                <w:color w:val="auto"/>
                <w:lang w:val="en-US" w:eastAsia="zh-CN"/>
              </w:rPr>
              <w:t>0.</w:t>
            </w:r>
            <w:r>
              <w:rPr>
                <w:rFonts w:hint="eastAsia" w:cs="Times New Roman"/>
                <w:color w:val="auto"/>
                <w:lang w:val="en-US" w:eastAsia="zh-CN"/>
              </w:rPr>
              <w:t>018</w:t>
            </w:r>
            <w:r>
              <w:rPr>
                <w:rFonts w:hint="default" w:ascii="Times New Roman" w:hAnsi="Times New Roman" w:eastAsia="宋体" w:cs="Times New Roman"/>
                <w:color w:val="auto"/>
                <w:lang w:val="en-US" w:eastAsia="zh-CN"/>
              </w:rPr>
              <w:t>t/a、</w:t>
            </w:r>
            <w:r>
              <w:rPr>
                <w:rFonts w:hint="default" w:ascii="Times New Roman" w:hAnsi="Times New Roman" w:eastAsia="宋体" w:cs="Times New Roman"/>
                <w:color w:val="auto"/>
                <w:lang w:eastAsia="zh-CN"/>
              </w:rPr>
              <w:t>无组织排放量</w:t>
            </w:r>
            <w:r>
              <w:rPr>
                <w:rFonts w:hint="eastAsia" w:cs="Times New Roman"/>
                <w:color w:val="auto"/>
                <w:lang w:val="en-US" w:eastAsia="zh-CN"/>
              </w:rPr>
              <w:t>0.009</w:t>
            </w:r>
            <w:r>
              <w:rPr>
                <w:rFonts w:hint="default" w:ascii="Times New Roman" w:hAnsi="Times New Roman" w:eastAsia="宋体" w:cs="Times New Roman"/>
                <w:color w:val="auto"/>
                <w:lang w:val="en-US" w:eastAsia="zh-CN"/>
              </w:rPr>
              <w:t>t/a</w:t>
            </w:r>
            <w:r>
              <w:rPr>
                <w:rFonts w:hint="eastAsia" w:cs="Times New Roman"/>
                <w:color w:val="auto"/>
                <w:lang w:val="en-US" w:eastAsia="zh-CN"/>
              </w:rPr>
              <w:t>，合计排放0.027t/a</w:t>
            </w:r>
            <w:r>
              <w:rPr>
                <w:rFonts w:hint="default" w:ascii="Times New Roman" w:hAnsi="Times New Roman" w:eastAsia="宋体" w:cs="Times New Roman"/>
                <w:color w:val="auto"/>
                <w:lang w:val="en-US" w:eastAsia="zh-CN"/>
              </w:rPr>
              <w:t>。</w:t>
            </w:r>
          </w:p>
          <w:p w14:paraId="0DDB2A92">
            <w:pPr>
              <w:keepNext w:val="0"/>
              <w:keepLines w:val="0"/>
              <w:suppressLineNumbers w:val="0"/>
              <w:spacing w:before="0" w:beforeAutospacing="0" w:after="0" w:afterAutospacing="0"/>
              <w:ind w:left="0" w:right="0"/>
              <w:rPr>
                <w:rFonts w:hint="default" w:ascii="Times New Roman" w:hAnsi="Times New Roman" w:eastAsia="宋体"/>
                <w:color w:val="auto"/>
                <w:lang w:val="en-US" w:eastAsia="zh-CN"/>
              </w:rPr>
            </w:pPr>
            <w:r>
              <w:rPr>
                <w:rFonts w:hint="default" w:ascii="Times New Roman" w:hAnsi="Times New Roman" w:eastAsia="宋体"/>
                <w:color w:val="auto"/>
                <w:lang w:val="en-US" w:eastAsia="zh-CN"/>
              </w:rPr>
              <w:t>（</w:t>
            </w:r>
            <w:r>
              <w:rPr>
                <w:rFonts w:hint="eastAsia"/>
                <w:color w:val="auto"/>
                <w:lang w:val="en-US" w:eastAsia="zh-CN"/>
              </w:rPr>
              <w:t>3</w:t>
            </w:r>
            <w:r>
              <w:rPr>
                <w:rFonts w:hint="default" w:ascii="Times New Roman" w:hAnsi="Times New Roman" w:eastAsia="宋体"/>
                <w:color w:val="auto"/>
                <w:lang w:val="en-US" w:eastAsia="zh-CN"/>
              </w:rPr>
              <w:t>）</w:t>
            </w:r>
            <w:r>
              <w:rPr>
                <w:rFonts w:hint="eastAsia"/>
                <w:color w:val="auto"/>
                <w:lang w:val="en-US" w:eastAsia="zh-CN"/>
              </w:rPr>
              <w:t>生物气溶胶</w:t>
            </w:r>
          </w:p>
          <w:p w14:paraId="3C545075">
            <w:pPr>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项目检验操作过程会产生少量的生物气溶胶（主要为PCR实验室产生）。项目PCR实验室拟按照要求规范设置了相对应的二级生物安全柜，样品中少量致病菌以气体溶胶状态散逸在生物安全柜区域内，由于生物安全柜内环境为负压状态，致病菌气溶胶不会排到实验室空气中，生物安全柜内配套有HEPA高效过滤器，对0.3um作用的尘埃粒子过滤效率为99.99%，可有效去除细菌，所以含菌废气经过高效空气过滤器过滤处理后含致病菌极少，本次评价不作定量分析。检验操作过程产生的生物气溶胶经二级生物安全柜过滤消毒后在实验室内排放。</w:t>
            </w:r>
          </w:p>
          <w:p w14:paraId="53D65544">
            <w:pPr>
              <w:keepNext w:val="0"/>
              <w:keepLines w:val="0"/>
              <w:suppressLineNumbers w:val="0"/>
              <w:spacing w:before="0" w:beforeAutospacing="0" w:after="0" w:afterAutospacing="0" w:line="360" w:lineRule="auto"/>
              <w:ind w:left="0" w:right="0" w:firstLine="480" w:firstLineChars="200"/>
              <w:rPr>
                <w:rFonts w:hint="eastAsia" w:eastAsiaTheme="minorEastAsia"/>
                <w:b w:val="0"/>
                <w:bCs w:val="0"/>
                <w:color w:val="auto"/>
                <w:szCs w:val="21"/>
                <w:lang w:eastAsia="zh-CN"/>
              </w:rPr>
            </w:pPr>
            <w:r>
              <w:rPr>
                <w:rFonts w:hint="eastAsia"/>
                <w:b w:val="0"/>
                <w:bCs w:val="0"/>
                <w:color w:val="auto"/>
                <w:lang w:val="en-US" w:eastAsia="zh-CN"/>
              </w:rPr>
              <w:t>（4）</w:t>
            </w:r>
            <w:r>
              <w:rPr>
                <w:rFonts w:hint="eastAsia" w:eastAsiaTheme="minorEastAsia"/>
                <w:b w:val="0"/>
                <w:bCs w:val="0"/>
                <w:color w:val="auto"/>
                <w:szCs w:val="21"/>
              </w:rPr>
              <w:t>污水处理站</w:t>
            </w:r>
            <w:r>
              <w:rPr>
                <w:rFonts w:hint="eastAsia" w:eastAsiaTheme="minorEastAsia"/>
                <w:b w:val="0"/>
                <w:bCs w:val="0"/>
                <w:color w:val="auto"/>
                <w:szCs w:val="21"/>
                <w:lang w:eastAsia="zh-CN"/>
              </w:rPr>
              <w:t>废气、动物房恶臭</w:t>
            </w:r>
          </w:p>
          <w:p w14:paraId="3DED79F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textAlignment w:val="auto"/>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一般而言，污水处理站自身会带来不良环境气味及污泥等环境污染因素。污水处理站的恶臭来源于污水、污泥中有机物的分解、发酵过程中散发的化学物质，主要污染物为氨、硫化氢、臭气浓度。参考美国EPA对城市污水处理厂恶臭污染物产生情况研究，每处理1g的BOD</w:t>
            </w:r>
            <w:r>
              <w:rPr>
                <w:rFonts w:hint="eastAsia" w:ascii="Times New Roman" w:hAnsi="Times New Roman" w:eastAsia="宋体"/>
                <w:b w:val="0"/>
                <w:bCs w:val="0"/>
                <w:color w:val="auto"/>
                <w:vertAlign w:val="subscript"/>
                <w:lang w:val="en-US" w:eastAsia="zh-CN"/>
              </w:rPr>
              <w:t>5</w:t>
            </w:r>
            <w:r>
              <w:rPr>
                <w:rFonts w:hint="eastAsia" w:ascii="Times New Roman" w:hAnsi="Times New Roman" w:eastAsia="宋体"/>
                <w:b w:val="0"/>
                <w:bCs w:val="0"/>
                <w:color w:val="auto"/>
                <w:lang w:val="en-US" w:eastAsia="zh-CN"/>
              </w:rPr>
              <w:t>，可产生0.0031g的氨和0.00012g的硫化氢。根据表4.2-1可知，本项目</w:t>
            </w:r>
            <w:r>
              <w:rPr>
                <w:rFonts w:hint="eastAsia" w:ascii="Times New Roman" w:hAnsi="Times New Roman" w:eastAsia="宋体" w:cs="Times New Roman"/>
                <w:color w:val="auto"/>
                <w:sz w:val="24"/>
                <w:szCs w:val="24"/>
                <w:lang w:val="en-US" w:eastAsia="zh-CN"/>
              </w:rPr>
              <w:t>实验室检测仪器设备及器皿清洗</w:t>
            </w:r>
            <w:r>
              <w:rPr>
                <w:rFonts w:hint="eastAsia" w:cs="Times New Roman"/>
                <w:color w:val="auto"/>
                <w:sz w:val="24"/>
                <w:szCs w:val="24"/>
                <w:lang w:val="en-US" w:eastAsia="zh-CN"/>
              </w:rPr>
              <w:t>用排水集纯水制备浓水产生量较低，仅为708.3t/a，</w:t>
            </w:r>
            <w:r>
              <w:rPr>
                <w:rFonts w:hint="eastAsia" w:ascii="Times New Roman" w:hAnsi="Times New Roman" w:eastAsia="宋体"/>
                <w:b w:val="0"/>
                <w:bCs w:val="0"/>
                <w:color w:val="auto"/>
                <w:lang w:val="en-US" w:eastAsia="zh-CN"/>
              </w:rPr>
              <w:t>削减BOD</w:t>
            </w:r>
            <w:r>
              <w:rPr>
                <w:rFonts w:hint="eastAsia" w:ascii="Times New Roman" w:hAnsi="Times New Roman" w:eastAsia="宋体"/>
                <w:b w:val="0"/>
                <w:bCs w:val="0"/>
                <w:color w:val="auto"/>
                <w:vertAlign w:val="subscript"/>
                <w:lang w:val="en-US" w:eastAsia="zh-CN"/>
              </w:rPr>
              <w:t>5</w:t>
            </w:r>
            <w:r>
              <w:rPr>
                <w:rFonts w:hint="eastAsia" w:ascii="Times New Roman" w:hAnsi="Times New Roman" w:eastAsia="宋体"/>
                <w:b w:val="0"/>
                <w:bCs w:val="0"/>
                <w:color w:val="auto"/>
                <w:lang w:val="en-US" w:eastAsia="zh-CN"/>
              </w:rPr>
              <w:t>仅为0.079t/a，判定恶臭废气产生的数量级较低，分析可知本项目对医院现有污水处理站恶臭贡献值较小，且医院现有污水处理站已对恶臭气体进行收集处理，因此本次评价不定量分析污水站恶臭废气，现有污水处理站通过主要产臭构筑物加盖，定期喷洒除臭剂后对环境影响较小。</w:t>
            </w:r>
          </w:p>
          <w:p w14:paraId="2800474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textAlignment w:val="auto"/>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项目SPF级动物房动物饲养过程中会产生少量恶臭气体，该股恶臭产生数量级较小，无法定量分析，且国家尚未发布动物房相关恶臭废气源强核算技术指南，因此，本项目动物房恶臭经采取加强房间密闭，定期喷洒除臭剂后无组织排放</w:t>
            </w:r>
            <w:r>
              <w:rPr>
                <w:rFonts w:hint="eastAsia"/>
                <w:b w:val="0"/>
                <w:bCs w:val="0"/>
                <w:color w:val="auto"/>
                <w:lang w:val="en-US" w:eastAsia="zh-CN"/>
              </w:rPr>
              <w:t>。</w:t>
            </w:r>
          </w:p>
          <w:p w14:paraId="202ABAA8">
            <w:pPr>
              <w:keepNext w:val="0"/>
              <w:keepLines w:val="0"/>
              <w:numPr>
                <w:ilvl w:val="0"/>
                <w:numId w:val="0"/>
              </w:numPr>
              <w:suppressLineNumbers w:val="0"/>
              <w:bidi w:val="0"/>
              <w:spacing w:before="0" w:beforeAutospacing="0" w:after="0" w:afterAutospacing="0"/>
              <w:ind w:left="480" w:leftChars="200" w:right="0" w:rightChars="0"/>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1.</w:t>
            </w:r>
            <w:r>
              <w:rPr>
                <w:rFonts w:hint="eastAsia"/>
                <w:b/>
                <w:bCs/>
                <w:color w:val="auto"/>
                <w:lang w:val="en-US" w:eastAsia="zh-CN"/>
              </w:rPr>
              <w:t>3</w:t>
            </w:r>
            <w:r>
              <w:rPr>
                <w:rFonts w:hint="eastAsia" w:ascii="Times New Roman" w:hAnsi="Times New Roman" w:eastAsia="宋体"/>
                <w:b/>
                <w:bCs/>
                <w:color w:val="auto"/>
                <w:lang w:val="en-US" w:eastAsia="zh-CN"/>
              </w:rPr>
              <w:t>无组织废气控制措施</w:t>
            </w:r>
          </w:p>
          <w:p w14:paraId="6B1CA5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textAlignment w:val="auto"/>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本项目实验过程中未被捕集的废气在实验室内无组织排放。针对无组织排放的废气，</w:t>
            </w:r>
            <w:r>
              <w:rPr>
                <w:rFonts w:hint="eastAsia"/>
                <w:b w:val="0"/>
                <w:bCs w:val="0"/>
                <w:color w:val="auto"/>
                <w:lang w:val="en-US" w:eastAsia="zh-CN"/>
              </w:rPr>
              <w:t>建设单位</w:t>
            </w:r>
            <w:r>
              <w:rPr>
                <w:rFonts w:hint="eastAsia" w:ascii="Times New Roman" w:hAnsi="Times New Roman" w:eastAsia="宋体"/>
                <w:b w:val="0"/>
                <w:bCs w:val="0"/>
                <w:color w:val="auto"/>
                <w:lang w:val="en-US" w:eastAsia="zh-CN"/>
              </w:rPr>
              <w:t>通过加强负压集气系统和通风橱</w:t>
            </w:r>
            <w:r>
              <w:rPr>
                <w:rFonts w:hint="eastAsia"/>
                <w:b w:val="0"/>
                <w:bCs w:val="0"/>
                <w:color w:val="auto"/>
                <w:lang w:val="en-US" w:eastAsia="zh-CN"/>
              </w:rPr>
              <w:t>/安全柜</w:t>
            </w:r>
            <w:r>
              <w:rPr>
                <w:rFonts w:hint="eastAsia" w:ascii="Times New Roman" w:hAnsi="Times New Roman" w:eastAsia="宋体"/>
                <w:b w:val="0"/>
                <w:bCs w:val="0"/>
                <w:color w:val="auto"/>
                <w:lang w:val="en-US" w:eastAsia="zh-CN"/>
              </w:rPr>
              <w:t>使用管理，加强</w:t>
            </w:r>
            <w:r>
              <w:rPr>
                <w:rFonts w:hint="eastAsia"/>
                <w:b w:val="0"/>
                <w:bCs w:val="0"/>
                <w:color w:val="auto"/>
                <w:lang w:val="en-US" w:eastAsia="zh-CN"/>
              </w:rPr>
              <w:t>废气</w:t>
            </w:r>
            <w:r>
              <w:rPr>
                <w:rFonts w:hint="eastAsia" w:ascii="Times New Roman" w:hAnsi="Times New Roman" w:eastAsia="宋体"/>
                <w:b w:val="0"/>
                <w:bCs w:val="0"/>
                <w:color w:val="auto"/>
                <w:lang w:val="en-US" w:eastAsia="zh-CN"/>
              </w:rPr>
              <w:t>收集，确保实验过程在实验室负压集气和通风橱内操作，以减少无组织排放量；实验后加强室内通风，确保空气的循环效率，从而使空气环境达到相应标准要求。</w:t>
            </w:r>
          </w:p>
          <w:p w14:paraId="7971776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textAlignment w:val="auto"/>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针对无组织废气，本项目拟采取的主要措施有：</w:t>
            </w:r>
          </w:p>
          <w:p w14:paraId="644FED43">
            <w:pPr>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textAlignment w:val="auto"/>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易燃易爆有机溶剂均存储于密闭的试剂瓶中，放置防爆柜中；</w:t>
            </w:r>
          </w:p>
          <w:p w14:paraId="71B915A2">
            <w:pPr>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textAlignment w:val="auto"/>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对设备、管道、阀门经常检查、检修，保持装置气密性良好；</w:t>
            </w:r>
          </w:p>
          <w:p w14:paraId="3CFD89A2">
            <w:pPr>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textAlignment w:val="auto"/>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加强管理，所有操作严格按照既定的规程进行；</w:t>
            </w:r>
          </w:p>
          <w:p w14:paraId="6FF5EE24">
            <w:pPr>
              <w:keepNext w:val="0"/>
              <w:keepLines w:val="0"/>
              <w:pageBreakBefore w:val="0"/>
              <w:widowControl w:val="0"/>
              <w:numPr>
                <w:ilvl w:val="0"/>
                <w:numId w:val="12"/>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textAlignment w:val="auto"/>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加强通风橱、负压集气运行管理，加强集气效率，减少无组织排放量；</w:t>
            </w:r>
          </w:p>
          <w:p w14:paraId="0418F6F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textAlignment w:val="auto"/>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e.加强实验管理，实验结束后，通过加强实验室通风，确保空气的循环效率，从而使空气环境达到标准要求，并保证厂界周边不得有明显的异味。</w:t>
            </w:r>
          </w:p>
          <w:p w14:paraId="6C103C7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textAlignment w:val="auto"/>
              <w:rPr>
                <w:rFonts w:hint="eastAsia" w:ascii="Times New Roman" w:hAnsi="Times New Roman" w:eastAsia="宋体"/>
                <w:b w:val="0"/>
                <w:bCs w:val="0"/>
                <w:color w:val="auto"/>
                <w:lang w:val="en-US" w:eastAsia="zh-CN"/>
              </w:rPr>
            </w:pPr>
            <w:r>
              <w:rPr>
                <w:rFonts w:hint="eastAsia" w:ascii="Times New Roman" w:hAnsi="Times New Roman" w:eastAsia="宋体"/>
                <w:b w:val="0"/>
                <w:bCs w:val="0"/>
                <w:color w:val="auto"/>
                <w:lang w:val="en-US" w:eastAsia="zh-CN"/>
              </w:rPr>
              <w:t>采用上述措施后，可有效地减少实验过程中无组织气体的排放，使污染物的无组织排放量控制在较低水平，从而使空气环境达到标准要求。</w:t>
            </w:r>
          </w:p>
          <w:p w14:paraId="314E2792">
            <w:pPr>
              <w:keepNext w:val="0"/>
              <w:keepLines w:val="0"/>
              <w:numPr>
                <w:ilvl w:val="0"/>
                <w:numId w:val="0"/>
              </w:numPr>
              <w:suppressLineNumbers w:val="0"/>
              <w:bidi w:val="0"/>
              <w:spacing w:before="0" w:beforeAutospacing="0" w:after="0" w:afterAutospacing="0"/>
              <w:ind w:left="480" w:leftChars="200" w:right="0" w:rightChars="0"/>
              <w:rPr>
                <w:rFonts w:hint="default" w:ascii="Times New Roman" w:hAnsi="Times New Roman" w:eastAsia="宋体"/>
                <w:b/>
                <w:bCs/>
                <w:color w:val="auto"/>
                <w:lang w:val="en-US" w:eastAsia="zh-CN"/>
              </w:rPr>
            </w:pPr>
            <w:r>
              <w:rPr>
                <w:rFonts w:hint="eastAsia" w:ascii="Times New Roman" w:hAnsi="Times New Roman" w:eastAsia="宋体"/>
                <w:b/>
                <w:bCs/>
                <w:color w:val="auto"/>
                <w:lang w:val="en-US" w:eastAsia="zh-CN"/>
              </w:rPr>
              <w:t>1.</w:t>
            </w:r>
            <w:r>
              <w:rPr>
                <w:rFonts w:hint="eastAsia"/>
                <w:b/>
                <w:bCs/>
                <w:color w:val="auto"/>
                <w:lang w:val="en-US" w:eastAsia="zh-CN"/>
              </w:rPr>
              <w:t>4</w:t>
            </w:r>
            <w:r>
              <w:rPr>
                <w:rFonts w:hint="eastAsia" w:ascii="Times New Roman" w:hAnsi="Times New Roman" w:eastAsia="宋体"/>
                <w:b/>
                <w:bCs/>
                <w:color w:val="auto"/>
                <w:lang w:val="en-US" w:eastAsia="zh-CN"/>
              </w:rPr>
              <w:t>非正常工况废气排放量核算</w:t>
            </w:r>
          </w:p>
          <w:p w14:paraId="0A1E6CC8">
            <w:pPr>
              <w:keepNext w:val="0"/>
              <w:keepLines w:val="0"/>
              <w:suppressLineNumbers w:val="0"/>
              <w:spacing w:before="0" w:beforeAutospacing="0" w:after="0" w:afterAutospacing="0"/>
              <w:ind w:left="0" w:right="0"/>
              <w:rPr>
                <w:rFonts w:hint="eastAsia" w:ascii="Times New Roman" w:hAnsi="Times New Roman" w:eastAsia="宋体"/>
                <w:color w:val="auto"/>
                <w:lang w:eastAsia="zh-CN"/>
              </w:rPr>
            </w:pPr>
            <w:r>
              <w:rPr>
                <w:rFonts w:hint="eastAsia" w:ascii="Times New Roman" w:hAnsi="Times New Roman" w:eastAsia="宋体"/>
                <w:color w:val="auto"/>
                <w:lang w:eastAsia="zh-CN"/>
              </w:rPr>
              <w:t>根据建设项目各污染物源强及治理措施情况，</w:t>
            </w:r>
            <w:r>
              <w:rPr>
                <w:rFonts w:hint="eastAsia" w:ascii="Times New Roman" w:hAnsi="Times New Roman" w:eastAsia="宋体"/>
                <w:color w:val="auto"/>
                <w:lang w:val="en-US" w:eastAsia="zh-CN"/>
              </w:rPr>
              <w:t>本次评价</w:t>
            </w:r>
            <w:r>
              <w:rPr>
                <w:rFonts w:hint="eastAsia" w:ascii="Times New Roman" w:hAnsi="Times New Roman" w:eastAsia="宋体"/>
                <w:color w:val="auto"/>
                <w:lang w:eastAsia="zh-CN"/>
              </w:rPr>
              <w:t>非正常工况考虑</w:t>
            </w:r>
            <w:r>
              <w:rPr>
                <w:rFonts w:hint="eastAsia"/>
                <w:color w:val="auto"/>
                <w:lang w:val="en-US" w:eastAsia="zh-CN"/>
              </w:rPr>
              <w:t>废气处理</w:t>
            </w:r>
            <w:r>
              <w:rPr>
                <w:rFonts w:hint="eastAsia" w:ascii="Times New Roman" w:hAnsi="Times New Roman" w:eastAsia="宋体"/>
                <w:color w:val="auto"/>
                <w:lang w:eastAsia="zh-CN"/>
              </w:rPr>
              <w:t>装置故障，导致</w:t>
            </w:r>
            <w:r>
              <w:rPr>
                <w:rFonts w:hint="eastAsia" w:ascii="Times New Roman" w:hAnsi="Times New Roman" w:eastAsia="宋体"/>
                <w:color w:val="auto"/>
                <w:lang w:val="en-US" w:eastAsia="zh-CN"/>
              </w:rPr>
              <w:t>废气</w:t>
            </w:r>
            <w:r>
              <w:rPr>
                <w:rFonts w:hint="eastAsia" w:ascii="Times New Roman" w:hAnsi="Times New Roman" w:eastAsia="宋体"/>
                <w:color w:val="auto"/>
                <w:lang w:eastAsia="zh-CN"/>
              </w:rPr>
              <w:t>处理效率下降</w:t>
            </w:r>
            <w:r>
              <w:rPr>
                <w:rFonts w:hint="eastAsia" w:ascii="Times New Roman" w:hAnsi="Times New Roman" w:eastAsia="宋体"/>
                <w:color w:val="auto"/>
                <w:lang w:val="en-US" w:eastAsia="zh-CN"/>
              </w:rPr>
              <w:t>至50%</w:t>
            </w:r>
            <w:r>
              <w:rPr>
                <w:rFonts w:hint="eastAsia" w:ascii="Times New Roman" w:hAnsi="Times New Roman" w:eastAsia="宋体"/>
                <w:color w:val="auto"/>
                <w:lang w:eastAsia="zh-CN"/>
              </w:rPr>
              <w:t>，类比同类项目发生频次1次/年，单次持续时间以1小时计，非正常排放量核算见下表。</w:t>
            </w:r>
          </w:p>
          <w:p w14:paraId="4AAFB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b/>
                <w:bCs/>
                <w:color w:val="auto"/>
                <w:lang w:val="en-US" w:eastAsia="zh-CN"/>
              </w:rPr>
            </w:pPr>
            <w:r>
              <w:rPr>
                <w:rFonts w:hint="eastAsia"/>
                <w:b/>
                <w:bCs/>
                <w:color w:val="auto"/>
                <w:lang w:val="en-US" w:eastAsia="zh-CN"/>
              </w:rPr>
              <w:t>表4.1-6  污染源非正常排放量核算表</w:t>
            </w:r>
          </w:p>
          <w:tbl>
            <w:tblPr>
              <w:tblStyle w:val="2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28" w:type="dxa"/>
                <w:bottom w:w="0" w:type="dxa"/>
                <w:right w:w="28" w:type="dxa"/>
              </w:tblCellMar>
            </w:tblPr>
            <w:tblGrid>
              <w:gridCol w:w="684"/>
              <w:gridCol w:w="707"/>
              <w:gridCol w:w="914"/>
              <w:gridCol w:w="976"/>
              <w:gridCol w:w="1151"/>
              <w:gridCol w:w="945"/>
              <w:gridCol w:w="855"/>
              <w:gridCol w:w="605"/>
              <w:gridCol w:w="486"/>
              <w:gridCol w:w="761"/>
            </w:tblGrid>
            <w:tr w14:paraId="38B30A29">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28" w:type="dxa"/>
                  <w:bottom w:w="0" w:type="dxa"/>
                  <w:right w:w="28" w:type="dxa"/>
                </w:tblCellMar>
              </w:tblPrEx>
              <w:trPr>
                <w:trHeight w:val="340" w:hRule="atLeast"/>
                <w:jc w:val="center"/>
              </w:trPr>
              <w:tc>
                <w:tcPr>
                  <w:tcW w:w="423" w:type="pct"/>
                  <w:vAlign w:val="center"/>
                </w:tcPr>
                <w:p w14:paraId="7F4AE2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污染源</w:t>
                  </w:r>
                </w:p>
              </w:tc>
              <w:tc>
                <w:tcPr>
                  <w:tcW w:w="437" w:type="pct"/>
                  <w:vAlign w:val="center"/>
                </w:tcPr>
                <w:p w14:paraId="3C0391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非正常排放原因</w:t>
                  </w:r>
                </w:p>
              </w:tc>
              <w:tc>
                <w:tcPr>
                  <w:tcW w:w="565" w:type="pct"/>
                  <w:vAlign w:val="center"/>
                </w:tcPr>
                <w:p w14:paraId="36A599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非正常工况废气处理效率</w:t>
                  </w:r>
                </w:p>
              </w:tc>
              <w:tc>
                <w:tcPr>
                  <w:tcW w:w="603" w:type="pct"/>
                  <w:vAlign w:val="center"/>
                </w:tcPr>
                <w:p w14:paraId="4D48D0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污染物</w:t>
                  </w:r>
                </w:p>
              </w:tc>
              <w:tc>
                <w:tcPr>
                  <w:tcW w:w="711" w:type="pct"/>
                  <w:vAlign w:val="center"/>
                </w:tcPr>
                <w:p w14:paraId="6B211D0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eastAsia="宋体"/>
                      <w:b/>
                      <w:bCs/>
                      <w:color w:val="auto"/>
                      <w:sz w:val="18"/>
                      <w:szCs w:val="18"/>
                      <w:lang w:eastAsia="zh-CN"/>
                    </w:rPr>
                  </w:pPr>
                  <w:r>
                    <w:rPr>
                      <w:rFonts w:hint="eastAsia"/>
                      <w:b/>
                      <w:bCs/>
                      <w:color w:val="auto"/>
                      <w:sz w:val="18"/>
                      <w:szCs w:val="18"/>
                    </w:rPr>
                    <w:t>非正常排放浓度</w:t>
                  </w:r>
                  <w:r>
                    <w:rPr>
                      <w:rFonts w:hint="eastAsia"/>
                      <w:b/>
                      <w:bCs/>
                      <w:color w:val="auto"/>
                      <w:sz w:val="18"/>
                      <w:szCs w:val="18"/>
                      <w:lang w:eastAsia="zh-CN"/>
                    </w:rPr>
                    <w:t>（</w:t>
                  </w:r>
                  <w:r>
                    <w:rPr>
                      <w:rFonts w:hint="eastAsia"/>
                      <w:b/>
                      <w:bCs/>
                      <w:color w:val="auto"/>
                      <w:sz w:val="18"/>
                      <w:szCs w:val="18"/>
                    </w:rPr>
                    <w:t>mg/m</w:t>
                  </w:r>
                  <w:r>
                    <w:rPr>
                      <w:rFonts w:hint="eastAsia"/>
                      <w:b/>
                      <w:bCs/>
                      <w:color w:val="auto"/>
                      <w:sz w:val="18"/>
                      <w:szCs w:val="18"/>
                      <w:vertAlign w:val="superscript"/>
                    </w:rPr>
                    <w:t>3</w:t>
                  </w:r>
                  <w:r>
                    <w:rPr>
                      <w:rFonts w:hint="eastAsia"/>
                      <w:b/>
                      <w:bCs/>
                      <w:color w:val="auto"/>
                      <w:sz w:val="18"/>
                      <w:szCs w:val="18"/>
                      <w:vertAlign w:val="superscript"/>
                      <w:lang w:eastAsia="zh-CN"/>
                    </w:rPr>
                    <w:t>）</w:t>
                  </w:r>
                </w:p>
              </w:tc>
              <w:tc>
                <w:tcPr>
                  <w:tcW w:w="584" w:type="pct"/>
                  <w:vAlign w:val="center"/>
                </w:tcPr>
                <w:p w14:paraId="7D1CAC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eastAsia="宋体"/>
                      <w:b/>
                      <w:bCs/>
                      <w:color w:val="auto"/>
                      <w:sz w:val="18"/>
                      <w:szCs w:val="18"/>
                      <w:lang w:val="en-US" w:eastAsia="zh-CN"/>
                    </w:rPr>
                  </w:pPr>
                  <w:r>
                    <w:rPr>
                      <w:rFonts w:hint="eastAsia"/>
                      <w:b/>
                      <w:bCs/>
                      <w:color w:val="auto"/>
                      <w:sz w:val="18"/>
                      <w:szCs w:val="18"/>
                    </w:rPr>
                    <w:t>非正常排放速率</w:t>
                  </w:r>
                  <w:r>
                    <w:rPr>
                      <w:rFonts w:hint="eastAsia"/>
                      <w:b/>
                      <w:bCs/>
                      <w:color w:val="auto"/>
                      <w:sz w:val="18"/>
                      <w:szCs w:val="18"/>
                      <w:lang w:eastAsia="zh-CN"/>
                    </w:rPr>
                    <w:t>（</w:t>
                  </w:r>
                  <w:r>
                    <w:rPr>
                      <w:rFonts w:hint="eastAsia"/>
                      <w:b/>
                      <w:bCs/>
                      <w:color w:val="auto"/>
                      <w:sz w:val="18"/>
                      <w:szCs w:val="18"/>
                    </w:rPr>
                    <w:t>kg/h</w:t>
                  </w:r>
                  <w:r>
                    <w:rPr>
                      <w:rFonts w:hint="eastAsia"/>
                      <w:b/>
                      <w:bCs/>
                      <w:color w:val="auto"/>
                      <w:sz w:val="18"/>
                      <w:szCs w:val="18"/>
                      <w:lang w:eastAsia="zh-CN"/>
                    </w:rPr>
                    <w:t>）</w:t>
                  </w:r>
                </w:p>
              </w:tc>
              <w:tc>
                <w:tcPr>
                  <w:tcW w:w="528" w:type="pct"/>
                  <w:vAlign w:val="center"/>
                </w:tcPr>
                <w:p w14:paraId="442996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非正常排放量</w:t>
                  </w:r>
                  <w:r>
                    <w:rPr>
                      <w:rFonts w:hint="eastAsia"/>
                      <w:b/>
                      <w:bCs/>
                      <w:color w:val="auto"/>
                      <w:sz w:val="18"/>
                      <w:szCs w:val="18"/>
                      <w:lang w:eastAsia="zh-CN"/>
                    </w:rPr>
                    <w:t>（</w:t>
                  </w:r>
                  <w:r>
                    <w:rPr>
                      <w:rFonts w:hint="eastAsia"/>
                      <w:b/>
                      <w:bCs/>
                      <w:color w:val="auto"/>
                      <w:sz w:val="18"/>
                      <w:szCs w:val="18"/>
                      <w:lang w:val="en-US" w:eastAsia="zh-CN"/>
                    </w:rPr>
                    <w:t>t</w:t>
                  </w:r>
                  <w:r>
                    <w:rPr>
                      <w:rFonts w:hint="eastAsia"/>
                      <w:b/>
                      <w:bCs/>
                      <w:color w:val="auto"/>
                      <w:sz w:val="18"/>
                      <w:szCs w:val="18"/>
                    </w:rPr>
                    <w:t>/a</w:t>
                  </w:r>
                  <w:r>
                    <w:rPr>
                      <w:rFonts w:hint="eastAsia"/>
                      <w:b/>
                      <w:bCs/>
                      <w:color w:val="auto"/>
                      <w:sz w:val="18"/>
                      <w:szCs w:val="18"/>
                      <w:lang w:eastAsia="zh-CN"/>
                    </w:rPr>
                    <w:t>）</w:t>
                  </w:r>
                </w:p>
              </w:tc>
              <w:tc>
                <w:tcPr>
                  <w:tcW w:w="374" w:type="pct"/>
                  <w:vAlign w:val="center"/>
                </w:tcPr>
                <w:p w14:paraId="704768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eastAsia="宋体"/>
                      <w:b/>
                      <w:bCs/>
                      <w:color w:val="auto"/>
                      <w:sz w:val="18"/>
                      <w:szCs w:val="18"/>
                      <w:lang w:val="en-US" w:eastAsia="zh-CN"/>
                    </w:rPr>
                  </w:pPr>
                  <w:r>
                    <w:rPr>
                      <w:rFonts w:hint="eastAsia"/>
                      <w:b/>
                      <w:bCs/>
                      <w:color w:val="auto"/>
                      <w:sz w:val="18"/>
                      <w:szCs w:val="18"/>
                    </w:rPr>
                    <w:t>单次持续时间</w:t>
                  </w:r>
                  <w:r>
                    <w:rPr>
                      <w:rFonts w:hint="eastAsia"/>
                      <w:b/>
                      <w:bCs/>
                      <w:color w:val="auto"/>
                      <w:sz w:val="18"/>
                      <w:szCs w:val="18"/>
                      <w:lang w:eastAsia="zh-CN"/>
                    </w:rPr>
                    <w:t>（</w:t>
                  </w:r>
                  <w:r>
                    <w:rPr>
                      <w:rFonts w:hint="eastAsia"/>
                      <w:b/>
                      <w:bCs/>
                      <w:color w:val="auto"/>
                      <w:sz w:val="18"/>
                      <w:szCs w:val="18"/>
                    </w:rPr>
                    <w:t>h</w:t>
                  </w:r>
                  <w:r>
                    <w:rPr>
                      <w:rFonts w:hint="eastAsia"/>
                      <w:b/>
                      <w:bCs/>
                      <w:color w:val="auto"/>
                      <w:sz w:val="18"/>
                      <w:szCs w:val="18"/>
                      <w:lang w:eastAsia="zh-CN"/>
                    </w:rPr>
                    <w:t>）</w:t>
                  </w:r>
                </w:p>
              </w:tc>
              <w:tc>
                <w:tcPr>
                  <w:tcW w:w="300" w:type="pct"/>
                  <w:vAlign w:val="center"/>
                </w:tcPr>
                <w:p w14:paraId="630283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eastAsia="宋体"/>
                      <w:b/>
                      <w:bCs/>
                      <w:color w:val="auto"/>
                      <w:sz w:val="18"/>
                      <w:szCs w:val="18"/>
                      <w:lang w:val="en-US" w:eastAsia="zh-CN"/>
                    </w:rPr>
                  </w:pPr>
                  <w:r>
                    <w:rPr>
                      <w:rFonts w:hint="eastAsia"/>
                      <w:b/>
                      <w:bCs/>
                      <w:color w:val="auto"/>
                      <w:sz w:val="18"/>
                      <w:szCs w:val="18"/>
                    </w:rPr>
                    <w:t>发生频次</w:t>
                  </w:r>
                  <w:r>
                    <w:rPr>
                      <w:rFonts w:hint="eastAsia"/>
                      <w:b/>
                      <w:bCs/>
                      <w:color w:val="auto"/>
                      <w:sz w:val="18"/>
                      <w:szCs w:val="18"/>
                      <w:lang w:eastAsia="zh-CN"/>
                    </w:rPr>
                    <w:t>(一</w:t>
                  </w:r>
                  <w:r>
                    <w:rPr>
                      <w:rFonts w:hint="eastAsia"/>
                      <w:b/>
                      <w:bCs/>
                      <w:color w:val="auto"/>
                      <w:sz w:val="18"/>
                      <w:szCs w:val="18"/>
                    </w:rPr>
                    <w:t>次/年</w:t>
                  </w:r>
                  <w:r>
                    <w:rPr>
                      <w:rFonts w:hint="eastAsia"/>
                      <w:b/>
                      <w:bCs/>
                      <w:color w:val="auto"/>
                      <w:sz w:val="18"/>
                      <w:szCs w:val="18"/>
                      <w:lang w:eastAsia="zh-CN"/>
                    </w:rPr>
                    <w:t>）</w:t>
                  </w:r>
                </w:p>
              </w:tc>
              <w:tc>
                <w:tcPr>
                  <w:tcW w:w="470" w:type="pct"/>
                  <w:vAlign w:val="center"/>
                </w:tcPr>
                <w:p w14:paraId="5584DD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应对措施</w:t>
                  </w:r>
                </w:p>
              </w:tc>
            </w:tr>
            <w:tr w14:paraId="298D2F8D">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28" w:type="dxa"/>
                  <w:bottom w:w="0" w:type="dxa"/>
                  <w:right w:w="28" w:type="dxa"/>
                </w:tblCellMar>
              </w:tblPrEx>
              <w:trPr>
                <w:trHeight w:val="340" w:hRule="atLeast"/>
                <w:jc w:val="center"/>
              </w:trPr>
              <w:tc>
                <w:tcPr>
                  <w:tcW w:w="423" w:type="pct"/>
                  <w:vAlign w:val="center"/>
                </w:tcPr>
                <w:p w14:paraId="516CC8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宋体"/>
                      <w:color w:val="auto"/>
                      <w:sz w:val="18"/>
                      <w:szCs w:val="18"/>
                      <w:lang w:val="en-US" w:eastAsia="zh-CN"/>
                    </w:rPr>
                  </w:pPr>
                  <w:r>
                    <w:rPr>
                      <w:rFonts w:hint="eastAsia"/>
                      <w:color w:val="auto"/>
                      <w:sz w:val="18"/>
                      <w:szCs w:val="18"/>
                      <w:lang w:val="en-US" w:eastAsia="zh-CN"/>
                    </w:rPr>
                    <w:t>DA001</w:t>
                  </w:r>
                </w:p>
              </w:tc>
              <w:tc>
                <w:tcPr>
                  <w:tcW w:w="437" w:type="pct"/>
                  <w:vAlign w:val="center"/>
                </w:tcPr>
                <w:p w14:paraId="28CCC5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eastAsia="宋体"/>
                      <w:color w:val="auto"/>
                      <w:sz w:val="18"/>
                      <w:szCs w:val="18"/>
                      <w:lang w:val="en-US" w:eastAsia="zh-CN"/>
                    </w:rPr>
                  </w:pPr>
                  <w:r>
                    <w:rPr>
                      <w:rFonts w:hint="eastAsia"/>
                      <w:color w:val="auto"/>
                      <w:sz w:val="18"/>
                      <w:szCs w:val="18"/>
                    </w:rPr>
                    <w:t>活性炭</w:t>
                  </w:r>
                  <w:r>
                    <w:rPr>
                      <w:rFonts w:hint="eastAsia"/>
                      <w:color w:val="auto"/>
                      <w:sz w:val="18"/>
                      <w:szCs w:val="18"/>
                      <w:lang w:val="en-US" w:eastAsia="zh-CN"/>
                    </w:rPr>
                    <w:t>吸附装置故障</w:t>
                  </w:r>
                </w:p>
              </w:tc>
              <w:tc>
                <w:tcPr>
                  <w:tcW w:w="565" w:type="pct"/>
                  <w:vAlign w:val="center"/>
                </w:tcPr>
                <w:p w14:paraId="76231F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50%</w:t>
                  </w:r>
                </w:p>
              </w:tc>
              <w:tc>
                <w:tcPr>
                  <w:tcW w:w="603" w:type="pct"/>
                  <w:vAlign w:val="center"/>
                </w:tcPr>
                <w:p w14:paraId="5B4400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sz w:val="18"/>
                      <w:szCs w:val="18"/>
                    </w:rPr>
                  </w:pPr>
                  <w:r>
                    <w:rPr>
                      <w:rFonts w:hint="eastAsia" w:cs="宋体"/>
                      <w:color w:val="auto"/>
                      <w:kern w:val="0"/>
                      <w:sz w:val="18"/>
                      <w:szCs w:val="18"/>
                      <w:lang w:val="en-US" w:eastAsia="zh-CN" w:bidi="ar"/>
                    </w:rPr>
                    <w:t>非甲烷总烃</w:t>
                  </w:r>
                </w:p>
              </w:tc>
              <w:tc>
                <w:tcPr>
                  <w:tcW w:w="711" w:type="pct"/>
                  <w:vAlign w:val="center"/>
                </w:tcPr>
                <w:p w14:paraId="1AD000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等线" w:cs="Times New Roman"/>
                      <w:b w:val="0"/>
                      <w:bCs w:val="0"/>
                      <w:color w:val="auto"/>
                      <w:kern w:val="2"/>
                      <w:sz w:val="18"/>
                      <w:szCs w:val="18"/>
                      <w:lang w:val="en-US" w:eastAsia="zh-CN" w:bidi="ar-SA"/>
                    </w:rPr>
                  </w:pPr>
                  <w:r>
                    <w:rPr>
                      <w:rFonts w:hint="eastAsia" w:eastAsia="等线" w:cs="Times New Roman"/>
                      <w:b w:val="0"/>
                      <w:bCs w:val="0"/>
                      <w:color w:val="auto"/>
                      <w:kern w:val="2"/>
                      <w:sz w:val="18"/>
                      <w:szCs w:val="18"/>
                      <w:lang w:val="en-US" w:eastAsia="zh-CN" w:bidi="ar-SA"/>
                    </w:rPr>
                    <w:t>9.2</w:t>
                  </w:r>
                </w:p>
              </w:tc>
              <w:tc>
                <w:tcPr>
                  <w:tcW w:w="584" w:type="pct"/>
                  <w:vAlign w:val="center"/>
                </w:tcPr>
                <w:p w14:paraId="2C5EBD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等线" w:cs="Times New Roman"/>
                      <w:b w:val="0"/>
                      <w:bCs w:val="0"/>
                      <w:color w:val="auto"/>
                      <w:kern w:val="2"/>
                      <w:sz w:val="18"/>
                      <w:szCs w:val="18"/>
                      <w:lang w:val="en-US" w:eastAsia="zh-CN" w:bidi="ar-SA"/>
                    </w:rPr>
                  </w:pPr>
                  <w:r>
                    <w:rPr>
                      <w:rFonts w:hint="eastAsia" w:eastAsia="等线" w:cs="Times New Roman"/>
                      <w:b w:val="0"/>
                      <w:bCs w:val="0"/>
                      <w:color w:val="auto"/>
                      <w:kern w:val="2"/>
                      <w:sz w:val="18"/>
                      <w:szCs w:val="18"/>
                      <w:lang w:val="en-US" w:eastAsia="zh-CN" w:bidi="ar-SA"/>
                    </w:rPr>
                    <w:t>0.037</w:t>
                  </w:r>
                </w:p>
              </w:tc>
              <w:tc>
                <w:tcPr>
                  <w:tcW w:w="528" w:type="pct"/>
                  <w:vAlign w:val="center"/>
                </w:tcPr>
                <w:p w14:paraId="0E07E7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等线" w:cs="Times New Roman"/>
                      <w:b w:val="0"/>
                      <w:bCs w:val="0"/>
                      <w:color w:val="auto"/>
                      <w:kern w:val="0"/>
                      <w:sz w:val="18"/>
                      <w:szCs w:val="18"/>
                      <w:lang w:val="en-US" w:eastAsia="zh-CN" w:bidi="ar"/>
                    </w:rPr>
                  </w:pPr>
                  <w:r>
                    <w:rPr>
                      <w:rFonts w:hint="eastAsia" w:eastAsia="等线" w:cs="Times New Roman"/>
                      <w:b w:val="0"/>
                      <w:bCs w:val="0"/>
                      <w:color w:val="auto"/>
                      <w:kern w:val="2"/>
                      <w:sz w:val="18"/>
                      <w:szCs w:val="18"/>
                      <w:lang w:val="en-US" w:eastAsia="zh-CN" w:bidi="ar-SA"/>
                    </w:rPr>
                    <w:t>0.089</w:t>
                  </w:r>
                </w:p>
              </w:tc>
              <w:tc>
                <w:tcPr>
                  <w:tcW w:w="374" w:type="pct"/>
                  <w:vAlign w:val="center"/>
                </w:tcPr>
                <w:p w14:paraId="50D5E2A9">
                  <w:pPr>
                    <w:pStyle w:val="42"/>
                    <w:keepNext w:val="0"/>
                    <w:keepLines w:val="0"/>
                    <w:pageBreakBefore w:val="0"/>
                    <w:suppressLineNumbers w:val="0"/>
                    <w:kinsoku/>
                    <w:wordWrap/>
                    <w:overflowPunct/>
                    <w:topLinePunct w:val="0"/>
                    <w:autoSpaceDE/>
                    <w:autoSpaceDN/>
                    <w:bidi w:val="0"/>
                    <w:adjustRightInd w:val="0"/>
                    <w:snapToGrid w:val="0"/>
                    <w:spacing w:beforeLines="0" w:beforeAutospacing="0" w:afterLines="0" w:afterAutospacing="0" w:line="240" w:lineRule="auto"/>
                    <w:ind w:left="0" w:right="0" w:firstLine="0" w:firstLineChars="0"/>
                    <w:rPr>
                      <w:rFonts w:hint="default" w:eastAsia="宋体"/>
                      <w:color w:val="auto"/>
                      <w:sz w:val="18"/>
                      <w:szCs w:val="18"/>
                      <w:lang w:val="en-US" w:eastAsia="zh-CN"/>
                    </w:rPr>
                  </w:pPr>
                  <w:r>
                    <w:rPr>
                      <w:rFonts w:hint="eastAsia"/>
                      <w:snapToGrid w:val="0"/>
                      <w:color w:val="auto"/>
                      <w:sz w:val="18"/>
                      <w:szCs w:val="18"/>
                      <w:lang w:val="en-US" w:eastAsia="zh-CN"/>
                    </w:rPr>
                    <w:t>1h</w:t>
                  </w:r>
                </w:p>
              </w:tc>
              <w:tc>
                <w:tcPr>
                  <w:tcW w:w="300" w:type="pct"/>
                  <w:vAlign w:val="center"/>
                </w:tcPr>
                <w:p w14:paraId="3FDCDFEC">
                  <w:pPr>
                    <w:pStyle w:val="42"/>
                    <w:keepNext w:val="0"/>
                    <w:keepLines w:val="0"/>
                    <w:pageBreakBefore w:val="0"/>
                    <w:suppressLineNumbers w:val="0"/>
                    <w:kinsoku/>
                    <w:wordWrap/>
                    <w:overflowPunct/>
                    <w:topLinePunct w:val="0"/>
                    <w:autoSpaceDE/>
                    <w:autoSpaceDN/>
                    <w:bidi w:val="0"/>
                    <w:adjustRightInd w:val="0"/>
                    <w:snapToGrid w:val="0"/>
                    <w:spacing w:beforeLines="0" w:beforeAutospacing="0" w:afterLines="0" w:afterAutospacing="0" w:line="240" w:lineRule="auto"/>
                    <w:ind w:left="0" w:right="0" w:firstLine="0" w:firstLineChars="0"/>
                    <w:rPr>
                      <w:rFonts w:hint="eastAsia"/>
                      <w:color w:val="auto"/>
                      <w:sz w:val="18"/>
                      <w:szCs w:val="18"/>
                    </w:rPr>
                  </w:pPr>
                  <w:r>
                    <w:rPr>
                      <w:rFonts w:hint="eastAsia"/>
                      <w:snapToGrid w:val="0"/>
                      <w:color w:val="auto"/>
                      <w:sz w:val="18"/>
                      <w:szCs w:val="18"/>
                    </w:rPr>
                    <w:t>≤1</w:t>
                  </w:r>
                </w:p>
              </w:tc>
              <w:tc>
                <w:tcPr>
                  <w:tcW w:w="470" w:type="pct"/>
                  <w:vAlign w:val="center"/>
                </w:tcPr>
                <w:p w14:paraId="036A65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lang w:val="en-US" w:eastAsia="zh-CN"/>
                    </w:rPr>
                    <w:t>定</w:t>
                  </w:r>
                  <w:r>
                    <w:rPr>
                      <w:rFonts w:hint="eastAsia"/>
                      <w:color w:val="auto"/>
                      <w:sz w:val="18"/>
                      <w:szCs w:val="18"/>
                    </w:rPr>
                    <w:t>期进行设备维护检修，当工艺废气处理装置出现故障不能短时间恢复时停止生产</w:t>
                  </w:r>
                </w:p>
              </w:tc>
            </w:tr>
          </w:tbl>
          <w:p w14:paraId="36EC5328">
            <w:pPr>
              <w:keepNext w:val="0"/>
              <w:keepLines w:val="0"/>
              <w:numPr>
                <w:ilvl w:val="0"/>
                <w:numId w:val="0"/>
              </w:numPr>
              <w:suppressLineNumbers w:val="0"/>
              <w:bidi w:val="0"/>
              <w:spacing w:before="0" w:beforeAutospacing="0" w:after="0" w:afterAutospacing="0"/>
              <w:ind w:left="480" w:leftChars="200" w:right="0" w:rightChars="0"/>
              <w:rPr>
                <w:rFonts w:hint="eastAsia" w:ascii="Times New Roman" w:hAnsi="Times New Roman" w:eastAsia="宋体"/>
                <w:b/>
                <w:bCs/>
                <w:color w:val="auto"/>
                <w:lang w:val="en-US" w:eastAsia="zh-CN"/>
              </w:rPr>
            </w:pPr>
            <w:r>
              <w:rPr>
                <w:rFonts w:hint="eastAsia" w:ascii="Times New Roman" w:hAnsi="Times New Roman" w:eastAsia="宋体"/>
                <w:b/>
                <w:bCs/>
                <w:color w:val="auto"/>
                <w:lang w:val="en-US" w:eastAsia="zh-CN"/>
              </w:rPr>
              <w:t>1.</w:t>
            </w:r>
            <w:r>
              <w:rPr>
                <w:rFonts w:hint="eastAsia"/>
                <w:b/>
                <w:bCs/>
                <w:color w:val="auto"/>
                <w:lang w:val="en-US" w:eastAsia="zh-CN"/>
              </w:rPr>
              <w:t>5</w:t>
            </w:r>
            <w:r>
              <w:rPr>
                <w:rFonts w:hint="eastAsia" w:ascii="Times New Roman" w:hAnsi="Times New Roman" w:eastAsia="宋体"/>
                <w:b/>
                <w:bCs/>
                <w:color w:val="auto"/>
                <w:lang w:val="en-US" w:eastAsia="zh-CN"/>
              </w:rPr>
              <w:t>环境监测计划</w:t>
            </w:r>
          </w:p>
          <w:p w14:paraId="4B8C4926">
            <w:pPr>
              <w:keepNext w:val="0"/>
              <w:keepLines w:val="0"/>
              <w:widowControl/>
              <w:suppressLineNumbers w:val="0"/>
              <w:adjustRightInd w:val="0"/>
              <w:snapToGrid w:val="0"/>
              <w:spacing w:before="0" w:beforeAutospacing="0" w:after="0" w:afterAutospacing="0" w:line="360" w:lineRule="auto"/>
              <w:ind w:left="19" w:right="0" w:firstLine="472" w:firstLineChars="197"/>
              <w:jc w:val="left"/>
              <w:rPr>
                <w:rFonts w:hint="default" w:ascii="Times New Roman" w:hAnsi="Times New Roman" w:eastAsia="宋体"/>
                <w:color w:val="auto"/>
                <w:kern w:val="0"/>
                <w:sz w:val="24"/>
              </w:rPr>
            </w:pPr>
            <w:r>
              <w:rPr>
                <w:rFonts w:hint="default" w:ascii="Times New Roman" w:hAnsi="Times New Roman" w:eastAsia="宋体"/>
                <w:color w:val="auto"/>
                <w:kern w:val="0"/>
                <w:sz w:val="24"/>
              </w:rPr>
              <w:t>根据</w:t>
            </w:r>
            <w:r>
              <w:rPr>
                <w:rFonts w:hint="default" w:ascii="Times New Roman" w:hAnsi="Times New Roman" w:eastAsia="宋体"/>
                <w:color w:val="auto"/>
                <w:kern w:val="0"/>
                <w:sz w:val="24"/>
                <w:lang w:val="en-US" w:eastAsia="zh-CN"/>
              </w:rPr>
              <w:t>《排污许可证申请与核发技术规范 总则》（HJ942-2018）、《排污单位自行监测技术指南 总则》（HJ819-2017）中的相关要求</w:t>
            </w:r>
            <w:r>
              <w:rPr>
                <w:rFonts w:hint="default" w:ascii="Times New Roman" w:hAnsi="Times New Roman" w:eastAsia="宋体"/>
                <w:color w:val="auto"/>
                <w:kern w:val="0"/>
                <w:sz w:val="24"/>
              </w:rPr>
              <w:t>对废气进行例行监测。</w:t>
            </w:r>
          </w:p>
          <w:p w14:paraId="330E6D26">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（1）有组织</w:t>
            </w:r>
          </w:p>
          <w:p w14:paraId="7A7BE5B4">
            <w:pPr>
              <w:keepNext w:val="0"/>
              <w:keepLines w:val="0"/>
              <w:widowControl/>
              <w:suppressLineNumbers w:val="0"/>
              <w:adjustRightInd w:val="0"/>
              <w:snapToGrid w:val="0"/>
              <w:spacing w:before="0" w:beforeAutospacing="0" w:after="0" w:afterAutospacing="0" w:line="240" w:lineRule="auto"/>
              <w:ind w:left="0" w:right="0" w:firstLine="482" w:firstLineChars="20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表4.1-</w:t>
            </w:r>
            <w:r>
              <w:rPr>
                <w:rFonts w:hint="eastAsia" w:cs="Times New Roman"/>
                <w:b/>
                <w:bCs/>
                <w:color w:val="auto"/>
                <w:kern w:val="0"/>
                <w:sz w:val="24"/>
                <w:lang w:val="en-US" w:eastAsia="zh-CN"/>
              </w:rPr>
              <w:t>7</w:t>
            </w:r>
            <w:r>
              <w:rPr>
                <w:rFonts w:hint="eastAsia" w:ascii="Times New Roman" w:hAnsi="Times New Roman" w:eastAsia="宋体" w:cs="Times New Roman"/>
                <w:b/>
                <w:bCs/>
                <w:color w:val="auto"/>
                <w:kern w:val="0"/>
                <w:sz w:val="24"/>
              </w:rPr>
              <w:t xml:space="preserve">  </w:t>
            </w:r>
            <w:r>
              <w:rPr>
                <w:rFonts w:hint="eastAsia" w:cs="Times New Roman"/>
                <w:b/>
                <w:bCs/>
                <w:color w:val="auto"/>
                <w:kern w:val="0"/>
                <w:sz w:val="24"/>
                <w:lang w:val="en-US" w:eastAsia="zh-CN"/>
              </w:rPr>
              <w:t>建设项目</w:t>
            </w:r>
            <w:r>
              <w:rPr>
                <w:rFonts w:hint="default" w:ascii="Times New Roman" w:hAnsi="Times New Roman" w:eastAsia="宋体" w:cs="Times New Roman"/>
                <w:b/>
                <w:bCs/>
                <w:color w:val="auto"/>
                <w:kern w:val="0"/>
                <w:sz w:val="24"/>
              </w:rPr>
              <w:t>有组织废气监测方案</w:t>
            </w:r>
          </w:p>
          <w:tbl>
            <w:tblPr>
              <w:tblStyle w:val="25"/>
              <w:tblW w:w="815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37"/>
              <w:gridCol w:w="1887"/>
              <w:gridCol w:w="920"/>
              <w:gridCol w:w="4410"/>
            </w:tblGrid>
            <w:tr w14:paraId="77D35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937" w:type="dxa"/>
                  <w:vAlign w:val="center"/>
                </w:tcPr>
                <w:p w14:paraId="0CD3E5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监测点位</w:t>
                  </w:r>
                </w:p>
              </w:tc>
              <w:tc>
                <w:tcPr>
                  <w:tcW w:w="1887" w:type="dxa"/>
                  <w:vAlign w:val="center"/>
                </w:tcPr>
                <w:p w14:paraId="38FE27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监测指标</w:t>
                  </w:r>
                </w:p>
              </w:tc>
              <w:tc>
                <w:tcPr>
                  <w:tcW w:w="920" w:type="dxa"/>
                  <w:vAlign w:val="center"/>
                </w:tcPr>
                <w:p w14:paraId="6112C1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监测频次</w:t>
                  </w:r>
                </w:p>
              </w:tc>
              <w:tc>
                <w:tcPr>
                  <w:tcW w:w="4410" w:type="dxa"/>
                  <w:vAlign w:val="center"/>
                </w:tcPr>
                <w:p w14:paraId="2C492C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执行排放标准</w:t>
                  </w:r>
                </w:p>
              </w:tc>
            </w:tr>
            <w:tr w14:paraId="1DED16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937" w:type="dxa"/>
                  <w:vAlign w:val="center"/>
                </w:tcPr>
                <w:p w14:paraId="5D65C2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DA001</w:t>
                  </w:r>
                </w:p>
              </w:tc>
              <w:tc>
                <w:tcPr>
                  <w:tcW w:w="1887" w:type="dxa"/>
                  <w:vAlign w:val="center"/>
                </w:tcPr>
                <w:p w14:paraId="1F49F7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18"/>
                      <w:szCs w:val="18"/>
                      <w:lang w:eastAsia="zh-CN"/>
                    </w:rPr>
                  </w:pPr>
                  <w:r>
                    <w:rPr>
                      <w:rFonts w:hint="eastAsia" w:cs="Times New Roman"/>
                      <w:color w:val="auto"/>
                      <w:sz w:val="18"/>
                      <w:szCs w:val="18"/>
                      <w:lang w:eastAsia="zh-CN"/>
                    </w:rPr>
                    <w:t>非甲烷总烃</w:t>
                  </w:r>
                </w:p>
              </w:tc>
              <w:tc>
                <w:tcPr>
                  <w:tcW w:w="920" w:type="dxa"/>
                  <w:vAlign w:val="center"/>
                </w:tcPr>
                <w:p w14:paraId="7BD44C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1次/年</w:t>
                  </w:r>
                </w:p>
              </w:tc>
              <w:tc>
                <w:tcPr>
                  <w:tcW w:w="4410" w:type="dxa"/>
                  <w:vAlign w:val="center"/>
                </w:tcPr>
                <w:p w14:paraId="5FAFEB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rPr>
                    <w:t>江苏省地方标准《大气污染物综合排放标准》（DB32/4041-2021）表1</w:t>
                  </w:r>
                  <w:r>
                    <w:rPr>
                      <w:rFonts w:hint="eastAsia" w:cs="Times New Roman"/>
                      <w:color w:val="auto"/>
                      <w:kern w:val="0"/>
                      <w:sz w:val="18"/>
                      <w:szCs w:val="18"/>
                      <w:lang w:val="en-US" w:eastAsia="zh-CN"/>
                    </w:rPr>
                    <w:t>标准</w:t>
                  </w:r>
                </w:p>
              </w:tc>
            </w:tr>
          </w:tbl>
          <w:p w14:paraId="1EBB0396">
            <w:pPr>
              <w:keepNext w:val="0"/>
              <w:keepLines w:val="0"/>
              <w:suppressLineNumbers w:val="0"/>
              <w:spacing w:before="0" w:beforeAutospacing="0" w:after="0" w:afterAutospacing="0"/>
              <w:ind w:left="0" w:right="0"/>
              <w:rPr>
                <w:rFonts w:hint="default"/>
                <w:color w:val="auto"/>
              </w:rPr>
            </w:pPr>
            <w:r>
              <w:rPr>
                <w:rFonts w:hint="default"/>
                <w:color w:val="auto"/>
              </w:rPr>
              <w:t>（2）无组织</w:t>
            </w:r>
          </w:p>
          <w:p w14:paraId="479987C2">
            <w:pPr>
              <w:keepNext w:val="0"/>
              <w:keepLines w:val="0"/>
              <w:widowControl/>
              <w:suppressLineNumbers w:val="0"/>
              <w:adjustRightInd w:val="0"/>
              <w:snapToGrid w:val="0"/>
              <w:spacing w:before="0" w:beforeAutospacing="0" w:after="0" w:afterAutospacing="0" w:line="240" w:lineRule="auto"/>
              <w:ind w:left="0" w:right="0" w:firstLine="482" w:firstLineChars="20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表4.1-</w:t>
            </w:r>
            <w:r>
              <w:rPr>
                <w:rFonts w:hint="eastAsia" w:cs="Times New Roman"/>
                <w:b/>
                <w:bCs/>
                <w:color w:val="auto"/>
                <w:kern w:val="0"/>
                <w:sz w:val="24"/>
                <w:lang w:val="en-US" w:eastAsia="zh-CN"/>
              </w:rPr>
              <w:t>8</w:t>
            </w:r>
            <w:r>
              <w:rPr>
                <w:rFonts w:hint="eastAsia" w:ascii="Times New Roman" w:hAnsi="Times New Roman" w:eastAsia="宋体" w:cs="Times New Roman"/>
                <w:b/>
                <w:bCs/>
                <w:color w:val="auto"/>
                <w:kern w:val="0"/>
                <w:sz w:val="24"/>
              </w:rPr>
              <w:t xml:space="preserve">  </w:t>
            </w:r>
            <w:r>
              <w:rPr>
                <w:rFonts w:hint="eastAsia" w:cs="Times New Roman"/>
                <w:b/>
                <w:bCs/>
                <w:color w:val="auto"/>
                <w:kern w:val="0"/>
                <w:sz w:val="24"/>
                <w:lang w:val="en-US" w:eastAsia="zh-CN"/>
              </w:rPr>
              <w:t>建设项目</w:t>
            </w:r>
            <w:r>
              <w:rPr>
                <w:rFonts w:hint="default" w:ascii="Times New Roman" w:hAnsi="Times New Roman" w:eastAsia="宋体" w:cs="Times New Roman"/>
                <w:b/>
                <w:bCs/>
                <w:color w:val="auto"/>
                <w:kern w:val="0"/>
                <w:sz w:val="24"/>
              </w:rPr>
              <w:t>无组织废气监测计划表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1580"/>
              <w:gridCol w:w="1475"/>
              <w:gridCol w:w="1063"/>
              <w:gridCol w:w="3966"/>
            </w:tblGrid>
            <w:tr w14:paraId="6B73B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977" w:type="pct"/>
                  <w:tcBorders>
                    <w:tl2br w:val="nil"/>
                    <w:tr2bl w:val="nil"/>
                  </w:tcBorders>
                  <w:vAlign w:val="center"/>
                </w:tcPr>
                <w:p w14:paraId="094E1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监测点位</w:t>
                  </w:r>
                </w:p>
              </w:tc>
              <w:tc>
                <w:tcPr>
                  <w:tcW w:w="912" w:type="pct"/>
                  <w:tcBorders>
                    <w:tl2br w:val="nil"/>
                    <w:tr2bl w:val="nil"/>
                  </w:tcBorders>
                  <w:vAlign w:val="center"/>
                </w:tcPr>
                <w:p w14:paraId="34E0E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监测指标</w:t>
                  </w:r>
                </w:p>
              </w:tc>
              <w:tc>
                <w:tcPr>
                  <w:tcW w:w="657" w:type="pct"/>
                  <w:tcBorders>
                    <w:tl2br w:val="nil"/>
                    <w:tr2bl w:val="nil"/>
                  </w:tcBorders>
                  <w:vAlign w:val="center"/>
                </w:tcPr>
                <w:p w14:paraId="05DB7C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监测频次</w:t>
                  </w:r>
                </w:p>
              </w:tc>
              <w:tc>
                <w:tcPr>
                  <w:tcW w:w="2452" w:type="pct"/>
                  <w:tcBorders>
                    <w:tl2br w:val="nil"/>
                    <w:tr2bl w:val="nil"/>
                  </w:tcBorders>
                  <w:vAlign w:val="center"/>
                </w:tcPr>
                <w:p w14:paraId="2229B1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执行排放标准</w:t>
                  </w:r>
                </w:p>
              </w:tc>
            </w:tr>
            <w:tr w14:paraId="457AD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977" w:type="pct"/>
                  <w:vMerge w:val="restart"/>
                  <w:tcBorders>
                    <w:tl2br w:val="nil"/>
                    <w:tr2bl w:val="nil"/>
                  </w:tcBorders>
                  <w:vAlign w:val="center"/>
                </w:tcPr>
                <w:p w14:paraId="578EF1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厂界四周，上风向1个点位，下风向3个点位</w:t>
                  </w:r>
                </w:p>
              </w:tc>
              <w:tc>
                <w:tcPr>
                  <w:tcW w:w="912" w:type="pct"/>
                  <w:tcBorders>
                    <w:tl2br w:val="nil"/>
                    <w:tr2bl w:val="nil"/>
                  </w:tcBorders>
                  <w:vAlign w:val="center"/>
                </w:tcPr>
                <w:p w14:paraId="1F8479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非甲烷总烃</w:t>
                  </w:r>
                </w:p>
              </w:tc>
              <w:tc>
                <w:tcPr>
                  <w:tcW w:w="657" w:type="pct"/>
                  <w:tcBorders>
                    <w:tl2br w:val="nil"/>
                    <w:tr2bl w:val="nil"/>
                  </w:tcBorders>
                  <w:vAlign w:val="center"/>
                </w:tcPr>
                <w:p w14:paraId="682025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1次/年</w:t>
                  </w:r>
                </w:p>
              </w:tc>
              <w:tc>
                <w:tcPr>
                  <w:tcW w:w="2452" w:type="pct"/>
                  <w:tcBorders>
                    <w:tl2br w:val="nil"/>
                    <w:tr2bl w:val="nil"/>
                  </w:tcBorders>
                  <w:vAlign w:val="center"/>
                </w:tcPr>
                <w:p w14:paraId="1DCF01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rPr>
                    <w:t>江苏省地方标准《大气污染物综合排放标准》（DB32/4041-2021）表3</w:t>
                  </w:r>
                  <w:r>
                    <w:rPr>
                      <w:rFonts w:hint="eastAsia" w:cs="Times New Roman"/>
                      <w:color w:val="auto"/>
                      <w:kern w:val="0"/>
                      <w:sz w:val="18"/>
                      <w:szCs w:val="18"/>
                      <w:lang w:val="en-US" w:eastAsia="zh-CN"/>
                    </w:rPr>
                    <w:t>标准</w:t>
                  </w:r>
                </w:p>
              </w:tc>
            </w:tr>
            <w:tr w14:paraId="65792D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00" w:hRule="atLeast"/>
              </w:trPr>
              <w:tc>
                <w:tcPr>
                  <w:tcW w:w="977" w:type="pct"/>
                  <w:vMerge w:val="continue"/>
                  <w:tcBorders>
                    <w:tl2br w:val="nil"/>
                    <w:tr2bl w:val="nil"/>
                  </w:tcBorders>
                  <w:vAlign w:val="center"/>
                </w:tcPr>
                <w:p w14:paraId="07DF4D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p>
              </w:tc>
              <w:tc>
                <w:tcPr>
                  <w:tcW w:w="912" w:type="pct"/>
                  <w:tcBorders>
                    <w:tl2br w:val="nil"/>
                    <w:tr2bl w:val="nil"/>
                  </w:tcBorders>
                  <w:vAlign w:val="center"/>
                </w:tcPr>
                <w:p w14:paraId="161DE2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氨、硫化氢</w:t>
                  </w:r>
                </w:p>
              </w:tc>
              <w:tc>
                <w:tcPr>
                  <w:tcW w:w="657" w:type="pct"/>
                  <w:tcBorders>
                    <w:tl2br w:val="nil"/>
                    <w:tr2bl w:val="nil"/>
                  </w:tcBorders>
                  <w:vAlign w:val="center"/>
                </w:tcPr>
                <w:p w14:paraId="44496C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1次/年</w:t>
                  </w:r>
                </w:p>
              </w:tc>
              <w:tc>
                <w:tcPr>
                  <w:tcW w:w="2452" w:type="pct"/>
                  <w:tcBorders>
                    <w:tl2br w:val="nil"/>
                    <w:tr2bl w:val="nil"/>
                  </w:tcBorders>
                  <w:vAlign w:val="center"/>
                </w:tcPr>
                <w:p w14:paraId="4CB381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rPr>
                  </w:pPr>
                  <w:r>
                    <w:rPr>
                      <w:rFonts w:hint="eastAsia"/>
                      <w:bCs/>
                      <w:color w:val="auto"/>
                      <w:sz w:val="18"/>
                      <w:szCs w:val="18"/>
                      <w:lang w:eastAsia="zh-CN"/>
                    </w:rPr>
                    <w:t>《恶臭污染物排放标准》（GB14554-93）表</w:t>
                  </w:r>
                  <w:r>
                    <w:rPr>
                      <w:rFonts w:hint="eastAsia"/>
                      <w:bCs/>
                      <w:color w:val="auto"/>
                      <w:sz w:val="18"/>
                      <w:szCs w:val="18"/>
                      <w:lang w:val="en-US" w:eastAsia="zh-CN"/>
                    </w:rPr>
                    <w:t>1标准</w:t>
                  </w:r>
                </w:p>
              </w:tc>
            </w:tr>
            <w:tr w14:paraId="1BFEC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977" w:type="pct"/>
                  <w:tcBorders>
                    <w:tl2br w:val="nil"/>
                    <w:tr2bl w:val="nil"/>
                  </w:tcBorders>
                  <w:vAlign w:val="center"/>
                </w:tcPr>
                <w:p w14:paraId="3A3434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厂区内</w:t>
                  </w:r>
                </w:p>
              </w:tc>
              <w:tc>
                <w:tcPr>
                  <w:tcW w:w="912" w:type="pct"/>
                  <w:tcBorders>
                    <w:tl2br w:val="nil"/>
                    <w:tr2bl w:val="nil"/>
                  </w:tcBorders>
                  <w:vAlign w:val="center"/>
                </w:tcPr>
                <w:p w14:paraId="33F213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非甲烷总烃</w:t>
                  </w:r>
                </w:p>
              </w:tc>
              <w:tc>
                <w:tcPr>
                  <w:tcW w:w="657" w:type="pct"/>
                  <w:tcBorders>
                    <w:tl2br w:val="nil"/>
                    <w:tr2bl w:val="nil"/>
                  </w:tcBorders>
                  <w:vAlign w:val="center"/>
                </w:tcPr>
                <w:p w14:paraId="7FF1E4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1次/</w:t>
                  </w:r>
                  <w:r>
                    <w:rPr>
                      <w:rFonts w:hint="eastAsia" w:cs="Times New Roman"/>
                      <w:color w:val="auto"/>
                      <w:kern w:val="0"/>
                      <w:sz w:val="18"/>
                      <w:szCs w:val="18"/>
                      <w:lang w:val="en-US" w:eastAsia="zh-CN"/>
                    </w:rPr>
                    <w:t>年</w:t>
                  </w:r>
                </w:p>
              </w:tc>
              <w:tc>
                <w:tcPr>
                  <w:tcW w:w="2452" w:type="pct"/>
                  <w:tcBorders>
                    <w:tl2br w:val="nil"/>
                    <w:tr2bl w:val="nil"/>
                  </w:tcBorders>
                  <w:vAlign w:val="center"/>
                </w:tcPr>
                <w:p w14:paraId="3BC1C3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eastAsia" w:hAnsi="宋体"/>
                      <w:bCs/>
                      <w:color w:val="auto"/>
                      <w:sz w:val="18"/>
                      <w:szCs w:val="18"/>
                    </w:rPr>
                    <w:t>《大气污染物综合排放标准》（DB32/4041-2021）表</w:t>
                  </w:r>
                  <w:r>
                    <w:rPr>
                      <w:rFonts w:hint="eastAsia" w:hAnsi="宋体"/>
                      <w:bCs/>
                      <w:color w:val="auto"/>
                      <w:sz w:val="18"/>
                      <w:szCs w:val="18"/>
                      <w:lang w:val="en-US" w:eastAsia="zh-CN"/>
                    </w:rPr>
                    <w:t>2标准</w:t>
                  </w:r>
                </w:p>
              </w:tc>
            </w:tr>
          </w:tbl>
          <w:p w14:paraId="7F6B58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480" w:leftChars="200" w:right="0" w:rightChars="0"/>
              <w:textAlignment w:val="auto"/>
              <w:rPr>
                <w:rFonts w:hint="default"/>
                <w:b/>
                <w:bCs/>
                <w:color w:val="auto"/>
                <w:lang w:val="en-US" w:eastAsia="zh-CN"/>
              </w:rPr>
            </w:pPr>
            <w:r>
              <w:rPr>
                <w:rFonts w:hint="eastAsia"/>
                <w:b/>
                <w:bCs/>
                <w:color w:val="auto"/>
                <w:lang w:val="en-US" w:eastAsia="zh-CN"/>
              </w:rPr>
              <w:t>1.6废气排放环境影响分析</w:t>
            </w:r>
          </w:p>
          <w:p w14:paraId="0C6AA981">
            <w:pPr>
              <w:keepNext w:val="0"/>
              <w:keepLines w:val="0"/>
              <w:numPr>
                <w:ilvl w:val="0"/>
                <w:numId w:val="13"/>
              </w:numPr>
              <w:suppressLineNumbers w:val="0"/>
              <w:spacing w:before="0" w:beforeAutospacing="0" w:after="0" w:afterAutospacing="0"/>
              <w:ind w:left="0" w:right="0" w:firstLine="480"/>
              <w:rPr>
                <w:rFonts w:hint="eastAsia"/>
                <w:color w:val="auto"/>
              </w:rPr>
            </w:pPr>
            <w:r>
              <w:rPr>
                <w:rFonts w:hint="eastAsia"/>
                <w:color w:val="auto"/>
              </w:rPr>
              <w:t>大气有害物质无组织排放卫生防护距离的设定</w:t>
            </w:r>
          </w:p>
          <w:p w14:paraId="3B8EC12C">
            <w:pPr>
              <w:keepNext w:val="0"/>
              <w:keepLines w:val="0"/>
              <w:suppressLineNumbers w:val="0"/>
              <w:adjustRightInd w:val="0"/>
              <w:snapToGrid w:val="0"/>
              <w:spacing w:before="0" w:beforeAutospacing="0" w:after="0" w:afterAutospacing="0" w:line="360" w:lineRule="auto"/>
              <w:ind w:left="0" w:right="0" w:firstLine="480" w:firstLineChars="200"/>
              <w:rPr>
                <w:rFonts w:hint="eastAsia"/>
                <w:bCs/>
                <w:color w:val="auto"/>
                <w:sz w:val="24"/>
              </w:rPr>
            </w:pPr>
            <w:r>
              <w:rPr>
                <w:rFonts w:hint="default" w:ascii="Times New Roman" w:hAnsi="Times New Roman" w:eastAsia="宋体" w:cs="Times New Roman"/>
                <w:bCs/>
                <w:color w:val="auto"/>
                <w:sz w:val="24"/>
              </w:rPr>
              <w:t>按照“工程分析”核算的有害气体无组织排放量，根据《大气有害物质无组织排放卫生防护距离推导技术导则》</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GB/T39499-2020</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的有关规定，当目标企业无组织排放存在多种有毒有害污染物时，基于单个污染物的等标排放量（Q</w:t>
            </w:r>
            <w:r>
              <w:rPr>
                <w:rFonts w:hint="default" w:ascii="Times New Roman" w:hAnsi="Times New Roman" w:eastAsia="宋体" w:cs="Times New Roman"/>
                <w:bCs/>
                <w:color w:val="auto"/>
                <w:sz w:val="24"/>
                <w:vertAlign w:val="subscript"/>
                <w:lang w:val="en-US" w:eastAsia="zh-CN"/>
              </w:rPr>
              <w:t>C</w:t>
            </w:r>
            <w:r>
              <w:rPr>
                <w:rFonts w:hint="default" w:ascii="Times New Roman" w:hAnsi="Times New Roman" w:eastAsia="宋体" w:cs="Times New Roman"/>
                <w:bCs/>
                <w:color w:val="auto"/>
                <w:sz w:val="24"/>
              </w:rPr>
              <w:t>/Cm）计算结果，优先选择等标排放量最大的污染物1～2种为企业无组织排放的主要特征大气有害物质。</w:t>
            </w:r>
            <w:r>
              <w:rPr>
                <w:rFonts w:hint="eastAsia" w:cs="Times New Roman"/>
                <w:bCs/>
                <w:color w:val="auto"/>
                <w:sz w:val="24"/>
                <w:lang w:eastAsia="zh-CN"/>
              </w:rPr>
              <w:t>本项目</w:t>
            </w:r>
            <w:r>
              <w:rPr>
                <w:rFonts w:hint="default" w:ascii="Times New Roman" w:hAnsi="Times New Roman" w:eastAsia="宋体" w:cs="Times New Roman"/>
                <w:bCs/>
                <w:color w:val="auto"/>
                <w:sz w:val="24"/>
              </w:rPr>
              <w:t>无组织污染物排放</w:t>
            </w:r>
            <w:r>
              <w:rPr>
                <w:rFonts w:hint="eastAsia" w:ascii="Times New Roman" w:hAnsi="Times New Roman" w:eastAsia="宋体" w:cs="Times New Roman"/>
                <w:bCs/>
                <w:color w:val="auto"/>
                <w:sz w:val="24"/>
                <w:lang w:eastAsia="zh-CN"/>
              </w:rPr>
              <w:t>源</w:t>
            </w:r>
            <w:r>
              <w:rPr>
                <w:rFonts w:hint="default" w:ascii="Times New Roman" w:hAnsi="Times New Roman" w:eastAsia="宋体" w:cs="Times New Roman"/>
                <w:bCs/>
                <w:color w:val="auto"/>
                <w:sz w:val="24"/>
              </w:rPr>
              <w:t>详见表</w:t>
            </w:r>
            <w:r>
              <w:rPr>
                <w:rFonts w:hint="eastAsia"/>
                <w:bCs/>
                <w:color w:val="auto"/>
                <w:sz w:val="24"/>
              </w:rPr>
              <w:t>4.1-</w:t>
            </w:r>
            <w:r>
              <w:rPr>
                <w:rFonts w:hint="eastAsia"/>
                <w:bCs/>
                <w:color w:val="auto"/>
                <w:sz w:val="24"/>
                <w:lang w:val="en-US" w:eastAsia="zh-CN"/>
              </w:rPr>
              <w:t>9</w:t>
            </w:r>
            <w:r>
              <w:rPr>
                <w:rFonts w:hint="eastAsia"/>
                <w:bCs/>
                <w:color w:val="auto"/>
                <w:sz w:val="24"/>
              </w:rPr>
              <w:t>。</w:t>
            </w:r>
          </w:p>
          <w:p w14:paraId="195692FE">
            <w:pPr>
              <w:keepNext w:val="0"/>
              <w:keepLines w:val="0"/>
              <w:widowControl/>
              <w:suppressLineNumbers w:val="0"/>
              <w:adjustRightInd w:val="0"/>
              <w:snapToGrid w:val="0"/>
              <w:spacing w:before="0" w:beforeAutospacing="0" w:after="0" w:afterAutospacing="0" w:line="240" w:lineRule="auto"/>
              <w:ind w:left="0" w:right="0" w:firstLine="482" w:firstLineChars="200"/>
              <w:jc w:val="center"/>
              <w:rPr>
                <w:rFonts w:hint="eastAsia" w:cs="Times New Roman"/>
                <w:b/>
                <w:bCs/>
                <w:color w:val="auto"/>
                <w:kern w:val="0"/>
                <w:sz w:val="24"/>
              </w:rPr>
            </w:pPr>
            <w:r>
              <w:rPr>
                <w:rFonts w:hint="default" w:cs="Times New Roman"/>
                <w:b/>
                <w:bCs/>
                <w:color w:val="auto"/>
                <w:kern w:val="0"/>
                <w:sz w:val="24"/>
              </w:rPr>
              <w:t>表4.1-</w:t>
            </w:r>
            <w:r>
              <w:rPr>
                <w:rFonts w:hint="eastAsia" w:cs="Times New Roman"/>
                <w:b/>
                <w:bCs/>
                <w:color w:val="auto"/>
                <w:kern w:val="0"/>
                <w:sz w:val="24"/>
                <w:lang w:val="en-US" w:eastAsia="zh-CN"/>
              </w:rPr>
              <w:t xml:space="preserve">9 </w:t>
            </w:r>
            <w:r>
              <w:rPr>
                <w:rFonts w:hint="default" w:cs="Times New Roman"/>
                <w:b/>
                <w:bCs/>
                <w:color w:val="auto"/>
                <w:kern w:val="0"/>
                <w:sz w:val="24"/>
              </w:rPr>
              <w:t>建设项目无组织废气</w:t>
            </w:r>
            <w:r>
              <w:rPr>
                <w:rFonts w:hint="eastAsia" w:cs="Times New Roman"/>
                <w:b/>
                <w:bCs/>
                <w:color w:val="auto"/>
                <w:kern w:val="0"/>
                <w:sz w:val="24"/>
                <w:lang w:eastAsia="zh-CN"/>
              </w:rPr>
              <w:t>达标</w:t>
            </w:r>
            <w:r>
              <w:rPr>
                <w:rFonts w:hint="default" w:cs="Times New Roman"/>
                <w:b/>
                <w:bCs/>
                <w:color w:val="auto"/>
                <w:kern w:val="0"/>
                <w:sz w:val="24"/>
              </w:rPr>
              <w:t>排放量计算结果一览表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1229"/>
              <w:gridCol w:w="1783"/>
              <w:gridCol w:w="2464"/>
              <w:gridCol w:w="1380"/>
            </w:tblGrid>
            <w:tr w14:paraId="08813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28" w:type="dxa"/>
                  <w:vAlign w:val="center"/>
                </w:tcPr>
                <w:p w14:paraId="6207DCC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b/>
                      <w:bCs/>
                      <w:color w:val="auto"/>
                      <w:sz w:val="18"/>
                      <w:szCs w:val="18"/>
                    </w:rPr>
                  </w:pPr>
                  <w:r>
                    <w:rPr>
                      <w:rFonts w:hint="default" w:cs="Times New Roman" w:eastAsiaTheme="minorEastAsia"/>
                      <w:b/>
                      <w:bCs/>
                      <w:color w:val="auto"/>
                      <w:sz w:val="18"/>
                      <w:szCs w:val="18"/>
                    </w:rPr>
                    <w:t>面源</w:t>
                  </w:r>
                </w:p>
              </w:tc>
              <w:tc>
                <w:tcPr>
                  <w:tcW w:w="1229" w:type="dxa"/>
                  <w:vAlign w:val="center"/>
                </w:tcPr>
                <w:p w14:paraId="71AFF98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b/>
                      <w:bCs/>
                      <w:color w:val="auto"/>
                      <w:sz w:val="18"/>
                      <w:szCs w:val="18"/>
                    </w:rPr>
                  </w:pPr>
                  <w:r>
                    <w:rPr>
                      <w:rFonts w:hint="default" w:cs="Times New Roman" w:eastAsiaTheme="minorEastAsia"/>
                      <w:b/>
                      <w:bCs/>
                      <w:color w:val="auto"/>
                      <w:sz w:val="18"/>
                      <w:szCs w:val="18"/>
                    </w:rPr>
                    <w:t>污染物</w:t>
                  </w:r>
                </w:p>
              </w:tc>
              <w:tc>
                <w:tcPr>
                  <w:tcW w:w="1783" w:type="dxa"/>
                  <w:vAlign w:val="center"/>
                </w:tcPr>
                <w:p w14:paraId="1B6335C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b/>
                      <w:bCs/>
                      <w:color w:val="auto"/>
                      <w:sz w:val="18"/>
                      <w:szCs w:val="18"/>
                    </w:rPr>
                  </w:pPr>
                  <w:r>
                    <w:rPr>
                      <w:rFonts w:hint="default" w:cs="Times New Roman" w:eastAsiaTheme="minorEastAsia"/>
                      <w:b/>
                      <w:bCs/>
                      <w:color w:val="auto"/>
                      <w:sz w:val="18"/>
                      <w:szCs w:val="18"/>
                    </w:rPr>
                    <w:t>源强Q</w:t>
                  </w:r>
                  <w:r>
                    <w:rPr>
                      <w:rFonts w:hint="default" w:cs="Times New Roman" w:eastAsiaTheme="minorEastAsia"/>
                      <w:b/>
                      <w:bCs/>
                      <w:color w:val="auto"/>
                      <w:sz w:val="18"/>
                      <w:szCs w:val="18"/>
                      <w:vertAlign w:val="baseline"/>
                    </w:rPr>
                    <w:t>c</w:t>
                  </w:r>
                  <w:r>
                    <w:rPr>
                      <w:rFonts w:hint="default" w:cs="Times New Roman" w:eastAsiaTheme="minorEastAsia"/>
                      <w:b/>
                      <w:bCs/>
                      <w:color w:val="auto"/>
                      <w:sz w:val="18"/>
                      <w:szCs w:val="18"/>
                    </w:rPr>
                    <w:t>（kg/h）</w:t>
                  </w:r>
                </w:p>
              </w:tc>
              <w:tc>
                <w:tcPr>
                  <w:tcW w:w="2464" w:type="dxa"/>
                  <w:vAlign w:val="center"/>
                </w:tcPr>
                <w:p w14:paraId="1701224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b/>
                      <w:bCs/>
                      <w:color w:val="auto"/>
                      <w:sz w:val="18"/>
                      <w:szCs w:val="18"/>
                    </w:rPr>
                  </w:pPr>
                  <w:r>
                    <w:rPr>
                      <w:rFonts w:hint="default" w:cs="Times New Roman" w:eastAsiaTheme="minorEastAsia"/>
                      <w:b/>
                      <w:bCs/>
                      <w:color w:val="auto"/>
                      <w:sz w:val="18"/>
                      <w:szCs w:val="18"/>
                    </w:rPr>
                    <w:t>标准限值C</w:t>
                  </w:r>
                  <w:r>
                    <w:rPr>
                      <w:rFonts w:hint="default" w:cs="Times New Roman" w:eastAsiaTheme="minorEastAsia"/>
                      <w:b/>
                      <w:bCs/>
                      <w:color w:val="auto"/>
                      <w:sz w:val="18"/>
                      <w:szCs w:val="18"/>
                      <w:vertAlign w:val="baseline"/>
                    </w:rPr>
                    <w:t>m</w:t>
                  </w:r>
                  <w:r>
                    <w:rPr>
                      <w:rFonts w:hint="default" w:cs="Times New Roman" w:eastAsiaTheme="minorEastAsia"/>
                      <w:b/>
                      <w:bCs/>
                      <w:color w:val="auto"/>
                      <w:sz w:val="18"/>
                      <w:szCs w:val="18"/>
                    </w:rPr>
                    <w:t>（mg/Nm</w:t>
                  </w:r>
                  <w:r>
                    <w:rPr>
                      <w:rFonts w:hint="default" w:cs="Times New Roman" w:eastAsiaTheme="minorEastAsia"/>
                      <w:b/>
                      <w:bCs/>
                      <w:color w:val="auto"/>
                      <w:sz w:val="18"/>
                      <w:szCs w:val="18"/>
                      <w:vertAlign w:val="superscript"/>
                    </w:rPr>
                    <w:t>3</w:t>
                  </w:r>
                  <w:r>
                    <w:rPr>
                      <w:rFonts w:hint="default" w:cs="Times New Roman" w:eastAsiaTheme="minorEastAsia"/>
                      <w:b/>
                      <w:bCs/>
                      <w:color w:val="auto"/>
                      <w:sz w:val="18"/>
                      <w:szCs w:val="18"/>
                    </w:rPr>
                    <w:t>）</w:t>
                  </w:r>
                </w:p>
              </w:tc>
              <w:tc>
                <w:tcPr>
                  <w:tcW w:w="1380" w:type="dxa"/>
                  <w:vAlign w:val="center"/>
                </w:tcPr>
                <w:p w14:paraId="45D7A61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b/>
                      <w:bCs/>
                      <w:color w:val="auto"/>
                      <w:sz w:val="18"/>
                      <w:szCs w:val="18"/>
                    </w:rPr>
                  </w:pPr>
                  <w:r>
                    <w:rPr>
                      <w:rFonts w:hint="default" w:cs="Times New Roman" w:eastAsiaTheme="minorEastAsia"/>
                      <w:b/>
                      <w:bCs/>
                      <w:color w:val="auto"/>
                      <w:sz w:val="18"/>
                      <w:szCs w:val="18"/>
                    </w:rPr>
                    <w:t>Q</w:t>
                  </w:r>
                  <w:r>
                    <w:rPr>
                      <w:rFonts w:hint="default" w:cs="Times New Roman" w:eastAsiaTheme="minorEastAsia"/>
                      <w:b/>
                      <w:bCs/>
                      <w:color w:val="auto"/>
                      <w:sz w:val="18"/>
                      <w:szCs w:val="18"/>
                      <w:vertAlign w:val="baseline"/>
                    </w:rPr>
                    <w:t>c</w:t>
                  </w:r>
                  <w:r>
                    <w:rPr>
                      <w:rFonts w:hint="default" w:cs="Times New Roman" w:eastAsiaTheme="minorEastAsia"/>
                      <w:b/>
                      <w:bCs/>
                      <w:color w:val="auto"/>
                      <w:sz w:val="18"/>
                      <w:szCs w:val="18"/>
                    </w:rPr>
                    <w:t xml:space="preserve"> /C</w:t>
                  </w:r>
                  <w:r>
                    <w:rPr>
                      <w:rFonts w:hint="default" w:cs="Times New Roman" w:eastAsiaTheme="minorEastAsia"/>
                      <w:b/>
                      <w:bCs/>
                      <w:color w:val="auto"/>
                      <w:sz w:val="18"/>
                      <w:szCs w:val="18"/>
                      <w:vertAlign w:val="baseline"/>
                    </w:rPr>
                    <w:t>m</w:t>
                  </w:r>
                </w:p>
              </w:tc>
            </w:tr>
            <w:tr w14:paraId="428A3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1228" w:type="dxa"/>
                  <w:vAlign w:val="center"/>
                </w:tcPr>
                <w:p w14:paraId="4825A77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eastAsiaTheme="minorEastAsia"/>
                      <w:color w:val="auto"/>
                      <w:sz w:val="18"/>
                      <w:szCs w:val="18"/>
                      <w:lang w:eastAsia="zh-CN"/>
                    </w:rPr>
                  </w:pPr>
                  <w:r>
                    <w:rPr>
                      <w:rFonts w:hint="eastAsia" w:cs="Times New Roman" w:eastAsiaTheme="minorEastAsia"/>
                      <w:color w:val="auto"/>
                      <w:sz w:val="18"/>
                      <w:szCs w:val="18"/>
                      <w:lang w:eastAsia="zh-CN"/>
                    </w:rPr>
                    <w:t>实验室</w:t>
                  </w:r>
                </w:p>
              </w:tc>
              <w:tc>
                <w:tcPr>
                  <w:tcW w:w="1229" w:type="dxa"/>
                  <w:vAlign w:val="center"/>
                </w:tcPr>
                <w:p w14:paraId="13249B5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color w:val="auto"/>
                      <w:sz w:val="18"/>
                      <w:szCs w:val="18"/>
                    </w:rPr>
                  </w:pPr>
                  <w:r>
                    <w:rPr>
                      <w:rFonts w:hint="default" w:cs="Times New Roman" w:eastAsiaTheme="minorEastAsia"/>
                      <w:color w:val="auto"/>
                      <w:sz w:val="18"/>
                      <w:szCs w:val="18"/>
                    </w:rPr>
                    <w:t>非甲烷总烃</w:t>
                  </w:r>
                </w:p>
              </w:tc>
              <w:tc>
                <w:tcPr>
                  <w:tcW w:w="1783" w:type="dxa"/>
                  <w:vAlign w:val="center"/>
                </w:tcPr>
                <w:p w14:paraId="091595BB">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eastAsiaTheme="minorEastAsia"/>
                      <w:bCs w:val="0"/>
                      <w:color w:val="auto"/>
                      <w:sz w:val="18"/>
                      <w:szCs w:val="18"/>
                    </w:rPr>
                  </w:pPr>
                  <w:r>
                    <w:rPr>
                      <w:rFonts w:hint="default" w:cs="Times New Roman" w:eastAsiaTheme="minorEastAsia"/>
                      <w:bCs w:val="0"/>
                      <w:color w:val="auto"/>
                      <w:sz w:val="18"/>
                      <w:szCs w:val="18"/>
                    </w:rPr>
                    <w:t>0.00</w:t>
                  </w:r>
                  <w:r>
                    <w:rPr>
                      <w:rFonts w:hint="eastAsia" w:cs="Times New Roman" w:eastAsiaTheme="minorEastAsia"/>
                      <w:bCs w:val="0"/>
                      <w:color w:val="auto"/>
                      <w:sz w:val="18"/>
                      <w:szCs w:val="18"/>
                      <w:lang w:val="en-US" w:eastAsia="zh-CN"/>
                    </w:rPr>
                    <w:t>4</w:t>
                  </w:r>
                </w:p>
              </w:tc>
              <w:tc>
                <w:tcPr>
                  <w:tcW w:w="2464" w:type="dxa"/>
                  <w:vAlign w:val="center"/>
                </w:tcPr>
                <w:p w14:paraId="24B3653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bCs w:val="0"/>
                      <w:color w:val="auto"/>
                      <w:sz w:val="18"/>
                      <w:szCs w:val="18"/>
                    </w:rPr>
                  </w:pPr>
                  <w:r>
                    <w:rPr>
                      <w:rFonts w:hint="default" w:cs="Times New Roman" w:eastAsiaTheme="minorEastAsia"/>
                      <w:bCs w:val="0"/>
                      <w:color w:val="auto"/>
                      <w:sz w:val="18"/>
                      <w:szCs w:val="18"/>
                    </w:rPr>
                    <w:t>2</w:t>
                  </w:r>
                </w:p>
              </w:tc>
              <w:tc>
                <w:tcPr>
                  <w:tcW w:w="1380" w:type="dxa"/>
                  <w:vAlign w:val="center"/>
                </w:tcPr>
                <w:p w14:paraId="20C051A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s="Times New Roman" w:eastAsiaTheme="minorEastAsia"/>
                      <w:bCs w:val="0"/>
                      <w:color w:val="auto"/>
                      <w:sz w:val="18"/>
                      <w:szCs w:val="18"/>
                    </w:rPr>
                  </w:pPr>
                  <w:r>
                    <w:rPr>
                      <w:rFonts w:hint="default" w:cs="Times New Roman" w:eastAsiaTheme="minorEastAsia"/>
                      <w:bCs w:val="0"/>
                      <w:color w:val="auto"/>
                      <w:sz w:val="18"/>
                      <w:szCs w:val="18"/>
                    </w:rPr>
                    <w:t>0.00</w:t>
                  </w:r>
                  <w:r>
                    <w:rPr>
                      <w:rFonts w:hint="eastAsia" w:cs="Times New Roman" w:eastAsiaTheme="minorEastAsia"/>
                      <w:bCs w:val="0"/>
                      <w:color w:val="auto"/>
                      <w:sz w:val="18"/>
                      <w:szCs w:val="18"/>
                      <w:lang w:val="en-US" w:eastAsia="zh-CN"/>
                    </w:rPr>
                    <w:t>2</w:t>
                  </w:r>
                </w:p>
              </w:tc>
            </w:tr>
          </w:tbl>
          <w:p w14:paraId="58BD2F02">
            <w:pPr>
              <w:keepNext w:val="0"/>
              <w:keepLines w:val="0"/>
              <w:widowControl/>
              <w:suppressLineNumbers w:val="0"/>
              <w:adjustRightInd w:val="0"/>
              <w:snapToGrid w:val="0"/>
              <w:spacing w:before="0" w:beforeAutospacing="0" w:after="0" w:afterAutospacing="0"/>
              <w:ind w:left="0" w:right="0"/>
              <w:jc w:val="left"/>
              <w:rPr>
                <w:rFonts w:hint="default" w:cs="Times New Roman"/>
                <w:bCs w:val="0"/>
                <w:color w:val="auto"/>
                <w:sz w:val="18"/>
                <w:szCs w:val="18"/>
              </w:rPr>
            </w:pPr>
            <w:r>
              <w:rPr>
                <w:rFonts w:hint="default" w:cs="Times New Roman"/>
                <w:bCs w:val="0"/>
                <w:color w:val="auto"/>
                <w:sz w:val="18"/>
                <w:szCs w:val="18"/>
              </w:rPr>
              <w:t>注：由《大气污染物综合排放标准详解》P</w:t>
            </w:r>
            <w:r>
              <w:rPr>
                <w:rFonts w:hint="default" w:cs="Times New Roman"/>
                <w:bCs w:val="0"/>
                <w:color w:val="auto"/>
                <w:sz w:val="18"/>
                <w:szCs w:val="18"/>
                <w:vertAlign w:val="baseline"/>
              </w:rPr>
              <w:t>244</w:t>
            </w:r>
            <w:r>
              <w:rPr>
                <w:rFonts w:hint="default" w:cs="Times New Roman"/>
                <w:bCs w:val="0"/>
                <w:color w:val="auto"/>
                <w:sz w:val="18"/>
                <w:szCs w:val="18"/>
              </w:rPr>
              <w:t>可知，非甲烷总烃的C</w:t>
            </w:r>
            <w:r>
              <w:rPr>
                <w:rFonts w:hint="default" w:cs="Times New Roman"/>
                <w:bCs w:val="0"/>
                <w:color w:val="auto"/>
                <w:sz w:val="18"/>
                <w:szCs w:val="18"/>
                <w:vertAlign w:val="baseline"/>
              </w:rPr>
              <w:t>m</w:t>
            </w:r>
            <w:r>
              <w:rPr>
                <w:rFonts w:hint="default" w:cs="Times New Roman"/>
                <w:bCs w:val="0"/>
                <w:color w:val="auto"/>
                <w:sz w:val="18"/>
                <w:szCs w:val="18"/>
              </w:rPr>
              <w:t>为2mg/Nm</w:t>
            </w:r>
            <w:r>
              <w:rPr>
                <w:rFonts w:hint="default" w:cs="Times New Roman"/>
                <w:bCs w:val="0"/>
                <w:color w:val="auto"/>
                <w:sz w:val="18"/>
                <w:szCs w:val="18"/>
                <w:vertAlign w:val="superscript"/>
              </w:rPr>
              <w:t>3</w:t>
            </w:r>
            <w:r>
              <w:rPr>
                <w:rFonts w:hint="default" w:cs="Times New Roman"/>
                <w:bCs w:val="0"/>
                <w:color w:val="auto"/>
                <w:sz w:val="18"/>
                <w:szCs w:val="18"/>
              </w:rPr>
              <w:t>。</w:t>
            </w:r>
          </w:p>
          <w:p w14:paraId="57CB52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color w:val="auto"/>
              </w:rPr>
            </w:pPr>
            <w:r>
              <w:rPr>
                <w:rFonts w:hint="eastAsia"/>
                <w:color w:val="auto"/>
              </w:rPr>
              <w:t>根据《大气有害物质无组织排放卫生防护距离推导技术导则》(GB/T39499-2020</w:t>
            </w:r>
            <w:r>
              <w:rPr>
                <w:rFonts w:hint="eastAsia"/>
                <w:color w:val="auto"/>
                <w:lang w:eastAsia="zh-CN"/>
              </w:rPr>
              <w:t>）</w:t>
            </w:r>
            <w:r>
              <w:rPr>
                <w:rFonts w:hint="eastAsia"/>
                <w:color w:val="auto"/>
              </w:rPr>
              <w:t>的有关规定，</w:t>
            </w:r>
            <w:r>
              <w:rPr>
                <w:rFonts w:hint="eastAsia"/>
                <w:color w:val="auto"/>
                <w:lang w:eastAsia="zh-CN"/>
              </w:rPr>
              <w:t>本项目</w:t>
            </w:r>
            <w:r>
              <w:rPr>
                <w:rFonts w:hint="eastAsia"/>
                <w:color w:val="auto"/>
              </w:rPr>
              <w:t>无组织排放有害气体的生产单元（</w:t>
            </w:r>
            <w:r>
              <w:rPr>
                <w:rFonts w:hint="eastAsia"/>
                <w:color w:val="auto"/>
                <w:lang w:eastAsia="zh-CN"/>
              </w:rPr>
              <w:t>实验室</w:t>
            </w:r>
            <w:r>
              <w:rPr>
                <w:rFonts w:hint="eastAsia"/>
                <w:color w:val="auto"/>
              </w:rPr>
              <w:t>）与敏感区之间应设置卫生防护距离，计算公式如下：</w:t>
            </w:r>
          </w:p>
          <w:p w14:paraId="326281C8">
            <w:pPr>
              <w:keepNext w:val="0"/>
              <w:keepLines w:val="0"/>
              <w:suppressLineNumbers w:val="0"/>
              <w:spacing w:before="156" w:beforeAutospacing="0" w:after="0" w:afterAutospacing="0"/>
              <w:ind w:left="0" w:right="0" w:firstLine="480"/>
              <w:jc w:val="center"/>
              <w:rPr>
                <w:rFonts w:hint="eastAsia"/>
                <w:color w:val="auto"/>
              </w:rPr>
            </w:pPr>
            <w:r>
              <w:rPr>
                <w:rFonts w:hint="eastAsia"/>
                <w:color w:val="auto"/>
              </w:rPr>
              <w:object>
                <v:shape id="_x0000_i1027" o:spt="75" type="#_x0000_t75" style="height:36.4pt;width:144pt;" o:ole="t" fillcolor="#6D6D6D"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p>
          <w:p w14:paraId="758DB3CA">
            <w:pPr>
              <w:keepNext w:val="0"/>
              <w:keepLines w:val="0"/>
              <w:suppressLineNumbers w:val="0"/>
              <w:spacing w:before="0" w:beforeAutospacing="0" w:after="0" w:afterAutospacing="0"/>
              <w:ind w:left="0" w:right="0" w:firstLine="480"/>
              <w:rPr>
                <w:rFonts w:hint="eastAsia"/>
                <w:color w:val="auto"/>
              </w:rPr>
            </w:pPr>
            <w:r>
              <w:rPr>
                <w:rFonts w:hint="eastAsia"/>
                <w:color w:val="auto"/>
              </w:rPr>
              <w:t>式中：Qc——大气有害物质的无组织排放量，单位为千克每小时（kg/h）；</w:t>
            </w:r>
          </w:p>
          <w:p w14:paraId="0E7D2AD0">
            <w:pPr>
              <w:keepNext w:val="0"/>
              <w:keepLines w:val="0"/>
              <w:suppressLineNumbers w:val="0"/>
              <w:spacing w:before="0" w:beforeAutospacing="0" w:after="0" w:afterAutospacing="0"/>
              <w:ind w:left="0" w:right="0" w:firstLine="480"/>
              <w:rPr>
                <w:rFonts w:hint="eastAsia"/>
                <w:color w:val="auto"/>
              </w:rPr>
            </w:pPr>
            <w:r>
              <w:rPr>
                <w:rFonts w:hint="eastAsia"/>
                <w:color w:val="auto"/>
              </w:rPr>
              <w:tab/>
            </w:r>
            <w:r>
              <w:rPr>
                <w:rFonts w:hint="eastAsia"/>
                <w:color w:val="auto"/>
              </w:rPr>
              <w:t>Cm——大气有害物质环境空气质量的标准限值，单位为毫克每立方米（mg/m</w:t>
            </w:r>
            <w:r>
              <w:rPr>
                <w:rFonts w:hint="eastAsia"/>
                <w:color w:val="auto"/>
                <w:vertAlign w:val="superscript"/>
              </w:rPr>
              <w:t>3</w:t>
            </w:r>
            <w:r>
              <w:rPr>
                <w:rFonts w:hint="eastAsia"/>
                <w:color w:val="auto"/>
              </w:rPr>
              <w:t>）；</w:t>
            </w:r>
          </w:p>
          <w:p w14:paraId="737F241F">
            <w:pPr>
              <w:keepNext w:val="0"/>
              <w:keepLines w:val="0"/>
              <w:suppressLineNumbers w:val="0"/>
              <w:spacing w:before="0" w:beforeAutospacing="0" w:after="0" w:afterAutospacing="0"/>
              <w:ind w:left="0" w:right="0" w:firstLine="480"/>
              <w:rPr>
                <w:rFonts w:hint="eastAsia"/>
                <w:color w:val="auto"/>
              </w:rPr>
            </w:pPr>
            <w:r>
              <w:rPr>
                <w:rFonts w:hint="eastAsia"/>
                <w:color w:val="auto"/>
              </w:rPr>
              <w:tab/>
            </w:r>
            <w:r>
              <w:rPr>
                <w:rFonts w:hint="eastAsia"/>
                <w:color w:val="auto"/>
              </w:rPr>
              <w:t>L——大气有害物质卫生防护距离初值，单位为米（m）；</w:t>
            </w:r>
          </w:p>
          <w:p w14:paraId="105CC292">
            <w:pPr>
              <w:keepNext w:val="0"/>
              <w:keepLines w:val="0"/>
              <w:suppressLineNumbers w:val="0"/>
              <w:spacing w:before="0" w:beforeAutospacing="0" w:after="0" w:afterAutospacing="0"/>
              <w:ind w:left="0" w:right="0" w:firstLine="480"/>
              <w:rPr>
                <w:rFonts w:hint="eastAsia"/>
                <w:color w:val="auto"/>
              </w:rPr>
            </w:pPr>
            <w:r>
              <w:rPr>
                <w:rFonts w:hint="eastAsia"/>
                <w:color w:val="auto"/>
              </w:rPr>
              <w:tab/>
            </w:r>
            <w:r>
              <w:rPr>
                <w:rFonts w:hint="eastAsia"/>
                <w:color w:val="auto"/>
              </w:rPr>
              <w:sym w:font="Symbol" w:char="F067"/>
            </w:r>
            <w:r>
              <w:rPr>
                <w:rFonts w:hint="eastAsia"/>
                <w:color w:val="auto"/>
              </w:rPr>
              <w:t>——大气有害物质无组织排放源所在生产单元的等效半径，单位为米（m），</w:t>
            </w:r>
            <w:r>
              <w:rPr>
                <w:rFonts w:hint="eastAsia"/>
                <w:color w:val="auto"/>
              </w:rPr>
              <w:sym w:font="Symbol" w:char="F067"/>
            </w:r>
            <w:r>
              <w:rPr>
                <w:rFonts w:hint="eastAsia"/>
                <w:color w:val="auto"/>
              </w:rPr>
              <w:t xml:space="preserve"> = (S/</w:t>
            </w:r>
            <w:r>
              <w:rPr>
                <w:rFonts w:hint="eastAsia"/>
                <w:color w:val="auto"/>
              </w:rPr>
              <w:sym w:font="Symbol" w:char="F070"/>
            </w:r>
            <w:r>
              <w:rPr>
                <w:rFonts w:hint="eastAsia"/>
                <w:color w:val="auto"/>
              </w:rPr>
              <w:t>)0.5m；</w:t>
            </w:r>
          </w:p>
          <w:p w14:paraId="69ABBDC9">
            <w:pPr>
              <w:keepNext w:val="0"/>
              <w:keepLines w:val="0"/>
              <w:suppressLineNumbers w:val="0"/>
              <w:spacing w:before="0" w:beforeAutospacing="0" w:after="0" w:afterAutospacing="0"/>
              <w:ind w:left="0" w:right="0" w:firstLine="720" w:firstLineChars="300"/>
              <w:rPr>
                <w:rFonts w:hint="eastAsia"/>
                <w:color w:val="auto"/>
              </w:rPr>
            </w:pPr>
            <w:r>
              <w:rPr>
                <w:rFonts w:hint="eastAsia"/>
                <w:color w:val="auto"/>
              </w:rPr>
              <w:t>A</w:t>
            </w:r>
            <w:r>
              <w:rPr>
                <w:rFonts w:hint="eastAsia"/>
                <w:color w:val="auto"/>
                <w:lang w:eastAsia="zh-CN"/>
              </w:rPr>
              <w:t>.</w:t>
            </w:r>
            <w:r>
              <w:rPr>
                <w:rFonts w:hint="eastAsia"/>
                <w:color w:val="auto"/>
              </w:rPr>
              <w:t>B、C、D——卫生防护距离初值计算系数，无因次，根据</w:t>
            </w:r>
            <w:r>
              <w:rPr>
                <w:rFonts w:hint="eastAsia"/>
                <w:color w:val="auto"/>
                <w:lang w:eastAsia="zh-CN"/>
              </w:rPr>
              <w:t>建设单位</w:t>
            </w:r>
            <w:r>
              <w:rPr>
                <w:rFonts w:hint="eastAsia"/>
                <w:color w:val="auto"/>
              </w:rPr>
              <w:t>所在地区近5年平均风速及大气污染源构成类别从下表查取。</w:t>
            </w:r>
          </w:p>
          <w:p w14:paraId="1AAB48E6">
            <w:pPr>
              <w:keepNext w:val="0"/>
              <w:keepLines w:val="0"/>
              <w:suppressLineNumbers w:val="0"/>
              <w:spacing w:before="0" w:beforeAutospacing="0" w:after="0" w:afterAutospacing="0"/>
              <w:ind w:left="0" w:right="0" w:firstLine="480"/>
              <w:rPr>
                <w:rFonts w:hint="eastAsia"/>
                <w:color w:val="auto"/>
              </w:rPr>
            </w:pPr>
            <w:r>
              <w:rPr>
                <w:rFonts w:hint="default" w:ascii="Times New Roman" w:hAnsi="Times New Roman" w:eastAsia="宋体" w:cs="Times New Roman"/>
                <w:color w:val="auto"/>
              </w:rPr>
              <w:t>淮安</w:t>
            </w:r>
            <w:r>
              <w:rPr>
                <w:rFonts w:hint="eastAsia" w:cs="Times New Roman"/>
                <w:color w:val="auto"/>
                <w:lang w:eastAsia="zh-CN"/>
              </w:rPr>
              <w:t>市</w:t>
            </w:r>
            <w:r>
              <w:rPr>
                <w:rFonts w:hint="default" w:ascii="Times New Roman" w:hAnsi="Times New Roman" w:eastAsia="宋体" w:cs="Times New Roman"/>
                <w:color w:val="auto"/>
              </w:rPr>
              <w:t>近5年平均风速为2.56m/s</w:t>
            </w:r>
            <w:r>
              <w:rPr>
                <w:rFonts w:hint="eastAsia"/>
                <w:color w:val="auto"/>
              </w:rPr>
              <w:t>，</w:t>
            </w:r>
            <w:r>
              <w:rPr>
                <w:rFonts w:hint="eastAsia"/>
                <w:color w:val="auto"/>
                <w:lang w:eastAsia="zh-CN"/>
              </w:rPr>
              <w:t>建设项目</w:t>
            </w:r>
            <w:r>
              <w:rPr>
                <w:rFonts w:hint="eastAsia"/>
                <w:color w:val="auto"/>
              </w:rPr>
              <w:t>卫生防护距离计算系数取值见下表。</w:t>
            </w:r>
          </w:p>
          <w:p w14:paraId="7E1558AA">
            <w:pPr>
              <w:keepNext w:val="0"/>
              <w:keepLines w:val="0"/>
              <w:suppressLineNumbers w:val="0"/>
              <w:spacing w:before="0" w:beforeAutospacing="0" w:after="0" w:afterAutospacing="0" w:line="240" w:lineRule="auto"/>
              <w:ind w:left="0" w:right="0" w:firstLine="0" w:firstLineChars="0"/>
              <w:jc w:val="center"/>
              <w:rPr>
                <w:rFonts w:hint="eastAsia"/>
                <w:b/>
                <w:bCs/>
                <w:color w:val="auto"/>
              </w:rPr>
            </w:pPr>
            <w:r>
              <w:rPr>
                <w:rFonts w:hint="eastAsia"/>
                <w:b/>
                <w:bCs/>
                <w:color w:val="auto"/>
              </w:rPr>
              <w:t>表4.1-1</w:t>
            </w:r>
            <w:r>
              <w:rPr>
                <w:rFonts w:hint="eastAsia"/>
                <w:b/>
                <w:bCs/>
                <w:color w:val="auto"/>
                <w:lang w:val="en-US" w:eastAsia="zh-CN"/>
              </w:rPr>
              <w:t xml:space="preserve">0 </w:t>
            </w:r>
            <w:r>
              <w:rPr>
                <w:rFonts w:hint="eastAsia"/>
                <w:b/>
                <w:bCs/>
                <w:color w:val="auto"/>
              </w:rPr>
              <w:t>卫生防护距离计算系数</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81"/>
              <w:gridCol w:w="1023"/>
              <w:gridCol w:w="580"/>
              <w:gridCol w:w="705"/>
              <w:gridCol w:w="702"/>
              <w:gridCol w:w="702"/>
              <w:gridCol w:w="702"/>
              <w:gridCol w:w="703"/>
              <w:gridCol w:w="702"/>
              <w:gridCol w:w="702"/>
              <w:gridCol w:w="682"/>
            </w:tblGrid>
            <w:tr w14:paraId="10885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8" w:hRule="atLeast"/>
                <w:jc w:val="center"/>
              </w:trPr>
              <w:tc>
                <w:tcPr>
                  <w:tcW w:w="545" w:type="pct"/>
                  <w:vMerge w:val="restart"/>
                  <w:vAlign w:val="center"/>
                </w:tcPr>
                <w:p w14:paraId="3A9E87E4">
                  <w:pPr>
                    <w:keepNext w:val="0"/>
                    <w:keepLines w:val="0"/>
                    <w:suppressLineNumbers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卫生防护距离初值计算系数</w:t>
                  </w:r>
                </w:p>
              </w:tc>
              <w:tc>
                <w:tcPr>
                  <w:tcW w:w="633" w:type="pct"/>
                  <w:vMerge w:val="restart"/>
                  <w:vAlign w:val="center"/>
                </w:tcPr>
                <w:p w14:paraId="4B324CE7">
                  <w:pPr>
                    <w:keepNext w:val="0"/>
                    <w:keepLines w:val="0"/>
                    <w:suppressLineNumbers w:val="0"/>
                    <w:spacing w:before="0" w:beforeAutospacing="0" w:after="0" w:afterAutospacing="0" w:line="240" w:lineRule="auto"/>
                    <w:ind w:left="0" w:right="0" w:firstLine="0" w:firstLineChars="0"/>
                    <w:jc w:val="center"/>
                    <w:rPr>
                      <w:rFonts w:hint="eastAsia"/>
                      <w:b/>
                      <w:bCs/>
                      <w:color w:val="auto"/>
                      <w:sz w:val="18"/>
                      <w:szCs w:val="18"/>
                    </w:rPr>
                  </w:pPr>
                  <w:r>
                    <w:rPr>
                      <w:rFonts w:hint="eastAsia"/>
                      <w:b/>
                      <w:bCs/>
                      <w:color w:val="auto"/>
                      <w:sz w:val="18"/>
                      <w:szCs w:val="18"/>
                    </w:rPr>
                    <w:t>工业企业所在地区近5年平均风速</w:t>
                  </w:r>
                  <w:r>
                    <w:rPr>
                      <w:rFonts w:hint="eastAsia"/>
                      <w:b/>
                      <w:bCs/>
                      <w:color w:val="auto"/>
                      <w:sz w:val="18"/>
                      <w:szCs w:val="18"/>
                      <w:lang w:eastAsia="zh-CN"/>
                    </w:rPr>
                    <w:t>（</w:t>
                  </w:r>
                  <w:r>
                    <w:rPr>
                      <w:rFonts w:hint="eastAsia"/>
                      <w:b/>
                      <w:bCs/>
                      <w:color w:val="auto"/>
                      <w:sz w:val="18"/>
                      <w:szCs w:val="18"/>
                    </w:rPr>
                    <w:t>m/s</w:t>
                  </w:r>
                  <w:r>
                    <w:rPr>
                      <w:rFonts w:hint="eastAsia"/>
                      <w:b/>
                      <w:bCs/>
                      <w:color w:val="auto"/>
                      <w:sz w:val="18"/>
                      <w:szCs w:val="18"/>
                      <w:lang w:eastAsia="zh-CN"/>
                    </w:rPr>
                    <w:t>）</w:t>
                  </w:r>
                </w:p>
              </w:tc>
              <w:tc>
                <w:tcPr>
                  <w:tcW w:w="3821" w:type="pct"/>
                  <w:gridSpan w:val="9"/>
                  <w:vAlign w:val="center"/>
                </w:tcPr>
                <w:p w14:paraId="2EC08363">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b/>
                      <w:bCs/>
                      <w:color w:val="auto"/>
                      <w:sz w:val="18"/>
                      <w:szCs w:val="18"/>
                    </w:rPr>
                    <w:t>卫生防护距离L/m</w:t>
                  </w:r>
                </w:p>
              </w:tc>
            </w:tr>
            <w:tr w14:paraId="076D6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3" w:hRule="atLeast"/>
                <w:jc w:val="center"/>
              </w:trPr>
              <w:tc>
                <w:tcPr>
                  <w:tcW w:w="545" w:type="pct"/>
                  <w:vMerge w:val="continue"/>
                  <w:vAlign w:val="center"/>
                </w:tcPr>
                <w:p w14:paraId="358FF9AB">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633" w:type="pct"/>
                  <w:vMerge w:val="continue"/>
                  <w:vAlign w:val="center"/>
                </w:tcPr>
                <w:p w14:paraId="1E6A97A2">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1229" w:type="pct"/>
                  <w:gridSpan w:val="3"/>
                  <w:vAlign w:val="center"/>
                </w:tcPr>
                <w:p w14:paraId="304F2576">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L≤1000</w:t>
                  </w:r>
                </w:p>
              </w:tc>
              <w:tc>
                <w:tcPr>
                  <w:tcW w:w="1303" w:type="pct"/>
                  <w:gridSpan w:val="3"/>
                  <w:vAlign w:val="center"/>
                </w:tcPr>
                <w:p w14:paraId="4A1D6DA3">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1000</w:t>
                  </w:r>
                  <w:r>
                    <w:rPr>
                      <w:rFonts w:hint="eastAsia"/>
                      <w:color w:val="auto"/>
                      <w:sz w:val="18"/>
                      <w:szCs w:val="18"/>
                      <w:lang w:eastAsia="zh-CN"/>
                    </w:rPr>
                    <w:t>&lt;</w:t>
                  </w:r>
                  <w:r>
                    <w:rPr>
                      <w:rFonts w:hint="eastAsia"/>
                      <w:color w:val="auto"/>
                      <w:sz w:val="18"/>
                      <w:szCs w:val="18"/>
                    </w:rPr>
                    <w:t>L≤2000</w:t>
                  </w:r>
                </w:p>
              </w:tc>
              <w:tc>
                <w:tcPr>
                  <w:tcW w:w="1288" w:type="pct"/>
                  <w:gridSpan w:val="3"/>
                  <w:vAlign w:val="center"/>
                </w:tcPr>
                <w:p w14:paraId="2B7D8AE5">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L</w:t>
                  </w:r>
                  <w:r>
                    <w:rPr>
                      <w:rFonts w:hint="eastAsia"/>
                      <w:color w:val="auto"/>
                      <w:sz w:val="18"/>
                      <w:szCs w:val="18"/>
                      <w:lang w:eastAsia="zh-CN"/>
                    </w:rPr>
                    <w:t>&gt;</w:t>
                  </w:r>
                  <w:r>
                    <w:rPr>
                      <w:rFonts w:hint="eastAsia"/>
                      <w:color w:val="auto"/>
                      <w:sz w:val="18"/>
                      <w:szCs w:val="18"/>
                    </w:rPr>
                    <w:t>2000</w:t>
                  </w:r>
                </w:p>
              </w:tc>
            </w:tr>
            <w:tr w14:paraId="177B2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5" w:type="pct"/>
                  <w:vMerge w:val="continue"/>
                  <w:vAlign w:val="center"/>
                </w:tcPr>
                <w:p w14:paraId="59519E41">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633" w:type="pct"/>
                  <w:vMerge w:val="continue"/>
                  <w:vAlign w:val="center"/>
                </w:tcPr>
                <w:p w14:paraId="05422CFE">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3821" w:type="pct"/>
                  <w:gridSpan w:val="9"/>
                  <w:vAlign w:val="center"/>
                </w:tcPr>
                <w:p w14:paraId="55B6D63E">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b/>
                      <w:bCs/>
                      <w:color w:val="auto"/>
                      <w:sz w:val="18"/>
                      <w:szCs w:val="18"/>
                    </w:rPr>
                    <w:t>工业企业大气污染源构成类别</w:t>
                  </w:r>
                </w:p>
              </w:tc>
            </w:tr>
            <w:tr w14:paraId="0E6DF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2" w:hRule="atLeast"/>
                <w:jc w:val="center"/>
              </w:trPr>
              <w:tc>
                <w:tcPr>
                  <w:tcW w:w="545" w:type="pct"/>
                  <w:vMerge w:val="continue"/>
                  <w:vAlign w:val="center"/>
                </w:tcPr>
                <w:p w14:paraId="676F425F">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633" w:type="pct"/>
                  <w:vMerge w:val="continue"/>
                  <w:vAlign w:val="center"/>
                </w:tcPr>
                <w:p w14:paraId="123046F6">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359" w:type="pct"/>
                  <w:vAlign w:val="center"/>
                </w:tcPr>
                <w:p w14:paraId="30DDC17A">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Ⅰ</w:t>
                  </w:r>
                </w:p>
              </w:tc>
              <w:tc>
                <w:tcPr>
                  <w:tcW w:w="436" w:type="pct"/>
                  <w:vAlign w:val="center"/>
                </w:tcPr>
                <w:p w14:paraId="3F805A0F">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Ⅱ</w:t>
                  </w:r>
                </w:p>
              </w:tc>
              <w:tc>
                <w:tcPr>
                  <w:tcW w:w="434" w:type="pct"/>
                  <w:vAlign w:val="center"/>
                </w:tcPr>
                <w:p w14:paraId="1A75058F">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Ⅲ</w:t>
                  </w:r>
                </w:p>
              </w:tc>
              <w:tc>
                <w:tcPr>
                  <w:tcW w:w="434" w:type="pct"/>
                  <w:vAlign w:val="center"/>
                </w:tcPr>
                <w:p w14:paraId="512DC6D6">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Ⅰ</w:t>
                  </w:r>
                </w:p>
              </w:tc>
              <w:tc>
                <w:tcPr>
                  <w:tcW w:w="434" w:type="pct"/>
                  <w:vAlign w:val="center"/>
                </w:tcPr>
                <w:p w14:paraId="4E7D6B0F">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Ⅱ</w:t>
                  </w:r>
                </w:p>
              </w:tc>
              <w:tc>
                <w:tcPr>
                  <w:tcW w:w="434" w:type="pct"/>
                  <w:vAlign w:val="center"/>
                </w:tcPr>
                <w:p w14:paraId="25B94E2B">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Ⅲ</w:t>
                  </w:r>
                </w:p>
              </w:tc>
              <w:tc>
                <w:tcPr>
                  <w:tcW w:w="434" w:type="pct"/>
                  <w:vAlign w:val="center"/>
                </w:tcPr>
                <w:p w14:paraId="2F413CDE">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Ⅰ</w:t>
                  </w:r>
                </w:p>
              </w:tc>
              <w:tc>
                <w:tcPr>
                  <w:tcW w:w="434" w:type="pct"/>
                  <w:vAlign w:val="center"/>
                </w:tcPr>
                <w:p w14:paraId="1E941492">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Ⅱ</w:t>
                  </w:r>
                </w:p>
              </w:tc>
              <w:tc>
                <w:tcPr>
                  <w:tcW w:w="419" w:type="pct"/>
                  <w:vAlign w:val="center"/>
                </w:tcPr>
                <w:p w14:paraId="2F6FBAAB">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Ⅲ</w:t>
                  </w:r>
                </w:p>
              </w:tc>
            </w:tr>
            <w:tr w14:paraId="0C9E6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545" w:type="pct"/>
                  <w:vMerge w:val="restart"/>
                  <w:vAlign w:val="center"/>
                </w:tcPr>
                <w:p w14:paraId="752A8D42">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A</w:t>
                  </w:r>
                </w:p>
              </w:tc>
              <w:tc>
                <w:tcPr>
                  <w:tcW w:w="633" w:type="pct"/>
                  <w:vAlign w:val="center"/>
                </w:tcPr>
                <w:p w14:paraId="38CDC0CC">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&lt;2</w:t>
                  </w:r>
                </w:p>
              </w:tc>
              <w:tc>
                <w:tcPr>
                  <w:tcW w:w="359" w:type="pct"/>
                  <w:vAlign w:val="center"/>
                </w:tcPr>
                <w:p w14:paraId="25774E54">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400</w:t>
                  </w:r>
                </w:p>
              </w:tc>
              <w:tc>
                <w:tcPr>
                  <w:tcW w:w="436" w:type="pct"/>
                  <w:vAlign w:val="center"/>
                </w:tcPr>
                <w:p w14:paraId="197CA7BE">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400</w:t>
                  </w:r>
                </w:p>
              </w:tc>
              <w:tc>
                <w:tcPr>
                  <w:tcW w:w="434" w:type="pct"/>
                  <w:vAlign w:val="center"/>
                </w:tcPr>
                <w:p w14:paraId="6BDF54FC">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400</w:t>
                  </w:r>
                </w:p>
              </w:tc>
              <w:tc>
                <w:tcPr>
                  <w:tcW w:w="434" w:type="pct"/>
                  <w:vAlign w:val="center"/>
                </w:tcPr>
                <w:p w14:paraId="646E1EB7">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400</w:t>
                  </w:r>
                </w:p>
              </w:tc>
              <w:tc>
                <w:tcPr>
                  <w:tcW w:w="434" w:type="pct"/>
                  <w:vAlign w:val="center"/>
                </w:tcPr>
                <w:p w14:paraId="5B987AB1">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400</w:t>
                  </w:r>
                </w:p>
              </w:tc>
              <w:tc>
                <w:tcPr>
                  <w:tcW w:w="434" w:type="pct"/>
                  <w:vAlign w:val="center"/>
                </w:tcPr>
                <w:p w14:paraId="5B5D2862">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400</w:t>
                  </w:r>
                </w:p>
              </w:tc>
              <w:tc>
                <w:tcPr>
                  <w:tcW w:w="434" w:type="pct"/>
                  <w:vAlign w:val="center"/>
                </w:tcPr>
                <w:p w14:paraId="317C77A7">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80</w:t>
                  </w:r>
                </w:p>
              </w:tc>
              <w:tc>
                <w:tcPr>
                  <w:tcW w:w="434" w:type="pct"/>
                  <w:vAlign w:val="center"/>
                </w:tcPr>
                <w:p w14:paraId="2379F72C">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80</w:t>
                  </w:r>
                </w:p>
              </w:tc>
              <w:tc>
                <w:tcPr>
                  <w:tcW w:w="419" w:type="pct"/>
                  <w:vAlign w:val="center"/>
                </w:tcPr>
                <w:p w14:paraId="00F3B88C">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80</w:t>
                  </w:r>
                </w:p>
              </w:tc>
            </w:tr>
            <w:tr w14:paraId="5A07F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545" w:type="pct"/>
                  <w:vMerge w:val="continue"/>
                  <w:vAlign w:val="center"/>
                </w:tcPr>
                <w:p w14:paraId="0B12816D">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633" w:type="pct"/>
                  <w:vAlign w:val="center"/>
                </w:tcPr>
                <w:p w14:paraId="0E2023AE">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2~4</w:t>
                  </w:r>
                </w:p>
              </w:tc>
              <w:tc>
                <w:tcPr>
                  <w:tcW w:w="359" w:type="pct"/>
                  <w:vAlign w:val="center"/>
                </w:tcPr>
                <w:p w14:paraId="41246A11">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700</w:t>
                  </w:r>
                </w:p>
              </w:tc>
              <w:tc>
                <w:tcPr>
                  <w:tcW w:w="436" w:type="pct"/>
                  <w:vAlign w:val="center"/>
                </w:tcPr>
                <w:p w14:paraId="029C41B4">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470*</w:t>
                  </w:r>
                </w:p>
              </w:tc>
              <w:tc>
                <w:tcPr>
                  <w:tcW w:w="434" w:type="pct"/>
                  <w:vAlign w:val="center"/>
                </w:tcPr>
                <w:p w14:paraId="5D651947">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350</w:t>
                  </w:r>
                </w:p>
              </w:tc>
              <w:tc>
                <w:tcPr>
                  <w:tcW w:w="434" w:type="pct"/>
                  <w:vAlign w:val="center"/>
                </w:tcPr>
                <w:p w14:paraId="027076C2">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700</w:t>
                  </w:r>
                </w:p>
              </w:tc>
              <w:tc>
                <w:tcPr>
                  <w:tcW w:w="434" w:type="pct"/>
                  <w:vAlign w:val="center"/>
                </w:tcPr>
                <w:p w14:paraId="26E531B7">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470</w:t>
                  </w:r>
                </w:p>
              </w:tc>
              <w:tc>
                <w:tcPr>
                  <w:tcW w:w="434" w:type="pct"/>
                  <w:vAlign w:val="center"/>
                </w:tcPr>
                <w:p w14:paraId="14F28A29">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350</w:t>
                  </w:r>
                </w:p>
              </w:tc>
              <w:tc>
                <w:tcPr>
                  <w:tcW w:w="434" w:type="pct"/>
                  <w:vAlign w:val="center"/>
                </w:tcPr>
                <w:p w14:paraId="16631504">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380</w:t>
                  </w:r>
                </w:p>
              </w:tc>
              <w:tc>
                <w:tcPr>
                  <w:tcW w:w="434" w:type="pct"/>
                  <w:vAlign w:val="center"/>
                </w:tcPr>
                <w:p w14:paraId="7AB7482F">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250</w:t>
                  </w:r>
                </w:p>
              </w:tc>
              <w:tc>
                <w:tcPr>
                  <w:tcW w:w="419" w:type="pct"/>
                  <w:vAlign w:val="center"/>
                </w:tcPr>
                <w:p w14:paraId="2CA69538">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190</w:t>
                  </w:r>
                </w:p>
              </w:tc>
            </w:tr>
            <w:tr w14:paraId="694D2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545" w:type="pct"/>
                  <w:vMerge w:val="continue"/>
                  <w:vAlign w:val="center"/>
                </w:tcPr>
                <w:p w14:paraId="2E0C2499">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633" w:type="pct"/>
                  <w:vAlign w:val="center"/>
                </w:tcPr>
                <w:p w14:paraId="71B0B8A8">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&gt;4</w:t>
                  </w:r>
                </w:p>
              </w:tc>
              <w:tc>
                <w:tcPr>
                  <w:tcW w:w="359" w:type="pct"/>
                  <w:vAlign w:val="center"/>
                </w:tcPr>
                <w:p w14:paraId="437D9844">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530</w:t>
                  </w:r>
                </w:p>
              </w:tc>
              <w:tc>
                <w:tcPr>
                  <w:tcW w:w="436" w:type="pct"/>
                  <w:vAlign w:val="center"/>
                </w:tcPr>
                <w:p w14:paraId="0C5565E6">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350</w:t>
                  </w:r>
                </w:p>
              </w:tc>
              <w:tc>
                <w:tcPr>
                  <w:tcW w:w="434" w:type="pct"/>
                  <w:vAlign w:val="center"/>
                </w:tcPr>
                <w:p w14:paraId="1C30EF2E">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260</w:t>
                  </w:r>
                </w:p>
              </w:tc>
              <w:tc>
                <w:tcPr>
                  <w:tcW w:w="434" w:type="pct"/>
                  <w:vAlign w:val="center"/>
                </w:tcPr>
                <w:p w14:paraId="52FF953C">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530</w:t>
                  </w:r>
                </w:p>
              </w:tc>
              <w:tc>
                <w:tcPr>
                  <w:tcW w:w="434" w:type="pct"/>
                  <w:vAlign w:val="center"/>
                </w:tcPr>
                <w:p w14:paraId="2201B658">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350</w:t>
                  </w:r>
                </w:p>
              </w:tc>
              <w:tc>
                <w:tcPr>
                  <w:tcW w:w="434" w:type="pct"/>
                  <w:vAlign w:val="center"/>
                </w:tcPr>
                <w:p w14:paraId="173F495C">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260</w:t>
                  </w:r>
                </w:p>
              </w:tc>
              <w:tc>
                <w:tcPr>
                  <w:tcW w:w="434" w:type="pct"/>
                  <w:vAlign w:val="center"/>
                </w:tcPr>
                <w:p w14:paraId="4374E257">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290</w:t>
                  </w:r>
                </w:p>
              </w:tc>
              <w:tc>
                <w:tcPr>
                  <w:tcW w:w="434" w:type="pct"/>
                  <w:vAlign w:val="center"/>
                </w:tcPr>
                <w:p w14:paraId="40BC852D">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190</w:t>
                  </w:r>
                </w:p>
              </w:tc>
              <w:tc>
                <w:tcPr>
                  <w:tcW w:w="419" w:type="pct"/>
                  <w:vAlign w:val="center"/>
                </w:tcPr>
                <w:p w14:paraId="280C8500">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110</w:t>
                  </w:r>
                </w:p>
              </w:tc>
            </w:tr>
            <w:tr w14:paraId="163E1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545" w:type="pct"/>
                  <w:vMerge w:val="restart"/>
                  <w:vAlign w:val="center"/>
                </w:tcPr>
                <w:p w14:paraId="03D6F8F8">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B</w:t>
                  </w:r>
                </w:p>
              </w:tc>
              <w:tc>
                <w:tcPr>
                  <w:tcW w:w="633" w:type="pct"/>
                  <w:vAlign w:val="center"/>
                </w:tcPr>
                <w:p w14:paraId="59EEA7CB">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&lt;2</w:t>
                  </w:r>
                </w:p>
              </w:tc>
              <w:tc>
                <w:tcPr>
                  <w:tcW w:w="1229" w:type="pct"/>
                  <w:gridSpan w:val="3"/>
                  <w:vAlign w:val="center"/>
                </w:tcPr>
                <w:p w14:paraId="231E42BD">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0.01</w:t>
                  </w:r>
                </w:p>
              </w:tc>
              <w:tc>
                <w:tcPr>
                  <w:tcW w:w="1303" w:type="pct"/>
                  <w:gridSpan w:val="3"/>
                  <w:vAlign w:val="center"/>
                </w:tcPr>
                <w:p w14:paraId="2D0BA658">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0.015</w:t>
                  </w:r>
                </w:p>
              </w:tc>
              <w:tc>
                <w:tcPr>
                  <w:tcW w:w="1288" w:type="pct"/>
                  <w:gridSpan w:val="3"/>
                  <w:vAlign w:val="center"/>
                </w:tcPr>
                <w:p w14:paraId="5F8732F0">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0.015</w:t>
                  </w:r>
                </w:p>
              </w:tc>
            </w:tr>
            <w:tr w14:paraId="409AD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545" w:type="pct"/>
                  <w:vMerge w:val="continue"/>
                  <w:vAlign w:val="center"/>
                </w:tcPr>
                <w:p w14:paraId="55700505">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633" w:type="pct"/>
                  <w:vAlign w:val="center"/>
                </w:tcPr>
                <w:p w14:paraId="52B36B1F">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&gt;2</w:t>
                  </w:r>
                </w:p>
              </w:tc>
              <w:tc>
                <w:tcPr>
                  <w:tcW w:w="1229" w:type="pct"/>
                  <w:gridSpan w:val="3"/>
                  <w:vAlign w:val="center"/>
                </w:tcPr>
                <w:p w14:paraId="1990D26E">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0.021*</w:t>
                  </w:r>
                </w:p>
              </w:tc>
              <w:tc>
                <w:tcPr>
                  <w:tcW w:w="1303" w:type="pct"/>
                  <w:gridSpan w:val="3"/>
                  <w:vAlign w:val="center"/>
                </w:tcPr>
                <w:p w14:paraId="106FC9A3">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0.036</w:t>
                  </w:r>
                </w:p>
              </w:tc>
              <w:tc>
                <w:tcPr>
                  <w:tcW w:w="1288" w:type="pct"/>
                  <w:gridSpan w:val="3"/>
                  <w:vAlign w:val="center"/>
                </w:tcPr>
                <w:p w14:paraId="7D9FA0E7">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0.036</w:t>
                  </w:r>
                </w:p>
              </w:tc>
            </w:tr>
            <w:tr w14:paraId="2AFA9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545" w:type="pct"/>
                  <w:vMerge w:val="restart"/>
                  <w:vAlign w:val="center"/>
                </w:tcPr>
                <w:p w14:paraId="39436E6A">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C</w:t>
                  </w:r>
                </w:p>
              </w:tc>
              <w:tc>
                <w:tcPr>
                  <w:tcW w:w="633" w:type="pct"/>
                  <w:vAlign w:val="center"/>
                </w:tcPr>
                <w:p w14:paraId="25B14FE6">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&lt;2</w:t>
                  </w:r>
                </w:p>
              </w:tc>
              <w:tc>
                <w:tcPr>
                  <w:tcW w:w="1229" w:type="pct"/>
                  <w:gridSpan w:val="3"/>
                  <w:vAlign w:val="center"/>
                </w:tcPr>
                <w:p w14:paraId="0812E8CC">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1.85</w:t>
                  </w:r>
                </w:p>
              </w:tc>
              <w:tc>
                <w:tcPr>
                  <w:tcW w:w="1303" w:type="pct"/>
                  <w:gridSpan w:val="3"/>
                  <w:vAlign w:val="center"/>
                </w:tcPr>
                <w:p w14:paraId="625CDF78">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1.79</w:t>
                  </w:r>
                </w:p>
              </w:tc>
              <w:tc>
                <w:tcPr>
                  <w:tcW w:w="1288" w:type="pct"/>
                  <w:gridSpan w:val="3"/>
                  <w:vAlign w:val="center"/>
                </w:tcPr>
                <w:p w14:paraId="5E74D031">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1.79</w:t>
                  </w:r>
                </w:p>
              </w:tc>
            </w:tr>
            <w:tr w14:paraId="0AD14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545" w:type="pct"/>
                  <w:vMerge w:val="continue"/>
                  <w:vAlign w:val="center"/>
                </w:tcPr>
                <w:p w14:paraId="64069DF4">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633" w:type="pct"/>
                  <w:vAlign w:val="center"/>
                </w:tcPr>
                <w:p w14:paraId="783936E9">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&gt;2</w:t>
                  </w:r>
                </w:p>
              </w:tc>
              <w:tc>
                <w:tcPr>
                  <w:tcW w:w="1229" w:type="pct"/>
                  <w:gridSpan w:val="3"/>
                  <w:vAlign w:val="center"/>
                </w:tcPr>
                <w:p w14:paraId="7CC57833">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1.85*</w:t>
                  </w:r>
                </w:p>
              </w:tc>
              <w:tc>
                <w:tcPr>
                  <w:tcW w:w="1303" w:type="pct"/>
                  <w:gridSpan w:val="3"/>
                  <w:vAlign w:val="center"/>
                </w:tcPr>
                <w:p w14:paraId="747BEB69">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1.77</w:t>
                  </w:r>
                </w:p>
              </w:tc>
              <w:tc>
                <w:tcPr>
                  <w:tcW w:w="1288" w:type="pct"/>
                  <w:gridSpan w:val="3"/>
                  <w:vAlign w:val="center"/>
                </w:tcPr>
                <w:p w14:paraId="5640F2B4">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1.77</w:t>
                  </w:r>
                </w:p>
              </w:tc>
            </w:tr>
            <w:tr w14:paraId="79B7C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5" w:hRule="atLeast"/>
                <w:jc w:val="center"/>
              </w:trPr>
              <w:tc>
                <w:tcPr>
                  <w:tcW w:w="545" w:type="pct"/>
                  <w:vMerge w:val="restart"/>
                  <w:vAlign w:val="center"/>
                </w:tcPr>
                <w:p w14:paraId="4509BB34">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D</w:t>
                  </w:r>
                </w:p>
              </w:tc>
              <w:tc>
                <w:tcPr>
                  <w:tcW w:w="633" w:type="pct"/>
                  <w:vAlign w:val="center"/>
                </w:tcPr>
                <w:p w14:paraId="3A8FB113">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&lt;2</w:t>
                  </w:r>
                </w:p>
              </w:tc>
              <w:tc>
                <w:tcPr>
                  <w:tcW w:w="1229" w:type="pct"/>
                  <w:gridSpan w:val="3"/>
                  <w:vAlign w:val="center"/>
                </w:tcPr>
                <w:p w14:paraId="58986D12">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0.78</w:t>
                  </w:r>
                </w:p>
              </w:tc>
              <w:tc>
                <w:tcPr>
                  <w:tcW w:w="1303" w:type="pct"/>
                  <w:gridSpan w:val="3"/>
                  <w:vAlign w:val="center"/>
                </w:tcPr>
                <w:p w14:paraId="63721870">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0.78</w:t>
                  </w:r>
                </w:p>
              </w:tc>
              <w:tc>
                <w:tcPr>
                  <w:tcW w:w="1288" w:type="pct"/>
                  <w:gridSpan w:val="3"/>
                  <w:vAlign w:val="center"/>
                </w:tcPr>
                <w:p w14:paraId="12874987">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0.57</w:t>
                  </w:r>
                </w:p>
              </w:tc>
            </w:tr>
            <w:tr w14:paraId="66758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8" w:hRule="atLeast"/>
                <w:jc w:val="center"/>
              </w:trPr>
              <w:tc>
                <w:tcPr>
                  <w:tcW w:w="545" w:type="pct"/>
                  <w:vMerge w:val="continue"/>
                  <w:vAlign w:val="center"/>
                </w:tcPr>
                <w:p w14:paraId="76031169">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p>
              </w:tc>
              <w:tc>
                <w:tcPr>
                  <w:tcW w:w="633" w:type="pct"/>
                  <w:vAlign w:val="center"/>
                </w:tcPr>
                <w:p w14:paraId="5010202C">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&gt;2</w:t>
                  </w:r>
                </w:p>
              </w:tc>
              <w:tc>
                <w:tcPr>
                  <w:tcW w:w="1229" w:type="pct"/>
                  <w:gridSpan w:val="3"/>
                  <w:vAlign w:val="center"/>
                </w:tcPr>
                <w:p w14:paraId="270D10CE">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0.84*</w:t>
                  </w:r>
                </w:p>
              </w:tc>
              <w:tc>
                <w:tcPr>
                  <w:tcW w:w="1303" w:type="pct"/>
                  <w:gridSpan w:val="3"/>
                  <w:vAlign w:val="center"/>
                </w:tcPr>
                <w:p w14:paraId="18B73059">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0.84</w:t>
                  </w:r>
                </w:p>
              </w:tc>
              <w:tc>
                <w:tcPr>
                  <w:tcW w:w="1288" w:type="pct"/>
                  <w:gridSpan w:val="3"/>
                  <w:vAlign w:val="center"/>
                </w:tcPr>
                <w:p w14:paraId="7183AC06">
                  <w:pPr>
                    <w:keepNext w:val="0"/>
                    <w:keepLines w:val="0"/>
                    <w:suppressLineNumbers w:val="0"/>
                    <w:spacing w:before="0" w:beforeAutospacing="0" w:after="0" w:afterAutospacing="0" w:line="240" w:lineRule="auto"/>
                    <w:ind w:left="0" w:right="0" w:firstLine="0" w:firstLineChars="0"/>
                    <w:jc w:val="center"/>
                    <w:rPr>
                      <w:rFonts w:hint="eastAsia"/>
                      <w:color w:val="auto"/>
                      <w:sz w:val="18"/>
                      <w:szCs w:val="18"/>
                    </w:rPr>
                  </w:pPr>
                  <w:r>
                    <w:rPr>
                      <w:rFonts w:hint="eastAsia"/>
                      <w:color w:val="auto"/>
                      <w:sz w:val="18"/>
                      <w:szCs w:val="18"/>
                    </w:rPr>
                    <w:t>0.76</w:t>
                  </w:r>
                </w:p>
              </w:tc>
            </w:tr>
            <w:tr w14:paraId="73E3B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11"/>
                  <w:vAlign w:val="center"/>
                </w:tcPr>
                <w:p w14:paraId="76704CFA">
                  <w:pPr>
                    <w:keepNext w:val="0"/>
                    <w:keepLines w:val="0"/>
                    <w:suppressLineNumbers w:val="0"/>
                    <w:spacing w:before="0" w:beforeAutospacing="0" w:after="0" w:afterAutospacing="0" w:line="240" w:lineRule="auto"/>
                    <w:ind w:left="0" w:right="0" w:firstLine="0" w:firstLineChars="0"/>
                    <w:jc w:val="left"/>
                    <w:rPr>
                      <w:rFonts w:hint="eastAsia"/>
                      <w:color w:val="auto"/>
                      <w:sz w:val="18"/>
                      <w:szCs w:val="18"/>
                    </w:rPr>
                  </w:pPr>
                  <w:r>
                    <w:rPr>
                      <w:rFonts w:hint="eastAsia"/>
                      <w:color w:val="auto"/>
                      <w:sz w:val="18"/>
                      <w:szCs w:val="18"/>
                    </w:rPr>
                    <w:t>注：Ⅰ类：与无组织排放源共存的排放同种有害气体的排气筒的排放量，大于或等于标准规定的允许排放量的1/3者。</w:t>
                  </w:r>
                </w:p>
                <w:p w14:paraId="116606E0">
                  <w:pPr>
                    <w:keepNext w:val="0"/>
                    <w:keepLines w:val="0"/>
                    <w:suppressLineNumbers w:val="0"/>
                    <w:spacing w:before="0" w:beforeAutospacing="0" w:after="0" w:afterAutospacing="0" w:line="240" w:lineRule="auto"/>
                    <w:ind w:left="0" w:right="0" w:firstLine="0" w:firstLineChars="0"/>
                    <w:jc w:val="left"/>
                    <w:rPr>
                      <w:rFonts w:hint="eastAsia"/>
                      <w:color w:val="auto"/>
                      <w:sz w:val="18"/>
                      <w:szCs w:val="18"/>
                    </w:rPr>
                  </w:pPr>
                  <w:r>
                    <w:rPr>
                      <w:rFonts w:hint="eastAsia"/>
                      <w:color w:val="auto"/>
                      <w:sz w:val="18"/>
                      <w:szCs w:val="18"/>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1306CCE9">
                  <w:pPr>
                    <w:keepNext w:val="0"/>
                    <w:keepLines w:val="0"/>
                    <w:suppressLineNumbers w:val="0"/>
                    <w:spacing w:before="0" w:beforeAutospacing="0" w:after="0" w:afterAutospacing="0" w:line="240" w:lineRule="auto"/>
                    <w:ind w:left="0" w:right="0" w:firstLine="0" w:firstLineChars="0"/>
                    <w:jc w:val="left"/>
                    <w:rPr>
                      <w:rFonts w:hint="eastAsia"/>
                      <w:color w:val="auto"/>
                      <w:sz w:val="18"/>
                      <w:szCs w:val="18"/>
                    </w:rPr>
                  </w:pPr>
                  <w:r>
                    <w:rPr>
                      <w:rFonts w:hint="eastAsia"/>
                      <w:color w:val="auto"/>
                      <w:sz w:val="18"/>
                      <w:szCs w:val="18"/>
                    </w:rPr>
                    <w:t>Ⅲ类：无排放同种有害物质的排气筒与无组织排放源共存，但无组织排放的有害物质的容许排放是按慢性反应指标确定者。</w:t>
                  </w:r>
                </w:p>
              </w:tc>
            </w:tr>
          </w:tbl>
          <w:p w14:paraId="2153C164">
            <w:pPr>
              <w:keepNext w:val="0"/>
              <w:keepLines w:val="0"/>
              <w:suppressLineNumbers w:val="0"/>
              <w:spacing w:before="0" w:beforeAutospacing="0" w:after="0" w:afterAutospacing="0" w:line="240" w:lineRule="auto"/>
              <w:ind w:left="0" w:right="0" w:firstLine="0" w:firstLineChars="0"/>
              <w:rPr>
                <w:rFonts w:hint="eastAsia" w:hAnsi="宋体"/>
                <w:snapToGrid w:val="0"/>
                <w:color w:val="auto"/>
                <w:sz w:val="18"/>
                <w:szCs w:val="18"/>
              </w:rPr>
            </w:pPr>
            <w:r>
              <w:rPr>
                <w:rFonts w:hint="eastAsia" w:hAnsi="宋体"/>
                <w:snapToGrid w:val="0"/>
                <w:color w:val="auto"/>
                <w:sz w:val="18"/>
                <w:szCs w:val="18"/>
              </w:rPr>
              <w:t>注：*表示</w:t>
            </w:r>
            <w:r>
              <w:rPr>
                <w:rFonts w:hint="eastAsia" w:hAnsi="宋体"/>
                <w:snapToGrid w:val="0"/>
                <w:color w:val="auto"/>
                <w:sz w:val="18"/>
                <w:szCs w:val="18"/>
                <w:lang w:eastAsia="zh-CN"/>
              </w:rPr>
              <w:t>建设项目</w:t>
            </w:r>
            <w:r>
              <w:rPr>
                <w:rFonts w:hint="eastAsia" w:hAnsi="宋体"/>
                <w:snapToGrid w:val="0"/>
                <w:color w:val="auto"/>
                <w:sz w:val="18"/>
                <w:szCs w:val="18"/>
              </w:rPr>
              <w:t>取值。</w:t>
            </w:r>
          </w:p>
          <w:p w14:paraId="21373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hAnsi="宋体"/>
                <w:b/>
                <w:bCs/>
                <w:color w:val="auto"/>
              </w:rPr>
            </w:pPr>
            <w:r>
              <w:rPr>
                <w:rFonts w:hint="eastAsia"/>
                <w:color w:val="auto"/>
                <w:lang w:val="en-US" w:eastAsia="zh-CN"/>
              </w:rPr>
              <w:t>建设项目</w:t>
            </w:r>
            <w:r>
              <w:rPr>
                <w:rFonts w:hint="eastAsia"/>
                <w:color w:val="auto"/>
              </w:rPr>
              <w:t>卫生防护距离计算结果见下表</w:t>
            </w:r>
            <w:r>
              <w:rPr>
                <w:rFonts w:hint="eastAsia" w:hAnsi="宋体"/>
                <w:color w:val="auto"/>
              </w:rPr>
              <w:t>。</w:t>
            </w:r>
          </w:p>
          <w:p w14:paraId="22FE3100">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bCs/>
                <w:color w:val="auto"/>
              </w:rPr>
            </w:pPr>
            <w:r>
              <w:rPr>
                <w:rFonts w:hint="eastAsia" w:hAnsi="宋体"/>
                <w:b/>
                <w:bCs/>
                <w:color w:val="auto"/>
              </w:rPr>
              <w:t>表</w:t>
            </w:r>
            <w:r>
              <w:rPr>
                <w:rFonts w:hint="eastAsia"/>
                <w:b/>
                <w:bCs/>
                <w:color w:val="auto"/>
              </w:rPr>
              <w:t>4.1-1</w:t>
            </w:r>
            <w:r>
              <w:rPr>
                <w:rFonts w:hint="eastAsia"/>
                <w:b/>
                <w:bCs/>
                <w:color w:val="auto"/>
                <w:lang w:val="en-US" w:eastAsia="zh-CN"/>
              </w:rPr>
              <w:t>1 建设项目</w:t>
            </w:r>
            <w:r>
              <w:rPr>
                <w:rFonts w:hint="eastAsia" w:hAnsi="宋体"/>
                <w:b/>
                <w:bCs/>
                <w:color w:val="auto"/>
              </w:rPr>
              <w:t>卫生防护距离计算结果</w:t>
            </w:r>
          </w:p>
          <w:tbl>
            <w:tblPr>
              <w:tblStyle w:val="24"/>
              <w:tblW w:w="81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87"/>
              <w:gridCol w:w="1051"/>
              <w:gridCol w:w="901"/>
              <w:gridCol w:w="1020"/>
              <w:gridCol w:w="1230"/>
              <w:gridCol w:w="1269"/>
              <w:gridCol w:w="1775"/>
            </w:tblGrid>
            <w:tr w14:paraId="3A1EE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4" w:hRule="atLeast"/>
              </w:trPr>
              <w:tc>
                <w:tcPr>
                  <w:tcW w:w="1191" w:type="pct"/>
                  <w:gridSpan w:val="2"/>
                  <w:vMerge w:val="restart"/>
                  <w:vAlign w:val="center"/>
                </w:tcPr>
                <w:p w14:paraId="719394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r>
                    <w:rPr>
                      <w:rFonts w:hint="eastAsia" w:hAnsi="宋体"/>
                      <w:b/>
                      <w:bCs/>
                      <w:color w:val="auto"/>
                      <w:sz w:val="18"/>
                      <w:szCs w:val="18"/>
                    </w:rPr>
                    <w:t>污染物</w:t>
                  </w:r>
                </w:p>
              </w:tc>
              <w:tc>
                <w:tcPr>
                  <w:tcW w:w="554" w:type="pct"/>
                  <w:vMerge w:val="restart"/>
                  <w:vAlign w:val="center"/>
                </w:tcPr>
                <w:p w14:paraId="176ECB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r>
                    <w:rPr>
                      <w:rFonts w:hint="eastAsia" w:hAnsi="宋体"/>
                      <w:b/>
                      <w:bCs/>
                      <w:color w:val="auto"/>
                      <w:sz w:val="18"/>
                      <w:szCs w:val="18"/>
                    </w:rPr>
                    <w:t>源强Q</w:t>
                  </w:r>
                  <w:r>
                    <w:rPr>
                      <w:rFonts w:hint="eastAsia" w:hAnsi="宋体"/>
                      <w:b/>
                      <w:bCs/>
                      <w:color w:val="auto"/>
                      <w:sz w:val="18"/>
                      <w:szCs w:val="18"/>
                      <w:vertAlign w:val="subscript"/>
                    </w:rPr>
                    <w:t>c</w:t>
                  </w:r>
                  <w:r>
                    <w:rPr>
                      <w:rFonts w:hint="eastAsia" w:hAnsi="宋体"/>
                      <w:b/>
                      <w:bCs/>
                      <w:color w:val="auto"/>
                      <w:sz w:val="18"/>
                      <w:szCs w:val="18"/>
                    </w:rPr>
                    <w:t>（kg/h）</w:t>
                  </w:r>
                </w:p>
              </w:tc>
              <w:tc>
                <w:tcPr>
                  <w:tcW w:w="627" w:type="pct"/>
                  <w:vMerge w:val="restart"/>
                  <w:vAlign w:val="center"/>
                </w:tcPr>
                <w:p w14:paraId="217560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hAnsi="宋体"/>
                      <w:b/>
                      <w:bCs/>
                      <w:color w:val="auto"/>
                      <w:sz w:val="18"/>
                      <w:szCs w:val="18"/>
                    </w:rPr>
                  </w:pPr>
                  <w:r>
                    <w:rPr>
                      <w:rFonts w:hint="eastAsia" w:hAnsi="宋体"/>
                      <w:b/>
                      <w:bCs/>
                      <w:color w:val="auto"/>
                      <w:sz w:val="18"/>
                      <w:szCs w:val="18"/>
                    </w:rPr>
                    <w:t>排放源面积</w:t>
                  </w:r>
                </w:p>
                <w:p w14:paraId="455970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hAnsi="宋体"/>
                      <w:b/>
                      <w:bCs/>
                      <w:color w:val="auto"/>
                      <w:sz w:val="18"/>
                      <w:szCs w:val="18"/>
                    </w:rPr>
                  </w:pPr>
                  <w:r>
                    <w:rPr>
                      <w:rFonts w:hint="eastAsia" w:hAnsi="宋体"/>
                      <w:b/>
                      <w:bCs/>
                      <w:color w:val="auto"/>
                      <w:sz w:val="18"/>
                      <w:szCs w:val="18"/>
                      <w:lang w:eastAsia="zh-CN"/>
                    </w:rPr>
                    <w:t>(</w:t>
                  </w:r>
                  <w:r>
                    <w:rPr>
                      <w:rFonts w:hint="eastAsia" w:hAnsi="宋体"/>
                      <w:b/>
                      <w:bCs/>
                      <w:color w:val="auto"/>
                      <w:sz w:val="18"/>
                      <w:szCs w:val="18"/>
                    </w:rPr>
                    <w:t>m</w:t>
                  </w:r>
                  <w:r>
                    <w:rPr>
                      <w:rFonts w:hint="eastAsia" w:hAnsi="宋体"/>
                      <w:b/>
                      <w:bCs/>
                      <w:color w:val="auto"/>
                      <w:sz w:val="18"/>
                      <w:szCs w:val="18"/>
                      <w:vertAlign w:val="superscript"/>
                    </w:rPr>
                    <w:t>2</w:t>
                  </w:r>
                  <w:r>
                    <w:rPr>
                      <w:rFonts w:hint="eastAsia" w:hAnsi="宋体"/>
                      <w:b/>
                      <w:bCs/>
                      <w:color w:val="auto"/>
                      <w:sz w:val="18"/>
                      <w:szCs w:val="18"/>
                      <w:vertAlign w:val="superscript"/>
                      <w:lang w:eastAsia="zh-CN"/>
                    </w:rPr>
                    <w:t>)</w:t>
                  </w:r>
                </w:p>
              </w:tc>
              <w:tc>
                <w:tcPr>
                  <w:tcW w:w="756" w:type="pct"/>
                  <w:vMerge w:val="restart"/>
                  <w:vAlign w:val="center"/>
                </w:tcPr>
                <w:p w14:paraId="3CD0B1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hAnsi="宋体"/>
                      <w:b/>
                      <w:bCs/>
                      <w:color w:val="auto"/>
                      <w:sz w:val="18"/>
                      <w:szCs w:val="18"/>
                    </w:rPr>
                  </w:pPr>
                  <w:r>
                    <w:rPr>
                      <w:rFonts w:hint="eastAsia" w:hAnsi="宋体"/>
                      <w:b/>
                      <w:bCs/>
                      <w:color w:val="auto"/>
                      <w:sz w:val="18"/>
                      <w:szCs w:val="18"/>
                    </w:rPr>
                    <w:t>标准限值C</w:t>
                  </w:r>
                  <w:r>
                    <w:rPr>
                      <w:rFonts w:hint="eastAsia" w:hAnsi="宋体"/>
                      <w:b/>
                      <w:bCs/>
                      <w:color w:val="auto"/>
                      <w:sz w:val="18"/>
                      <w:szCs w:val="18"/>
                      <w:vertAlign w:val="subscript"/>
                    </w:rPr>
                    <w:t>m</w:t>
                  </w:r>
                </w:p>
                <w:p w14:paraId="77DB95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hAnsi="宋体"/>
                      <w:b/>
                      <w:bCs/>
                      <w:color w:val="auto"/>
                      <w:sz w:val="18"/>
                      <w:szCs w:val="18"/>
                    </w:rPr>
                  </w:pPr>
                  <w:r>
                    <w:rPr>
                      <w:rFonts w:hint="eastAsia" w:hAnsi="宋体"/>
                      <w:b/>
                      <w:bCs/>
                      <w:color w:val="auto"/>
                      <w:sz w:val="18"/>
                      <w:szCs w:val="18"/>
                      <w:lang w:eastAsia="zh-CN"/>
                    </w:rPr>
                    <w:t>(</w:t>
                  </w:r>
                  <w:r>
                    <w:rPr>
                      <w:rFonts w:hint="eastAsia" w:hAnsi="宋体"/>
                      <w:b/>
                      <w:bCs/>
                      <w:color w:val="auto"/>
                      <w:sz w:val="18"/>
                      <w:szCs w:val="18"/>
                    </w:rPr>
                    <w:t>mg/Nm</w:t>
                  </w:r>
                  <w:r>
                    <w:rPr>
                      <w:rFonts w:hint="eastAsia" w:hAnsi="宋体"/>
                      <w:b/>
                      <w:bCs/>
                      <w:color w:val="auto"/>
                      <w:sz w:val="18"/>
                      <w:szCs w:val="18"/>
                      <w:vertAlign w:val="superscript"/>
                    </w:rPr>
                    <w:t>3</w:t>
                  </w:r>
                  <w:r>
                    <w:rPr>
                      <w:rFonts w:hint="eastAsia" w:hAnsi="宋体"/>
                      <w:b/>
                      <w:bCs/>
                      <w:color w:val="auto"/>
                      <w:sz w:val="18"/>
                      <w:szCs w:val="18"/>
                      <w:vertAlign w:val="superscript"/>
                      <w:lang w:eastAsia="zh-CN"/>
                    </w:rPr>
                    <w:t>)</w:t>
                  </w:r>
                </w:p>
              </w:tc>
              <w:tc>
                <w:tcPr>
                  <w:tcW w:w="1870" w:type="pct"/>
                  <w:gridSpan w:val="2"/>
                  <w:vAlign w:val="center"/>
                </w:tcPr>
                <w:p w14:paraId="13643C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hAnsi="宋体"/>
                      <w:b/>
                      <w:bCs/>
                      <w:color w:val="auto"/>
                      <w:sz w:val="18"/>
                      <w:szCs w:val="18"/>
                    </w:rPr>
                  </w:pPr>
                  <w:r>
                    <w:rPr>
                      <w:rFonts w:hint="eastAsia" w:hAnsi="宋体"/>
                      <w:b/>
                      <w:bCs/>
                      <w:color w:val="auto"/>
                      <w:sz w:val="18"/>
                      <w:szCs w:val="18"/>
                    </w:rPr>
                    <w:t>卫生防护距离L（</w:t>
                  </w:r>
                  <w:r>
                    <w:rPr>
                      <w:rFonts w:hint="eastAsia"/>
                      <w:b/>
                      <w:bCs/>
                      <w:color w:val="auto"/>
                      <w:sz w:val="18"/>
                      <w:szCs w:val="18"/>
                    </w:rPr>
                    <w:t>m</w:t>
                  </w:r>
                  <w:r>
                    <w:rPr>
                      <w:rFonts w:hint="eastAsia" w:hAnsi="宋体"/>
                      <w:b/>
                      <w:bCs/>
                      <w:color w:val="auto"/>
                      <w:sz w:val="18"/>
                      <w:szCs w:val="18"/>
                    </w:rPr>
                    <w:t>）</w:t>
                  </w:r>
                </w:p>
              </w:tc>
            </w:tr>
            <w:tr w14:paraId="70329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5" w:hRule="atLeast"/>
              </w:trPr>
              <w:tc>
                <w:tcPr>
                  <w:tcW w:w="1191" w:type="pct"/>
                  <w:gridSpan w:val="2"/>
                  <w:vMerge w:val="continue"/>
                  <w:vAlign w:val="center"/>
                </w:tcPr>
                <w:p w14:paraId="2F67F2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p>
              </w:tc>
              <w:tc>
                <w:tcPr>
                  <w:tcW w:w="554" w:type="pct"/>
                  <w:vMerge w:val="continue"/>
                  <w:vAlign w:val="center"/>
                </w:tcPr>
                <w:p w14:paraId="5011D5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p>
              </w:tc>
              <w:tc>
                <w:tcPr>
                  <w:tcW w:w="627" w:type="pct"/>
                  <w:vMerge w:val="continue"/>
                  <w:vAlign w:val="center"/>
                </w:tcPr>
                <w:p w14:paraId="60A372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p>
              </w:tc>
              <w:tc>
                <w:tcPr>
                  <w:tcW w:w="756" w:type="pct"/>
                  <w:vMerge w:val="continue"/>
                  <w:vAlign w:val="center"/>
                </w:tcPr>
                <w:p w14:paraId="14D05A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p>
              </w:tc>
              <w:tc>
                <w:tcPr>
                  <w:tcW w:w="780" w:type="pct"/>
                  <w:vAlign w:val="center"/>
                </w:tcPr>
                <w:p w14:paraId="146F0E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r>
                    <w:rPr>
                      <w:rFonts w:hint="eastAsia" w:hAnsi="宋体"/>
                      <w:b/>
                      <w:bCs/>
                      <w:color w:val="auto"/>
                      <w:sz w:val="18"/>
                      <w:szCs w:val="18"/>
                    </w:rPr>
                    <w:t>计算值</w:t>
                  </w:r>
                </w:p>
              </w:tc>
              <w:tc>
                <w:tcPr>
                  <w:tcW w:w="1090" w:type="pct"/>
                  <w:vAlign w:val="center"/>
                </w:tcPr>
                <w:p w14:paraId="11F4C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 w:val="18"/>
                      <w:szCs w:val="18"/>
                    </w:rPr>
                  </w:pPr>
                  <w:r>
                    <w:rPr>
                      <w:rFonts w:hint="eastAsia" w:hAnsi="宋体"/>
                      <w:b/>
                      <w:bCs/>
                      <w:color w:val="auto"/>
                      <w:sz w:val="18"/>
                      <w:szCs w:val="18"/>
                    </w:rPr>
                    <w:t>取值</w:t>
                  </w:r>
                </w:p>
              </w:tc>
            </w:tr>
            <w:tr w14:paraId="6166A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3" w:hRule="atLeast"/>
              </w:trPr>
              <w:tc>
                <w:tcPr>
                  <w:tcW w:w="545" w:type="pct"/>
                  <w:vAlign w:val="center"/>
                </w:tcPr>
                <w:p w14:paraId="4B7575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color w:val="auto"/>
                      <w:sz w:val="18"/>
                      <w:szCs w:val="18"/>
                      <w:lang w:val="en-US" w:eastAsia="zh-CN"/>
                    </w:rPr>
                  </w:pPr>
                  <w:r>
                    <w:rPr>
                      <w:rFonts w:hint="eastAsia" w:hAnsi="宋体"/>
                      <w:color w:val="auto"/>
                      <w:sz w:val="18"/>
                      <w:szCs w:val="18"/>
                      <w:lang w:val="en-US" w:eastAsia="zh-CN"/>
                    </w:rPr>
                    <w:t>实验室</w:t>
                  </w:r>
                </w:p>
              </w:tc>
              <w:tc>
                <w:tcPr>
                  <w:tcW w:w="646" w:type="pct"/>
                  <w:vAlign w:val="center"/>
                </w:tcPr>
                <w:p w14:paraId="306D28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hAnsi="Times New Roman"/>
                      <w:color w:val="auto"/>
                      <w:sz w:val="18"/>
                      <w:szCs w:val="18"/>
                    </w:rPr>
                  </w:pPr>
                  <w:r>
                    <w:rPr>
                      <w:rFonts w:hint="eastAsia"/>
                      <w:color w:val="auto"/>
                      <w:sz w:val="18"/>
                      <w:szCs w:val="18"/>
                      <w:lang w:val="en-US" w:eastAsia="zh-CN"/>
                    </w:rPr>
                    <w:t>非甲烷总烃</w:t>
                  </w:r>
                </w:p>
              </w:tc>
              <w:tc>
                <w:tcPr>
                  <w:tcW w:w="554" w:type="pct"/>
                  <w:vAlign w:val="center"/>
                </w:tcPr>
                <w:p w14:paraId="5491CB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0.</w:t>
                  </w:r>
                  <w:r>
                    <w:rPr>
                      <w:rFonts w:hint="eastAsia" w:cs="Times New Roman"/>
                      <w:color w:val="auto"/>
                      <w:kern w:val="0"/>
                      <w:sz w:val="18"/>
                      <w:szCs w:val="18"/>
                      <w:lang w:val="en-US" w:eastAsia="zh-CN" w:bidi="ar"/>
                    </w:rPr>
                    <w:t>004</w:t>
                  </w:r>
                </w:p>
              </w:tc>
              <w:tc>
                <w:tcPr>
                  <w:tcW w:w="627" w:type="pct"/>
                  <w:vAlign w:val="center"/>
                </w:tcPr>
                <w:p w14:paraId="398BF9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Cs w:val="0"/>
                      <w:color w:val="auto"/>
                      <w:sz w:val="18"/>
                      <w:szCs w:val="18"/>
                      <w:lang w:val="en-US" w:eastAsia="zh-CN"/>
                    </w:rPr>
                  </w:pPr>
                  <w:r>
                    <w:rPr>
                      <w:rFonts w:hint="eastAsia"/>
                      <w:bCs w:val="0"/>
                      <w:color w:val="auto"/>
                      <w:sz w:val="18"/>
                      <w:szCs w:val="18"/>
                      <w:lang w:val="en-US" w:eastAsia="zh-CN"/>
                    </w:rPr>
                    <w:t>420</w:t>
                  </w:r>
                </w:p>
              </w:tc>
              <w:tc>
                <w:tcPr>
                  <w:tcW w:w="756" w:type="pct"/>
                  <w:vAlign w:val="center"/>
                </w:tcPr>
                <w:p w14:paraId="190AEB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Cs w:val="0"/>
                      <w:color w:val="auto"/>
                      <w:sz w:val="18"/>
                      <w:szCs w:val="18"/>
                      <w:lang w:val="en-US" w:eastAsia="zh-CN"/>
                    </w:rPr>
                  </w:pPr>
                  <w:r>
                    <w:rPr>
                      <w:rFonts w:hint="eastAsia"/>
                      <w:bCs w:val="0"/>
                      <w:color w:val="auto"/>
                      <w:sz w:val="18"/>
                      <w:szCs w:val="18"/>
                      <w:lang w:val="en-US" w:eastAsia="zh-CN"/>
                    </w:rPr>
                    <w:t>2.0</w:t>
                  </w:r>
                </w:p>
              </w:tc>
              <w:tc>
                <w:tcPr>
                  <w:tcW w:w="780" w:type="pct"/>
                  <w:vAlign w:val="center"/>
                </w:tcPr>
                <w:p w14:paraId="4C4B1E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Cs w:val="0"/>
                      <w:color w:val="auto"/>
                      <w:sz w:val="18"/>
                      <w:szCs w:val="18"/>
                      <w:lang w:val="en-US" w:eastAsia="zh-CN"/>
                    </w:rPr>
                  </w:pPr>
                  <w:r>
                    <w:rPr>
                      <w:rFonts w:hint="eastAsia"/>
                      <w:bCs w:val="0"/>
                      <w:color w:val="auto"/>
                      <w:sz w:val="18"/>
                      <w:szCs w:val="18"/>
                      <w:lang w:val="en-US" w:eastAsia="zh-CN"/>
                    </w:rPr>
                    <w:t>0.115</w:t>
                  </w:r>
                </w:p>
              </w:tc>
              <w:tc>
                <w:tcPr>
                  <w:tcW w:w="1090" w:type="pct"/>
                  <w:vAlign w:val="center"/>
                </w:tcPr>
                <w:p w14:paraId="243518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Cs w:val="0"/>
                      <w:color w:val="auto"/>
                      <w:sz w:val="18"/>
                      <w:szCs w:val="18"/>
                      <w:lang w:val="en-US" w:eastAsia="zh-CN"/>
                    </w:rPr>
                  </w:pPr>
                  <w:r>
                    <w:rPr>
                      <w:rFonts w:hint="default"/>
                      <w:bCs w:val="0"/>
                      <w:color w:val="auto"/>
                      <w:sz w:val="18"/>
                      <w:szCs w:val="18"/>
                      <w:lang w:val="en-US" w:eastAsia="zh-CN"/>
                    </w:rPr>
                    <w:t>50</w:t>
                  </w:r>
                </w:p>
              </w:tc>
            </w:tr>
          </w:tbl>
          <w:p w14:paraId="3D84898C">
            <w:pPr>
              <w:keepNext w:val="0"/>
              <w:keepLines w:val="0"/>
              <w:suppressLineNumbers w:val="0"/>
              <w:spacing w:before="0" w:beforeAutospacing="0" w:after="0" w:afterAutospacing="0"/>
              <w:ind w:left="0" w:right="0"/>
              <w:rPr>
                <w:rFonts w:hint="default"/>
                <w:color w:val="auto"/>
                <w:lang w:val="en-US" w:eastAsia="zh-CN"/>
              </w:rPr>
            </w:pPr>
            <w:r>
              <w:rPr>
                <w:rFonts w:hint="eastAsia"/>
                <w:color w:val="auto"/>
              </w:rPr>
              <w:t>根据卫生防护距离的计算</w:t>
            </w:r>
            <w:r>
              <w:rPr>
                <w:rFonts w:hint="eastAsia"/>
                <w:color w:val="auto"/>
                <w:lang w:eastAsia="zh-CN"/>
              </w:rPr>
              <w:t>结果</w:t>
            </w:r>
            <w:r>
              <w:rPr>
                <w:rFonts w:hint="eastAsia"/>
                <w:color w:val="auto"/>
              </w:rPr>
              <w:t>，</w:t>
            </w:r>
            <w:r>
              <w:rPr>
                <w:rFonts w:hint="eastAsia"/>
                <w:color w:val="auto"/>
                <w:lang w:val="en-US" w:eastAsia="zh-CN"/>
              </w:rPr>
              <w:t>建设单位应以实验室边界为起点</w:t>
            </w:r>
            <w:r>
              <w:rPr>
                <w:rFonts w:hint="eastAsia"/>
                <w:color w:val="auto"/>
              </w:rPr>
              <w:t>设置</w:t>
            </w:r>
            <w:r>
              <w:rPr>
                <w:rFonts w:hint="eastAsia"/>
                <w:color w:val="auto"/>
                <w:lang w:val="en-US" w:eastAsia="zh-CN"/>
              </w:rPr>
              <w:t>50</w:t>
            </w:r>
            <w:r>
              <w:rPr>
                <w:rFonts w:hint="eastAsia"/>
                <w:color w:val="auto"/>
              </w:rPr>
              <w:t>m卫生防护距离，今后该范围内不</w:t>
            </w:r>
            <w:r>
              <w:rPr>
                <w:rFonts w:hint="eastAsia"/>
                <w:color w:val="auto"/>
                <w:lang w:eastAsia="zh-CN"/>
              </w:rPr>
              <w:t>应</w:t>
            </w:r>
            <w:r>
              <w:rPr>
                <w:rFonts w:hint="eastAsia"/>
                <w:color w:val="auto"/>
              </w:rPr>
              <w:t>规划新建</w:t>
            </w:r>
            <w:r>
              <w:rPr>
                <w:rFonts w:hint="eastAsia"/>
                <w:color w:val="auto"/>
                <w:lang w:eastAsia="zh-CN"/>
              </w:rPr>
              <w:t>居民区</w:t>
            </w:r>
            <w:r>
              <w:rPr>
                <w:rFonts w:hint="eastAsia"/>
                <w:color w:val="auto"/>
              </w:rPr>
              <w:t>、学校等环境保护敏感目标。本项目卫生防护包络线图详见附图</w:t>
            </w:r>
            <w:r>
              <w:rPr>
                <w:rFonts w:hint="eastAsia"/>
                <w:color w:val="auto"/>
                <w:lang w:val="en-US" w:eastAsia="zh-CN"/>
              </w:rPr>
              <w:t>6。</w:t>
            </w:r>
          </w:p>
          <w:p w14:paraId="4E08EF23">
            <w:pPr>
              <w:keepNext w:val="0"/>
              <w:keepLines w:val="0"/>
              <w:suppressLineNumbers w:val="0"/>
              <w:spacing w:before="0" w:beforeAutospacing="0" w:after="0" w:afterAutospacing="0"/>
              <w:ind w:left="0" w:right="0"/>
              <w:rPr>
                <w:rFonts w:hint="eastAsia"/>
                <w:color w:val="auto"/>
              </w:rPr>
            </w:pPr>
            <w:r>
              <w:rPr>
                <w:rFonts w:hint="eastAsia"/>
                <w:color w:val="auto"/>
              </w:rPr>
              <w:t>（2）结论</w:t>
            </w:r>
          </w:p>
          <w:p w14:paraId="0616F11B">
            <w:pPr>
              <w:keepNext w:val="0"/>
              <w:keepLines w:val="0"/>
              <w:suppressLineNumbers w:val="0"/>
              <w:spacing w:before="0" w:beforeAutospacing="0" w:after="0" w:afterAutospacing="0"/>
              <w:ind w:left="0" w:right="0"/>
              <w:rPr>
                <w:rFonts w:hint="default"/>
                <w:color w:val="auto"/>
                <w:lang w:val="en-US" w:eastAsia="zh-CN"/>
              </w:rPr>
            </w:pPr>
            <w:r>
              <w:rPr>
                <w:rFonts w:hint="eastAsia"/>
                <w:color w:val="auto"/>
              </w:rPr>
              <w:t>综上所述，</w:t>
            </w:r>
            <w:r>
              <w:rPr>
                <w:rFonts w:hint="eastAsia"/>
                <w:color w:val="auto"/>
                <w:lang w:val="en-US" w:eastAsia="zh-CN"/>
              </w:rPr>
              <w:t>建设项目</w:t>
            </w:r>
            <w:r>
              <w:rPr>
                <w:rFonts w:hint="eastAsia"/>
                <w:color w:val="auto"/>
              </w:rPr>
              <w:t>按照“应收尽收、分质收集”的原则，采用成熟稳定的治理措施处理，废气经处理后可达标排放，采取的废气防治措施可行。废气污染物收集后，经废气处理设施处理后高空排放，未被收集的无组织废气排放量较小，经大气稀释扩散后对大气环境影响较小，周围环境空气质量可维持现状。</w:t>
            </w:r>
          </w:p>
        </w:tc>
      </w:tr>
    </w:tbl>
    <w:p w14:paraId="30E892E9">
      <w:pPr>
        <w:numPr>
          <w:ilvl w:val="0"/>
          <w:numId w:val="0"/>
        </w:numPr>
        <w:ind w:leftChars="0"/>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717"/>
      </w:tblGrid>
      <w:tr w14:paraId="65CE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48" w:type="dxa"/>
            <w:vAlign w:val="center"/>
          </w:tcPr>
          <w:p w14:paraId="703D027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color w:val="auto"/>
                <w:vertAlign w:val="baseline"/>
                <w:lang w:val="en-US" w:eastAsia="zh-CN"/>
              </w:rPr>
            </w:pPr>
            <w:r>
              <w:rPr>
                <w:rFonts w:hint="eastAsia"/>
                <w:b/>
                <w:bCs/>
                <w:color w:val="auto"/>
                <w:vertAlign w:val="baseline"/>
                <w:lang w:val="en-US" w:eastAsia="zh-CN"/>
              </w:rPr>
              <w:t>运营期环境影响和保护措施</w:t>
            </w:r>
          </w:p>
        </w:tc>
        <w:tc>
          <w:tcPr>
            <w:tcW w:w="13726" w:type="dxa"/>
          </w:tcPr>
          <w:p w14:paraId="77B5023F">
            <w:pPr>
              <w:keepNext w:val="0"/>
              <w:keepLines w:val="0"/>
              <w:numPr>
                <w:ilvl w:val="0"/>
                <w:numId w:val="11"/>
              </w:numPr>
              <w:suppressLineNumbers w:val="0"/>
              <w:bidi w:val="0"/>
              <w:spacing w:before="0" w:beforeAutospacing="0" w:after="0" w:afterAutospacing="0"/>
              <w:ind w:left="0" w:leftChars="0" w:right="0" w:firstLine="482" w:firstLineChars="200"/>
              <w:rPr>
                <w:rFonts w:hint="eastAsia"/>
                <w:b/>
                <w:bCs/>
                <w:color w:val="auto"/>
                <w:lang w:val="en-US" w:eastAsia="zh-CN"/>
              </w:rPr>
            </w:pPr>
            <w:r>
              <w:rPr>
                <w:rFonts w:hint="eastAsia"/>
                <w:b/>
                <w:bCs/>
                <w:color w:val="auto"/>
                <w:lang w:val="en-US" w:eastAsia="zh-CN"/>
              </w:rPr>
              <w:t>废水</w:t>
            </w:r>
          </w:p>
          <w:p w14:paraId="40A34E7B">
            <w:pPr>
              <w:keepNext w:val="0"/>
              <w:keepLines w:val="0"/>
              <w:pageBreakBefore w:val="0"/>
              <w:widowControl w:val="0"/>
              <w:numPr>
                <w:ilvl w:val="1"/>
                <w:numId w:val="11"/>
              </w:numPr>
              <w:suppressLineNumbers w:val="0"/>
              <w:kinsoku/>
              <w:wordWrap/>
              <w:overflowPunct/>
              <w:topLinePunct w:val="0"/>
              <w:autoSpaceDE/>
              <w:autoSpaceDN/>
              <w:bidi w:val="0"/>
              <w:adjustRightInd/>
              <w:snapToGrid/>
              <w:spacing w:before="0" w:beforeAutospacing="0" w:after="0" w:afterAutospacing="0"/>
              <w:ind w:right="0" w:firstLine="482" w:firstLineChars="200"/>
              <w:textAlignment w:val="auto"/>
              <w:rPr>
                <w:rFonts w:hint="eastAsia"/>
                <w:b/>
                <w:bCs/>
                <w:color w:val="auto"/>
                <w:lang w:val="en-US" w:eastAsia="zh-CN"/>
              </w:rPr>
            </w:pPr>
            <w:r>
              <w:rPr>
                <w:rFonts w:hint="eastAsia"/>
                <w:b/>
                <w:bCs/>
                <w:color w:val="auto"/>
                <w:lang w:val="en-US" w:eastAsia="zh-CN"/>
              </w:rPr>
              <w:t>废水产生环节及源强分析</w:t>
            </w:r>
          </w:p>
          <w:p w14:paraId="1FBB5FFA">
            <w:pPr>
              <w:keepNext w:val="0"/>
              <w:keepLines w:val="0"/>
              <w:suppressLineNumbers w:val="0"/>
              <w:tabs>
                <w:tab w:val="right" w:pos="0"/>
              </w:tabs>
              <w:snapToGrid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sz w:val="24"/>
                <w:szCs w:val="24"/>
              </w:rPr>
            </w:pPr>
            <w:r>
              <w:rPr>
                <w:rFonts w:hint="eastAsia" w:cs="Times New Roman"/>
                <w:color w:val="auto"/>
                <w:sz w:val="24"/>
                <w:szCs w:val="24"/>
                <w:lang w:eastAsia="zh-CN"/>
              </w:rPr>
              <w:t>建设项目</w:t>
            </w:r>
            <w:r>
              <w:rPr>
                <w:rFonts w:hint="default" w:ascii="Times New Roman" w:hAnsi="Times New Roman" w:eastAsia="宋体" w:cs="Times New Roman"/>
                <w:color w:val="auto"/>
                <w:sz w:val="24"/>
                <w:szCs w:val="24"/>
              </w:rPr>
              <w:t>废水</w:t>
            </w:r>
            <w:r>
              <w:rPr>
                <w:rFonts w:hint="eastAsia" w:ascii="Times New Roman" w:hAnsi="Times New Roman" w:eastAsia="宋体" w:cs="Times New Roman"/>
                <w:color w:val="auto"/>
                <w:sz w:val="24"/>
                <w:szCs w:val="24"/>
                <w:lang w:val="en-US" w:eastAsia="zh-CN"/>
              </w:rPr>
              <w:t>主要为实验室检测仪器设备及器皿清洗用排水</w:t>
            </w:r>
            <w:r>
              <w:rPr>
                <w:rFonts w:hint="eastAsia" w:cs="Times New Roman"/>
                <w:color w:val="auto"/>
                <w:sz w:val="24"/>
                <w:szCs w:val="24"/>
                <w:lang w:val="en-US" w:eastAsia="zh-CN"/>
              </w:rPr>
              <w:t>、</w:t>
            </w:r>
            <w:r>
              <w:rPr>
                <w:rFonts w:hint="eastAsia" w:cs="Times New Roman"/>
                <w:color w:val="auto"/>
                <w:kern w:val="0"/>
                <w:sz w:val="24"/>
                <w:szCs w:val="24"/>
                <w:highlight w:val="none"/>
                <w:lang w:val="en-US" w:eastAsia="zh-CN" w:bidi="ar"/>
              </w:rPr>
              <w:t>笼具清洗废水、</w:t>
            </w:r>
            <w:r>
              <w:rPr>
                <w:rFonts w:hint="eastAsia" w:cs="Times New Roman"/>
                <w:color w:val="auto"/>
                <w:sz w:val="24"/>
                <w:szCs w:val="24"/>
                <w:lang w:val="en-US" w:eastAsia="zh-CN"/>
              </w:rPr>
              <w:t>纯水制备浓水</w:t>
            </w:r>
            <w:r>
              <w:rPr>
                <w:rFonts w:hint="eastAsia" w:ascii="Times New Roman" w:hAnsi="Times New Roman" w:eastAsia="宋体" w:cs="Times New Roman"/>
                <w:color w:val="auto"/>
                <w:sz w:val="24"/>
                <w:szCs w:val="24"/>
                <w:lang w:val="en-US" w:eastAsia="zh-CN"/>
              </w:rPr>
              <w:t>及生活污水</w:t>
            </w:r>
            <w:r>
              <w:rPr>
                <w:rFonts w:hint="default" w:ascii="Times New Roman" w:hAnsi="Times New Roman" w:eastAsia="宋体" w:cs="Times New Roman"/>
                <w:color w:val="auto"/>
                <w:sz w:val="24"/>
                <w:szCs w:val="24"/>
              </w:rPr>
              <w:t>。</w:t>
            </w:r>
            <w:r>
              <w:rPr>
                <w:rFonts w:hint="eastAsia" w:cs="Times New Roman"/>
                <w:color w:val="auto"/>
                <w:highlight w:val="none"/>
                <w:lang w:val="en-US" w:eastAsia="zh-CN"/>
              </w:rPr>
              <w:t>建设项目</w:t>
            </w:r>
            <w:r>
              <w:rPr>
                <w:rFonts w:hint="default" w:ascii="Times New Roman" w:hAnsi="Times New Roman" w:cs="Times New Roman"/>
                <w:color w:val="auto"/>
                <w:highlight w:val="none"/>
              </w:rPr>
              <w:t>废水污染源源强核算结果及相关参数见表4.2-1，废水类别、污染物及污染治理设施信息表见表4.2-</w:t>
            </w:r>
            <w:r>
              <w:rPr>
                <w:rFonts w:hint="eastAsia" w:cs="Times New Roman"/>
                <w:color w:val="auto"/>
                <w:highlight w:val="none"/>
                <w:lang w:val="en-US" w:eastAsia="zh-CN"/>
              </w:rPr>
              <w:t>2</w:t>
            </w:r>
            <w:r>
              <w:rPr>
                <w:rFonts w:hint="default" w:ascii="Times New Roman" w:hAnsi="Times New Roman" w:cs="Times New Roman"/>
                <w:color w:val="auto"/>
                <w:highlight w:val="none"/>
              </w:rPr>
              <w:t>，废水间接排放口基本情况表见表4.2-</w:t>
            </w:r>
            <w:r>
              <w:rPr>
                <w:rFonts w:hint="eastAsia" w:cs="Times New Roman"/>
                <w:color w:val="auto"/>
                <w:highlight w:val="none"/>
                <w:lang w:val="en-US" w:eastAsia="zh-CN"/>
              </w:rPr>
              <w:t>3</w:t>
            </w:r>
            <w:r>
              <w:rPr>
                <w:rFonts w:hint="default" w:ascii="Times New Roman" w:hAnsi="Times New Roman" w:cs="Times New Roman"/>
                <w:color w:val="auto"/>
                <w:highlight w:val="none"/>
              </w:rPr>
              <w:t>。</w:t>
            </w:r>
          </w:p>
          <w:p w14:paraId="3DFB22D4">
            <w:pPr>
              <w:keepNext w:val="0"/>
              <w:keepLines w:val="0"/>
              <w:suppressLineNumbers w:val="0"/>
              <w:spacing w:before="0" w:beforeAutospacing="0" w:after="0" w:afterAutospacing="0" w:line="240" w:lineRule="auto"/>
              <w:ind w:left="0" w:right="0" w:firstLine="0" w:firstLineChars="0"/>
              <w:jc w:val="center"/>
              <w:rPr>
                <w:rFonts w:hint="eastAsia" w:eastAsia="宋体"/>
                <w:b/>
                <w:bCs/>
                <w:color w:val="auto"/>
                <w:lang w:eastAsia="zh-CN"/>
              </w:rPr>
            </w:pPr>
            <w:r>
              <w:rPr>
                <w:rFonts w:hint="eastAsia"/>
                <w:b/>
                <w:bCs/>
                <w:color w:val="auto"/>
              </w:rPr>
              <w:t xml:space="preserve">表4.2-1  </w:t>
            </w:r>
            <w:r>
              <w:rPr>
                <w:rFonts w:hint="eastAsia"/>
                <w:b/>
                <w:bCs/>
                <w:color w:val="auto"/>
                <w:lang w:val="en-US" w:eastAsia="zh-CN"/>
              </w:rPr>
              <w:t>建设项目</w:t>
            </w:r>
            <w:r>
              <w:rPr>
                <w:rFonts w:hint="eastAsia"/>
                <w:b/>
                <w:bCs/>
                <w:color w:val="auto"/>
              </w:rPr>
              <w:t>废水污染源源强核算结果及相关参数一览表</w:t>
            </w:r>
            <w:r>
              <w:rPr>
                <w:rFonts w:hint="eastAsia"/>
                <w:b/>
                <w:bCs/>
                <w:color w:val="auto"/>
                <w:lang w:eastAsia="zh-CN"/>
              </w:rPr>
              <w:t>（</w:t>
            </w:r>
            <w:r>
              <w:rPr>
                <w:rFonts w:hint="eastAsia"/>
                <w:b/>
                <w:bCs/>
                <w:color w:val="auto"/>
                <w:lang w:val="en-US" w:eastAsia="zh-CN"/>
              </w:rPr>
              <w:t>pH无量纲、</w:t>
            </w:r>
            <w:r>
              <w:rPr>
                <w:rFonts w:hint="default" w:ascii="Times New Roman" w:hAnsi="Times New Roman" w:eastAsia="宋体" w:cs="Times New Roman"/>
                <w:b/>
                <w:color w:val="auto"/>
                <w:lang w:eastAsia="zh-CN"/>
              </w:rPr>
              <w:t>粪大肠菌群单位为</w:t>
            </w:r>
            <w:r>
              <w:rPr>
                <w:rFonts w:hint="default" w:ascii="Times New Roman" w:hAnsi="Times New Roman" w:eastAsia="宋体" w:cs="Times New Roman"/>
                <w:b/>
                <w:color w:val="auto"/>
                <w:lang w:val="en-US" w:eastAsia="zh-CN"/>
              </w:rPr>
              <w:t>MPN</w:t>
            </w:r>
            <w:r>
              <w:rPr>
                <w:rFonts w:hint="default" w:ascii="Times New Roman" w:hAnsi="Times New Roman" w:eastAsia="宋体" w:cs="Times New Roman"/>
                <w:b/>
                <w:color w:val="auto"/>
                <w:lang w:eastAsia="zh-CN"/>
              </w:rPr>
              <w:t>/L</w:t>
            </w:r>
            <w:r>
              <w:rPr>
                <w:rFonts w:hint="eastAsia"/>
                <w:b/>
                <w:bCs/>
                <w:color w:val="auto"/>
                <w:lang w:eastAsia="zh-CN"/>
              </w:rPr>
              <w:t>）</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01"/>
              <w:gridCol w:w="987"/>
              <w:gridCol w:w="708"/>
              <w:gridCol w:w="826"/>
              <w:gridCol w:w="1097"/>
              <w:gridCol w:w="1142"/>
              <w:gridCol w:w="851"/>
              <w:gridCol w:w="575"/>
              <w:gridCol w:w="600"/>
              <w:gridCol w:w="762"/>
              <w:gridCol w:w="943"/>
              <w:gridCol w:w="1016"/>
              <w:gridCol w:w="1548"/>
              <w:gridCol w:w="835"/>
              <w:gridCol w:w="805"/>
            </w:tblGrid>
            <w:tr w14:paraId="0FBC6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97" w:type="pct"/>
                  <w:vMerge w:val="restart"/>
                  <w:noWrap w:val="0"/>
                  <w:vAlign w:val="center"/>
                </w:tcPr>
                <w:p w14:paraId="29B811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rPr>
                    <w:t>污染源</w:t>
                  </w:r>
                </w:p>
              </w:tc>
              <w:tc>
                <w:tcPr>
                  <w:tcW w:w="366" w:type="pct"/>
                  <w:vMerge w:val="restart"/>
                  <w:noWrap w:val="0"/>
                  <w:vAlign w:val="center"/>
                </w:tcPr>
                <w:p w14:paraId="30C69B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w:t>
                  </w:r>
                </w:p>
                <w:p w14:paraId="4EBA3B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物</w:t>
                  </w:r>
                </w:p>
              </w:tc>
              <w:tc>
                <w:tcPr>
                  <w:tcW w:w="1397" w:type="pct"/>
                  <w:gridSpan w:val="4"/>
                  <w:noWrap w:val="0"/>
                  <w:vAlign w:val="center"/>
                </w:tcPr>
                <w:p w14:paraId="755D59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污染物产生</w:t>
                  </w:r>
                </w:p>
              </w:tc>
              <w:tc>
                <w:tcPr>
                  <w:tcW w:w="528" w:type="pct"/>
                  <w:gridSpan w:val="2"/>
                  <w:noWrap w:val="0"/>
                  <w:vAlign w:val="center"/>
                </w:tcPr>
                <w:p w14:paraId="7883C2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治理措施</w:t>
                  </w:r>
                </w:p>
              </w:tc>
              <w:tc>
                <w:tcPr>
                  <w:tcW w:w="1229" w:type="pct"/>
                  <w:gridSpan w:val="4"/>
                  <w:noWrap w:val="0"/>
                  <w:vAlign w:val="center"/>
                </w:tcPr>
                <w:p w14:paraId="09850F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污染物排放</w:t>
                  </w:r>
                </w:p>
              </w:tc>
              <w:tc>
                <w:tcPr>
                  <w:tcW w:w="573" w:type="pct"/>
                  <w:vMerge w:val="restart"/>
                  <w:noWrap w:val="0"/>
                  <w:vAlign w:val="center"/>
                </w:tcPr>
                <w:p w14:paraId="5118AF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lang w:val="en-US" w:eastAsia="zh-CN"/>
                    </w:rPr>
                    <w:t>（GB18466-2005）表2标准</w:t>
                  </w:r>
                </w:p>
              </w:tc>
              <w:tc>
                <w:tcPr>
                  <w:tcW w:w="309" w:type="pct"/>
                  <w:vMerge w:val="restart"/>
                  <w:noWrap w:val="0"/>
                  <w:vAlign w:val="center"/>
                </w:tcPr>
                <w:p w14:paraId="04608A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lang w:eastAsia="zh-CN"/>
                    </w:rPr>
                    <w:t>涟水县污水处理厂</w:t>
                  </w:r>
                  <w:r>
                    <w:rPr>
                      <w:rFonts w:hint="default" w:ascii="Times New Roman" w:hAnsi="Times New Roman" w:cs="Times New Roman"/>
                      <w:b/>
                      <w:color w:val="auto"/>
                      <w:sz w:val="18"/>
                      <w:szCs w:val="18"/>
                    </w:rPr>
                    <w:t>接管标准（mg/L）</w:t>
                  </w:r>
                </w:p>
              </w:tc>
              <w:tc>
                <w:tcPr>
                  <w:tcW w:w="298" w:type="pct"/>
                  <w:vMerge w:val="restart"/>
                  <w:noWrap w:val="0"/>
                  <w:vAlign w:val="center"/>
                </w:tcPr>
                <w:p w14:paraId="2AB218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年排放时间（h）</w:t>
                  </w:r>
                </w:p>
              </w:tc>
            </w:tr>
            <w:tr w14:paraId="7C78B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97" w:type="pct"/>
                  <w:vMerge w:val="continue"/>
                  <w:noWrap w:val="0"/>
                  <w:vAlign w:val="center"/>
                </w:tcPr>
                <w:p w14:paraId="15F710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p>
              </w:tc>
              <w:tc>
                <w:tcPr>
                  <w:tcW w:w="366" w:type="pct"/>
                  <w:vMerge w:val="continue"/>
                  <w:noWrap w:val="0"/>
                  <w:vAlign w:val="center"/>
                </w:tcPr>
                <w:p w14:paraId="032B6A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p>
              </w:tc>
              <w:tc>
                <w:tcPr>
                  <w:tcW w:w="262" w:type="pct"/>
                  <w:noWrap w:val="0"/>
                  <w:vAlign w:val="center"/>
                </w:tcPr>
                <w:p w14:paraId="5F63DD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核算</w:t>
                  </w:r>
                </w:p>
                <w:p w14:paraId="60E723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方法</w:t>
                  </w:r>
                </w:p>
              </w:tc>
              <w:tc>
                <w:tcPr>
                  <w:tcW w:w="306" w:type="pct"/>
                  <w:noWrap w:val="0"/>
                  <w:vAlign w:val="center"/>
                </w:tcPr>
                <w:p w14:paraId="1706E9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产生量（</w:t>
                  </w:r>
                  <w:r>
                    <w:rPr>
                      <w:rFonts w:hint="default" w:ascii="Times New Roman" w:hAnsi="Times New Roman" w:cs="Times New Roman"/>
                      <w:b/>
                      <w:color w:val="auto"/>
                      <w:sz w:val="18"/>
                      <w:szCs w:val="18"/>
                      <w:lang w:val="en-US" w:eastAsia="zh-CN"/>
                    </w:rPr>
                    <w:t>t</w:t>
                  </w:r>
                  <w:r>
                    <w:rPr>
                      <w:rFonts w:hint="default" w:ascii="Times New Roman" w:hAnsi="Times New Roman" w:cs="Times New Roman"/>
                      <w:b/>
                      <w:color w:val="auto"/>
                      <w:sz w:val="18"/>
                      <w:szCs w:val="18"/>
                    </w:rPr>
                    <w:t>/a）</w:t>
                  </w:r>
                </w:p>
              </w:tc>
              <w:tc>
                <w:tcPr>
                  <w:tcW w:w="406" w:type="pct"/>
                  <w:noWrap w:val="0"/>
                  <w:vAlign w:val="center"/>
                </w:tcPr>
                <w:p w14:paraId="1D4CA8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产生浓度（mg/L）</w:t>
                  </w:r>
                </w:p>
              </w:tc>
              <w:tc>
                <w:tcPr>
                  <w:tcW w:w="422" w:type="pct"/>
                  <w:noWrap w:val="0"/>
                  <w:vAlign w:val="center"/>
                </w:tcPr>
                <w:p w14:paraId="473ADD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产生量</w:t>
                  </w:r>
                </w:p>
                <w:p w14:paraId="731D5C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eastAsia" w:cs="Times New Roman"/>
                      <w:b/>
                      <w:color w:val="auto"/>
                      <w:sz w:val="18"/>
                      <w:szCs w:val="18"/>
                      <w:lang w:eastAsia="zh-CN"/>
                    </w:rPr>
                    <w:t>(</w:t>
                  </w:r>
                  <w:r>
                    <w:rPr>
                      <w:rFonts w:hint="default" w:ascii="Times New Roman" w:hAnsi="Times New Roman" w:cs="Times New Roman"/>
                      <w:b/>
                      <w:color w:val="auto"/>
                      <w:sz w:val="18"/>
                      <w:szCs w:val="18"/>
                    </w:rPr>
                    <w:t>t/a</w:t>
                  </w:r>
                  <w:r>
                    <w:rPr>
                      <w:rFonts w:hint="eastAsia" w:cs="Times New Roman"/>
                      <w:b/>
                      <w:color w:val="auto"/>
                      <w:sz w:val="18"/>
                      <w:szCs w:val="18"/>
                      <w:lang w:eastAsia="zh-CN"/>
                    </w:rPr>
                    <w:t>)</w:t>
                  </w:r>
                </w:p>
              </w:tc>
              <w:tc>
                <w:tcPr>
                  <w:tcW w:w="315" w:type="pct"/>
                  <w:noWrap w:val="0"/>
                  <w:vAlign w:val="center"/>
                </w:tcPr>
                <w:p w14:paraId="44D4D8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工艺</w:t>
                  </w:r>
                </w:p>
              </w:tc>
              <w:tc>
                <w:tcPr>
                  <w:tcW w:w="213" w:type="pct"/>
                  <w:noWrap w:val="0"/>
                  <w:vAlign w:val="center"/>
                </w:tcPr>
                <w:p w14:paraId="4C8AA8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效率</w:t>
                  </w:r>
                </w:p>
              </w:tc>
              <w:tc>
                <w:tcPr>
                  <w:tcW w:w="222" w:type="pct"/>
                  <w:noWrap w:val="0"/>
                  <w:vAlign w:val="center"/>
                </w:tcPr>
                <w:p w14:paraId="456BF7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核算</w:t>
                  </w:r>
                </w:p>
                <w:p w14:paraId="608C12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方法</w:t>
                  </w:r>
                </w:p>
              </w:tc>
              <w:tc>
                <w:tcPr>
                  <w:tcW w:w="282" w:type="pct"/>
                  <w:noWrap w:val="0"/>
                  <w:vAlign w:val="center"/>
                </w:tcPr>
                <w:p w14:paraId="6DE54C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排放量（</w:t>
                  </w:r>
                  <w:r>
                    <w:rPr>
                      <w:rFonts w:hint="default" w:ascii="Times New Roman" w:hAnsi="Times New Roman" w:cs="Times New Roman"/>
                      <w:b/>
                      <w:color w:val="auto"/>
                      <w:sz w:val="18"/>
                      <w:szCs w:val="18"/>
                      <w:lang w:val="en-US" w:eastAsia="zh-CN"/>
                    </w:rPr>
                    <w:t>t</w:t>
                  </w:r>
                  <w:r>
                    <w:rPr>
                      <w:rFonts w:hint="default" w:ascii="Times New Roman" w:hAnsi="Times New Roman" w:cs="Times New Roman"/>
                      <w:b/>
                      <w:color w:val="auto"/>
                      <w:sz w:val="18"/>
                      <w:szCs w:val="18"/>
                    </w:rPr>
                    <w:t>/a）</w:t>
                  </w:r>
                </w:p>
              </w:tc>
              <w:tc>
                <w:tcPr>
                  <w:tcW w:w="349" w:type="pct"/>
                  <w:noWrap w:val="0"/>
                  <w:vAlign w:val="center"/>
                </w:tcPr>
                <w:p w14:paraId="2935C6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排放浓度（mg/L）</w:t>
                  </w:r>
                </w:p>
              </w:tc>
              <w:tc>
                <w:tcPr>
                  <w:tcW w:w="375" w:type="pct"/>
                  <w:noWrap w:val="0"/>
                  <w:vAlign w:val="center"/>
                </w:tcPr>
                <w:p w14:paraId="302FFF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排放量（t/a）</w:t>
                  </w:r>
                </w:p>
              </w:tc>
              <w:tc>
                <w:tcPr>
                  <w:tcW w:w="573" w:type="pct"/>
                  <w:vMerge w:val="continue"/>
                  <w:noWrap w:val="0"/>
                  <w:vAlign w:val="center"/>
                </w:tcPr>
                <w:p w14:paraId="6B65D9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auto"/>
                      <w:sz w:val="18"/>
                      <w:szCs w:val="18"/>
                    </w:rPr>
                  </w:pPr>
                </w:p>
              </w:tc>
              <w:tc>
                <w:tcPr>
                  <w:tcW w:w="309" w:type="pct"/>
                  <w:vMerge w:val="continue"/>
                  <w:noWrap w:val="0"/>
                  <w:vAlign w:val="center"/>
                </w:tcPr>
                <w:p w14:paraId="06EC54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98" w:type="pct"/>
                  <w:vMerge w:val="continue"/>
                  <w:noWrap w:val="0"/>
                  <w:vAlign w:val="center"/>
                </w:tcPr>
                <w:p w14:paraId="292AAF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3CD50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97" w:type="pct"/>
                  <w:vMerge w:val="restart"/>
                  <w:noWrap w:val="0"/>
                  <w:vAlign w:val="center"/>
                </w:tcPr>
                <w:p w14:paraId="208195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实验室检测仪器设备及器皿清洗用排水</w:t>
                  </w:r>
                  <w:r>
                    <w:rPr>
                      <w:rFonts w:hint="eastAsia" w:cs="Times New Roman"/>
                      <w:bCs/>
                      <w:color w:val="auto"/>
                      <w:sz w:val="18"/>
                      <w:szCs w:val="18"/>
                      <w:lang w:val="en-US" w:eastAsia="zh-CN"/>
                    </w:rPr>
                    <w:t>、笼具清洗废水</w:t>
                  </w:r>
                </w:p>
              </w:tc>
              <w:tc>
                <w:tcPr>
                  <w:tcW w:w="366" w:type="pct"/>
                  <w:noWrap w:val="0"/>
                  <w:vAlign w:val="center"/>
                </w:tcPr>
                <w:p w14:paraId="1FCEC0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Cs/>
                      <w:color w:val="auto"/>
                      <w:sz w:val="18"/>
                      <w:szCs w:val="18"/>
                      <w:lang w:val="en-US" w:eastAsia="zh-CN"/>
                    </w:rPr>
                    <w:t>pH</w:t>
                  </w:r>
                </w:p>
              </w:tc>
              <w:tc>
                <w:tcPr>
                  <w:tcW w:w="262" w:type="pct"/>
                  <w:vMerge w:val="restart"/>
                  <w:noWrap w:val="0"/>
                  <w:vAlign w:val="center"/>
                </w:tcPr>
                <w:p w14:paraId="3207ED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类比法</w:t>
                  </w:r>
                </w:p>
              </w:tc>
              <w:tc>
                <w:tcPr>
                  <w:tcW w:w="306" w:type="pct"/>
                  <w:vMerge w:val="restart"/>
                  <w:noWrap w:val="0"/>
                  <w:vAlign w:val="center"/>
                </w:tcPr>
                <w:p w14:paraId="5DECE3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351</w:t>
                  </w:r>
                </w:p>
              </w:tc>
              <w:tc>
                <w:tcPr>
                  <w:tcW w:w="406" w:type="pct"/>
                  <w:noWrap w:val="0"/>
                  <w:vAlign w:val="center"/>
                </w:tcPr>
                <w:p w14:paraId="7ADF47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val="0"/>
                      <w:bCs/>
                      <w:color w:val="auto"/>
                      <w:sz w:val="18"/>
                      <w:szCs w:val="18"/>
                      <w:lang w:val="en-US" w:eastAsia="zh-CN"/>
                    </w:rPr>
                    <w:t>6.5~8</w:t>
                  </w:r>
                </w:p>
              </w:tc>
              <w:tc>
                <w:tcPr>
                  <w:tcW w:w="422" w:type="pct"/>
                  <w:noWrap w:val="0"/>
                  <w:vAlign w:val="center"/>
                </w:tcPr>
                <w:p w14:paraId="29D12F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Cs/>
                      <w:color w:val="auto"/>
                      <w:sz w:val="18"/>
                      <w:szCs w:val="18"/>
                      <w:lang w:val="en-US" w:eastAsia="zh-CN"/>
                    </w:rPr>
                    <w:t>/</w:t>
                  </w:r>
                </w:p>
              </w:tc>
              <w:tc>
                <w:tcPr>
                  <w:tcW w:w="315" w:type="pct"/>
                  <w:vMerge w:val="restart"/>
                  <w:noWrap w:val="0"/>
                  <w:vAlign w:val="center"/>
                </w:tcPr>
                <w:p w14:paraId="132823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预处理（消毒）+污水处理站处理（调节+接触氧化+二沉池+消毒）</w:t>
                  </w:r>
                </w:p>
              </w:tc>
              <w:tc>
                <w:tcPr>
                  <w:tcW w:w="213" w:type="pct"/>
                  <w:noWrap w:val="0"/>
                  <w:vAlign w:val="center"/>
                </w:tcPr>
                <w:p w14:paraId="631E01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Cs/>
                      <w:color w:val="auto"/>
                      <w:sz w:val="18"/>
                      <w:szCs w:val="18"/>
                      <w:lang w:val="en-US" w:eastAsia="zh-CN"/>
                    </w:rPr>
                    <w:t>/</w:t>
                  </w:r>
                </w:p>
              </w:tc>
              <w:tc>
                <w:tcPr>
                  <w:tcW w:w="222" w:type="pct"/>
                  <w:vMerge w:val="restart"/>
                  <w:noWrap w:val="0"/>
                  <w:vAlign w:val="center"/>
                </w:tcPr>
                <w:p w14:paraId="7F8138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类比法</w:t>
                  </w:r>
                </w:p>
              </w:tc>
              <w:tc>
                <w:tcPr>
                  <w:tcW w:w="282" w:type="pct"/>
                  <w:vMerge w:val="restart"/>
                  <w:noWrap w:val="0"/>
                  <w:vAlign w:val="center"/>
                </w:tcPr>
                <w:p w14:paraId="6CAAB0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351</w:t>
                  </w:r>
                </w:p>
              </w:tc>
              <w:tc>
                <w:tcPr>
                  <w:tcW w:w="349" w:type="pct"/>
                  <w:noWrap w:val="0"/>
                  <w:vAlign w:val="center"/>
                </w:tcPr>
                <w:p w14:paraId="05BE3E2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6~9</w:t>
                  </w:r>
                </w:p>
              </w:tc>
              <w:tc>
                <w:tcPr>
                  <w:tcW w:w="375" w:type="pct"/>
                  <w:noWrap w:val="0"/>
                  <w:vAlign w:val="center"/>
                </w:tcPr>
                <w:p w14:paraId="4CFC9B8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573" w:type="pct"/>
                  <w:noWrap w:val="0"/>
                  <w:vAlign w:val="center"/>
                </w:tcPr>
                <w:p w14:paraId="32A903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6~9</w:t>
                  </w:r>
                </w:p>
              </w:tc>
              <w:tc>
                <w:tcPr>
                  <w:tcW w:w="309" w:type="pct"/>
                  <w:noWrap w:val="0"/>
                  <w:vAlign w:val="center"/>
                </w:tcPr>
                <w:p w14:paraId="168476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6~9</w:t>
                  </w:r>
                </w:p>
              </w:tc>
              <w:tc>
                <w:tcPr>
                  <w:tcW w:w="298" w:type="pct"/>
                  <w:vMerge w:val="restart"/>
                  <w:noWrap w:val="0"/>
                  <w:vAlign w:val="center"/>
                </w:tcPr>
                <w:p w14:paraId="36847D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2400</w:t>
                  </w:r>
                </w:p>
              </w:tc>
            </w:tr>
            <w:tr w14:paraId="46E74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297" w:type="pct"/>
                  <w:vMerge w:val="continue"/>
                  <w:noWrap w:val="0"/>
                  <w:vAlign w:val="center"/>
                </w:tcPr>
                <w:p w14:paraId="524EF3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p>
              </w:tc>
              <w:tc>
                <w:tcPr>
                  <w:tcW w:w="366" w:type="pct"/>
                  <w:noWrap w:val="0"/>
                  <w:vAlign w:val="center"/>
                </w:tcPr>
                <w:p w14:paraId="3B6B50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COD</w:t>
                  </w:r>
                </w:p>
              </w:tc>
              <w:tc>
                <w:tcPr>
                  <w:tcW w:w="262" w:type="pct"/>
                  <w:vMerge w:val="continue"/>
                  <w:noWrap w:val="0"/>
                  <w:vAlign w:val="center"/>
                </w:tcPr>
                <w:p w14:paraId="5EABA5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4E0321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p>
              </w:tc>
              <w:tc>
                <w:tcPr>
                  <w:tcW w:w="406" w:type="pct"/>
                  <w:noWrap w:val="0"/>
                  <w:vAlign w:val="center"/>
                </w:tcPr>
                <w:p w14:paraId="0E20CA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500</w:t>
                  </w:r>
                </w:p>
              </w:tc>
              <w:tc>
                <w:tcPr>
                  <w:tcW w:w="422" w:type="pct"/>
                  <w:noWrap w:val="0"/>
                  <w:vAlign w:val="center"/>
                </w:tcPr>
                <w:p w14:paraId="553E805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0.176</w:t>
                  </w:r>
                </w:p>
              </w:tc>
              <w:tc>
                <w:tcPr>
                  <w:tcW w:w="315" w:type="pct"/>
                  <w:vMerge w:val="continue"/>
                  <w:noWrap w:val="0"/>
                  <w:vAlign w:val="center"/>
                </w:tcPr>
                <w:p w14:paraId="71B9B3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213530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75%</w:t>
                  </w:r>
                </w:p>
              </w:tc>
              <w:tc>
                <w:tcPr>
                  <w:tcW w:w="222" w:type="pct"/>
                  <w:vMerge w:val="continue"/>
                  <w:noWrap w:val="0"/>
                  <w:vAlign w:val="center"/>
                </w:tcPr>
                <w:p w14:paraId="697B79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5AFC5E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72D9F01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125</w:t>
                  </w:r>
                </w:p>
              </w:tc>
              <w:tc>
                <w:tcPr>
                  <w:tcW w:w="375" w:type="pct"/>
                  <w:noWrap w:val="0"/>
                  <w:vAlign w:val="center"/>
                </w:tcPr>
                <w:p w14:paraId="08DCE16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0.044</w:t>
                  </w:r>
                </w:p>
              </w:tc>
              <w:tc>
                <w:tcPr>
                  <w:tcW w:w="573" w:type="pct"/>
                  <w:noWrap w:val="0"/>
                  <w:vAlign w:val="center"/>
                </w:tcPr>
                <w:p w14:paraId="187B0F07">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 w:val="0"/>
                      <w:bCs w:val="0"/>
                      <w:color w:val="auto"/>
                      <w:sz w:val="18"/>
                      <w:szCs w:val="18"/>
                      <w:vertAlign w:val="baseline"/>
                      <w:lang w:val="en-US" w:eastAsia="zh-CN"/>
                    </w:rPr>
                    <w:t>250</w:t>
                  </w:r>
                </w:p>
              </w:tc>
              <w:tc>
                <w:tcPr>
                  <w:tcW w:w="309" w:type="pct"/>
                  <w:noWrap w:val="0"/>
                  <w:vAlign w:val="center"/>
                </w:tcPr>
                <w:p w14:paraId="53572233">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eastAsia="宋体" w:cs="Times New Roman"/>
                      <w:b w:val="0"/>
                      <w:bCs w:val="0"/>
                      <w:color w:val="auto"/>
                      <w:sz w:val="18"/>
                      <w:szCs w:val="18"/>
                      <w:vertAlign w:val="baseline"/>
                      <w:lang w:val="en-US" w:eastAsia="zh-CN"/>
                    </w:rPr>
                    <w:t>320</w:t>
                  </w:r>
                </w:p>
              </w:tc>
              <w:tc>
                <w:tcPr>
                  <w:tcW w:w="298" w:type="pct"/>
                  <w:vMerge w:val="continue"/>
                  <w:noWrap w:val="0"/>
                  <w:vAlign w:val="center"/>
                </w:tcPr>
                <w:p w14:paraId="59104B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p>
              </w:tc>
            </w:tr>
            <w:tr w14:paraId="46AAE5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5" w:hRule="atLeast"/>
                <w:jc w:val="center"/>
              </w:trPr>
              <w:tc>
                <w:tcPr>
                  <w:tcW w:w="297" w:type="pct"/>
                  <w:vMerge w:val="continue"/>
                  <w:noWrap w:val="0"/>
                  <w:vAlign w:val="center"/>
                </w:tcPr>
                <w:p w14:paraId="399C78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p>
              </w:tc>
              <w:tc>
                <w:tcPr>
                  <w:tcW w:w="366" w:type="pct"/>
                  <w:noWrap w:val="0"/>
                  <w:vAlign w:val="center"/>
                </w:tcPr>
                <w:p w14:paraId="68E4C6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BOD</w:t>
                  </w:r>
                  <w:r>
                    <w:rPr>
                      <w:rFonts w:hint="default" w:ascii="Times New Roman" w:hAnsi="Times New Roman" w:cs="Times New Roman"/>
                      <w:bCs/>
                      <w:color w:val="auto"/>
                      <w:sz w:val="18"/>
                      <w:szCs w:val="18"/>
                      <w:vertAlign w:val="subscript"/>
                      <w:lang w:val="en-US" w:eastAsia="zh-CN"/>
                    </w:rPr>
                    <w:t>5</w:t>
                  </w:r>
                </w:p>
              </w:tc>
              <w:tc>
                <w:tcPr>
                  <w:tcW w:w="262" w:type="pct"/>
                  <w:vMerge w:val="continue"/>
                  <w:noWrap w:val="0"/>
                  <w:vAlign w:val="center"/>
                </w:tcPr>
                <w:p w14:paraId="1BEC74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4D933A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p>
              </w:tc>
              <w:tc>
                <w:tcPr>
                  <w:tcW w:w="406" w:type="pct"/>
                  <w:noWrap w:val="0"/>
                  <w:vAlign w:val="center"/>
                </w:tcPr>
                <w:p w14:paraId="40564C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300</w:t>
                  </w:r>
                </w:p>
              </w:tc>
              <w:tc>
                <w:tcPr>
                  <w:tcW w:w="422" w:type="pct"/>
                  <w:noWrap w:val="0"/>
                  <w:vAlign w:val="center"/>
                </w:tcPr>
                <w:p w14:paraId="458C692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0.105</w:t>
                  </w:r>
                </w:p>
              </w:tc>
              <w:tc>
                <w:tcPr>
                  <w:tcW w:w="315" w:type="pct"/>
                  <w:vMerge w:val="continue"/>
                  <w:noWrap w:val="0"/>
                  <w:vAlign w:val="center"/>
                </w:tcPr>
                <w:p w14:paraId="491A9C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p>
              </w:tc>
              <w:tc>
                <w:tcPr>
                  <w:tcW w:w="213" w:type="pct"/>
                  <w:noWrap w:val="0"/>
                  <w:vAlign w:val="center"/>
                </w:tcPr>
                <w:p w14:paraId="1A8BDE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75%</w:t>
                  </w:r>
                </w:p>
              </w:tc>
              <w:tc>
                <w:tcPr>
                  <w:tcW w:w="222" w:type="pct"/>
                  <w:vMerge w:val="continue"/>
                  <w:noWrap w:val="0"/>
                  <w:vAlign w:val="center"/>
                </w:tcPr>
                <w:p w14:paraId="1EAD29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1C9350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4BC1B0F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75</w:t>
                  </w:r>
                </w:p>
              </w:tc>
              <w:tc>
                <w:tcPr>
                  <w:tcW w:w="375" w:type="pct"/>
                  <w:noWrap w:val="0"/>
                  <w:vAlign w:val="center"/>
                </w:tcPr>
                <w:p w14:paraId="2DCD0AC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0.026</w:t>
                  </w:r>
                </w:p>
              </w:tc>
              <w:tc>
                <w:tcPr>
                  <w:tcW w:w="573" w:type="pct"/>
                  <w:noWrap w:val="0"/>
                  <w:vAlign w:val="center"/>
                </w:tcPr>
                <w:p w14:paraId="285D29CD">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 w:val="0"/>
                      <w:bCs w:val="0"/>
                      <w:color w:val="auto"/>
                      <w:sz w:val="18"/>
                      <w:szCs w:val="18"/>
                      <w:vertAlign w:val="baseline"/>
                      <w:lang w:val="en-US" w:eastAsia="zh-CN"/>
                    </w:rPr>
                    <w:t>100</w:t>
                  </w:r>
                </w:p>
              </w:tc>
              <w:tc>
                <w:tcPr>
                  <w:tcW w:w="309" w:type="pct"/>
                  <w:noWrap w:val="0"/>
                  <w:vAlign w:val="center"/>
                </w:tcPr>
                <w:p w14:paraId="511A0E39">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b w:val="0"/>
                      <w:bCs w:val="0"/>
                      <w:color w:val="auto"/>
                      <w:sz w:val="18"/>
                      <w:szCs w:val="18"/>
                      <w:vertAlign w:val="baseline"/>
                      <w:lang w:val="en-US" w:eastAsia="zh-CN"/>
                    </w:rPr>
                    <w:t>150</w:t>
                  </w:r>
                </w:p>
              </w:tc>
              <w:tc>
                <w:tcPr>
                  <w:tcW w:w="298" w:type="pct"/>
                  <w:vMerge w:val="continue"/>
                  <w:noWrap w:val="0"/>
                  <w:vAlign w:val="center"/>
                </w:tcPr>
                <w:p w14:paraId="03D95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p>
              </w:tc>
            </w:tr>
            <w:tr w14:paraId="1BFEC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297" w:type="pct"/>
                  <w:vMerge w:val="continue"/>
                  <w:noWrap w:val="0"/>
                  <w:vAlign w:val="center"/>
                </w:tcPr>
                <w:p w14:paraId="2FA522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4A1023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SS</w:t>
                  </w:r>
                </w:p>
              </w:tc>
              <w:tc>
                <w:tcPr>
                  <w:tcW w:w="262" w:type="pct"/>
                  <w:vMerge w:val="continue"/>
                  <w:noWrap w:val="0"/>
                  <w:vAlign w:val="center"/>
                </w:tcPr>
                <w:p w14:paraId="679A4D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76B1FE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4D525D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200</w:t>
                  </w:r>
                </w:p>
              </w:tc>
              <w:tc>
                <w:tcPr>
                  <w:tcW w:w="422" w:type="pct"/>
                  <w:noWrap w:val="0"/>
                  <w:vAlign w:val="center"/>
                </w:tcPr>
                <w:p w14:paraId="737A8D8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0.070</w:t>
                  </w:r>
                </w:p>
              </w:tc>
              <w:tc>
                <w:tcPr>
                  <w:tcW w:w="315" w:type="pct"/>
                  <w:vMerge w:val="continue"/>
                  <w:noWrap w:val="0"/>
                  <w:vAlign w:val="center"/>
                </w:tcPr>
                <w:p w14:paraId="5BBA24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6A5506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75%</w:t>
                  </w:r>
                </w:p>
              </w:tc>
              <w:tc>
                <w:tcPr>
                  <w:tcW w:w="222" w:type="pct"/>
                  <w:vMerge w:val="continue"/>
                  <w:noWrap w:val="0"/>
                  <w:vAlign w:val="center"/>
                </w:tcPr>
                <w:p w14:paraId="022723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14672B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41956A0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75" w:type="pct"/>
                  <w:noWrap w:val="0"/>
                  <w:vAlign w:val="center"/>
                </w:tcPr>
                <w:p w14:paraId="47AD282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0.018</w:t>
                  </w:r>
                </w:p>
              </w:tc>
              <w:tc>
                <w:tcPr>
                  <w:tcW w:w="573" w:type="pct"/>
                  <w:noWrap w:val="0"/>
                  <w:vAlign w:val="center"/>
                </w:tcPr>
                <w:p w14:paraId="58C35C72">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 w:val="0"/>
                      <w:bCs w:val="0"/>
                      <w:color w:val="auto"/>
                      <w:sz w:val="18"/>
                      <w:szCs w:val="18"/>
                      <w:vertAlign w:val="baseline"/>
                      <w:lang w:val="en-US" w:eastAsia="zh-CN"/>
                    </w:rPr>
                    <w:t>60</w:t>
                  </w:r>
                </w:p>
              </w:tc>
              <w:tc>
                <w:tcPr>
                  <w:tcW w:w="309" w:type="pct"/>
                  <w:noWrap w:val="0"/>
                  <w:vAlign w:val="center"/>
                </w:tcPr>
                <w:p w14:paraId="55CFDD81">
                  <w:pPr>
                    <w:pStyle w:val="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eastAsia="宋体" w:cs="Times New Roman"/>
                      <w:b w:val="0"/>
                      <w:bCs w:val="0"/>
                      <w:color w:val="auto"/>
                      <w:sz w:val="18"/>
                      <w:szCs w:val="18"/>
                      <w:vertAlign w:val="baseline"/>
                      <w:lang w:val="en-US" w:eastAsia="zh-CN"/>
                    </w:rPr>
                    <w:t>200</w:t>
                  </w:r>
                </w:p>
              </w:tc>
              <w:tc>
                <w:tcPr>
                  <w:tcW w:w="298" w:type="pct"/>
                  <w:vMerge w:val="continue"/>
                  <w:noWrap w:val="0"/>
                  <w:vAlign w:val="center"/>
                </w:tcPr>
                <w:p w14:paraId="240BFC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r>
            <w:tr w14:paraId="10CBB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297" w:type="pct"/>
                  <w:vMerge w:val="continue"/>
                  <w:noWrap w:val="0"/>
                  <w:vAlign w:val="center"/>
                </w:tcPr>
                <w:p w14:paraId="7C5FC8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03FBA0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氨氮</w:t>
                  </w:r>
                </w:p>
              </w:tc>
              <w:tc>
                <w:tcPr>
                  <w:tcW w:w="262" w:type="pct"/>
                  <w:vMerge w:val="continue"/>
                  <w:noWrap w:val="0"/>
                  <w:vAlign w:val="center"/>
                </w:tcPr>
                <w:p w14:paraId="20101D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18872B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53EDAF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40</w:t>
                  </w:r>
                </w:p>
              </w:tc>
              <w:tc>
                <w:tcPr>
                  <w:tcW w:w="422" w:type="pct"/>
                  <w:noWrap w:val="0"/>
                  <w:vAlign w:val="center"/>
                </w:tcPr>
                <w:p w14:paraId="3DBB108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0.014</w:t>
                  </w:r>
                </w:p>
              </w:tc>
              <w:tc>
                <w:tcPr>
                  <w:tcW w:w="315" w:type="pct"/>
                  <w:vMerge w:val="continue"/>
                  <w:noWrap w:val="0"/>
                  <w:vAlign w:val="center"/>
                </w:tcPr>
                <w:p w14:paraId="39C539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17396F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50%</w:t>
                  </w:r>
                </w:p>
              </w:tc>
              <w:tc>
                <w:tcPr>
                  <w:tcW w:w="222" w:type="pct"/>
                  <w:vMerge w:val="continue"/>
                  <w:noWrap w:val="0"/>
                  <w:vAlign w:val="center"/>
                </w:tcPr>
                <w:p w14:paraId="4807F5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10E705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25A3167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20</w:t>
                  </w:r>
                </w:p>
              </w:tc>
              <w:tc>
                <w:tcPr>
                  <w:tcW w:w="375" w:type="pct"/>
                  <w:noWrap w:val="0"/>
                  <w:vAlign w:val="center"/>
                </w:tcPr>
                <w:p w14:paraId="00A5171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0.007</w:t>
                  </w:r>
                </w:p>
              </w:tc>
              <w:tc>
                <w:tcPr>
                  <w:tcW w:w="573" w:type="pct"/>
                  <w:noWrap w:val="0"/>
                  <w:vAlign w:val="center"/>
                </w:tcPr>
                <w:p w14:paraId="57C322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w:t>
                  </w:r>
                </w:p>
              </w:tc>
              <w:tc>
                <w:tcPr>
                  <w:tcW w:w="309" w:type="pct"/>
                  <w:noWrap w:val="0"/>
                  <w:vAlign w:val="center"/>
                </w:tcPr>
                <w:p w14:paraId="616AAF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30</w:t>
                  </w:r>
                </w:p>
              </w:tc>
              <w:tc>
                <w:tcPr>
                  <w:tcW w:w="298" w:type="pct"/>
                  <w:vMerge w:val="continue"/>
                  <w:noWrap w:val="0"/>
                  <w:vAlign w:val="center"/>
                </w:tcPr>
                <w:p w14:paraId="212F09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r>
            <w:tr w14:paraId="112230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97" w:type="pct"/>
                  <w:vMerge w:val="continue"/>
                  <w:noWrap w:val="0"/>
                  <w:vAlign w:val="center"/>
                </w:tcPr>
                <w:p w14:paraId="244024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5C0AF2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总氮</w:t>
                  </w:r>
                </w:p>
              </w:tc>
              <w:tc>
                <w:tcPr>
                  <w:tcW w:w="262" w:type="pct"/>
                  <w:vMerge w:val="continue"/>
                  <w:noWrap w:val="0"/>
                  <w:vAlign w:val="center"/>
                </w:tcPr>
                <w:p w14:paraId="43F790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7E318D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322D40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60</w:t>
                  </w:r>
                </w:p>
              </w:tc>
              <w:tc>
                <w:tcPr>
                  <w:tcW w:w="422" w:type="pct"/>
                  <w:noWrap w:val="0"/>
                  <w:vAlign w:val="center"/>
                </w:tcPr>
                <w:p w14:paraId="55BB0A0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0.021</w:t>
                  </w:r>
                </w:p>
              </w:tc>
              <w:tc>
                <w:tcPr>
                  <w:tcW w:w="315" w:type="pct"/>
                  <w:vMerge w:val="continue"/>
                  <w:noWrap w:val="0"/>
                  <w:vAlign w:val="center"/>
                </w:tcPr>
                <w:p w14:paraId="553106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0BB83E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30%</w:t>
                  </w:r>
                </w:p>
              </w:tc>
              <w:tc>
                <w:tcPr>
                  <w:tcW w:w="222" w:type="pct"/>
                  <w:vMerge w:val="continue"/>
                  <w:noWrap w:val="0"/>
                  <w:vAlign w:val="center"/>
                </w:tcPr>
                <w:p w14:paraId="5D4C55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6262F0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6907911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42</w:t>
                  </w:r>
                </w:p>
              </w:tc>
              <w:tc>
                <w:tcPr>
                  <w:tcW w:w="375" w:type="pct"/>
                  <w:noWrap w:val="0"/>
                  <w:vAlign w:val="center"/>
                </w:tcPr>
                <w:p w14:paraId="2B0D681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0.015</w:t>
                  </w:r>
                </w:p>
              </w:tc>
              <w:tc>
                <w:tcPr>
                  <w:tcW w:w="573" w:type="pct"/>
                  <w:noWrap w:val="0"/>
                  <w:vAlign w:val="center"/>
                </w:tcPr>
                <w:p w14:paraId="337F1F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w:t>
                  </w:r>
                </w:p>
              </w:tc>
              <w:tc>
                <w:tcPr>
                  <w:tcW w:w="309" w:type="pct"/>
                  <w:noWrap w:val="0"/>
                  <w:vAlign w:val="center"/>
                </w:tcPr>
                <w:p w14:paraId="14C175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45</w:t>
                  </w:r>
                </w:p>
              </w:tc>
              <w:tc>
                <w:tcPr>
                  <w:tcW w:w="298" w:type="pct"/>
                  <w:vMerge w:val="continue"/>
                  <w:noWrap w:val="0"/>
                  <w:vAlign w:val="center"/>
                </w:tcPr>
                <w:p w14:paraId="0DD1FF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r>
            <w:tr w14:paraId="4ACA4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97" w:type="pct"/>
                  <w:vMerge w:val="continue"/>
                  <w:noWrap w:val="0"/>
                  <w:vAlign w:val="center"/>
                </w:tcPr>
                <w:p w14:paraId="6595D7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264B32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总磷</w:t>
                  </w:r>
                </w:p>
              </w:tc>
              <w:tc>
                <w:tcPr>
                  <w:tcW w:w="262" w:type="pct"/>
                  <w:vMerge w:val="continue"/>
                  <w:noWrap w:val="0"/>
                  <w:vAlign w:val="center"/>
                </w:tcPr>
                <w:p w14:paraId="1A3B13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47C18F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2329C9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5</w:t>
                  </w:r>
                </w:p>
              </w:tc>
              <w:tc>
                <w:tcPr>
                  <w:tcW w:w="422" w:type="pct"/>
                  <w:noWrap w:val="0"/>
                  <w:vAlign w:val="center"/>
                </w:tcPr>
                <w:p w14:paraId="3DA7A38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0.002</w:t>
                  </w:r>
                </w:p>
              </w:tc>
              <w:tc>
                <w:tcPr>
                  <w:tcW w:w="315" w:type="pct"/>
                  <w:vMerge w:val="continue"/>
                  <w:noWrap w:val="0"/>
                  <w:vAlign w:val="center"/>
                </w:tcPr>
                <w:p w14:paraId="30CFD7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7B60F9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10%</w:t>
                  </w:r>
                </w:p>
              </w:tc>
              <w:tc>
                <w:tcPr>
                  <w:tcW w:w="222" w:type="pct"/>
                  <w:vMerge w:val="continue"/>
                  <w:noWrap w:val="0"/>
                  <w:vAlign w:val="center"/>
                </w:tcPr>
                <w:p w14:paraId="4E4D32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69D6D9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1830311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4.5</w:t>
                  </w:r>
                </w:p>
              </w:tc>
              <w:tc>
                <w:tcPr>
                  <w:tcW w:w="375" w:type="pct"/>
                  <w:noWrap w:val="0"/>
                  <w:vAlign w:val="center"/>
                </w:tcPr>
                <w:p w14:paraId="72432F5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0.002</w:t>
                  </w:r>
                </w:p>
              </w:tc>
              <w:tc>
                <w:tcPr>
                  <w:tcW w:w="573" w:type="pct"/>
                  <w:noWrap w:val="0"/>
                  <w:vAlign w:val="center"/>
                </w:tcPr>
                <w:p w14:paraId="4E9A3D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w:t>
                  </w:r>
                </w:p>
              </w:tc>
              <w:tc>
                <w:tcPr>
                  <w:tcW w:w="309" w:type="pct"/>
                  <w:noWrap w:val="0"/>
                  <w:vAlign w:val="center"/>
                </w:tcPr>
                <w:p w14:paraId="03DD22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5</w:t>
                  </w:r>
                </w:p>
              </w:tc>
              <w:tc>
                <w:tcPr>
                  <w:tcW w:w="298" w:type="pct"/>
                  <w:vMerge w:val="continue"/>
                  <w:noWrap w:val="0"/>
                  <w:vAlign w:val="center"/>
                </w:tcPr>
                <w:p w14:paraId="31E4EF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r>
            <w:tr w14:paraId="43520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5" w:hRule="atLeast"/>
                <w:jc w:val="center"/>
              </w:trPr>
              <w:tc>
                <w:tcPr>
                  <w:tcW w:w="297" w:type="pct"/>
                  <w:vMerge w:val="continue"/>
                  <w:noWrap w:val="0"/>
                  <w:vAlign w:val="center"/>
                </w:tcPr>
                <w:p w14:paraId="57475E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1998EE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LAS</w:t>
                  </w:r>
                </w:p>
              </w:tc>
              <w:tc>
                <w:tcPr>
                  <w:tcW w:w="262" w:type="pct"/>
                  <w:vMerge w:val="continue"/>
                  <w:noWrap w:val="0"/>
                  <w:vAlign w:val="center"/>
                </w:tcPr>
                <w:p w14:paraId="69837C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660DB5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6FA7AE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12</w:t>
                  </w:r>
                </w:p>
              </w:tc>
              <w:tc>
                <w:tcPr>
                  <w:tcW w:w="422" w:type="pct"/>
                  <w:noWrap w:val="0"/>
                  <w:vAlign w:val="center"/>
                </w:tcPr>
                <w:p w14:paraId="78F43EF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0.004</w:t>
                  </w:r>
                </w:p>
              </w:tc>
              <w:tc>
                <w:tcPr>
                  <w:tcW w:w="315" w:type="pct"/>
                  <w:vMerge w:val="continue"/>
                  <w:noWrap w:val="0"/>
                  <w:vAlign w:val="center"/>
                </w:tcPr>
                <w:p w14:paraId="37D95A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7451C0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60%</w:t>
                  </w:r>
                </w:p>
              </w:tc>
              <w:tc>
                <w:tcPr>
                  <w:tcW w:w="222" w:type="pct"/>
                  <w:vMerge w:val="continue"/>
                  <w:noWrap w:val="0"/>
                  <w:vAlign w:val="center"/>
                </w:tcPr>
                <w:p w14:paraId="4D93F3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45A773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66B1F6A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4.8</w:t>
                  </w:r>
                </w:p>
              </w:tc>
              <w:tc>
                <w:tcPr>
                  <w:tcW w:w="375" w:type="pct"/>
                  <w:noWrap w:val="0"/>
                  <w:vAlign w:val="center"/>
                </w:tcPr>
                <w:p w14:paraId="09508B5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0.002</w:t>
                  </w:r>
                </w:p>
              </w:tc>
              <w:tc>
                <w:tcPr>
                  <w:tcW w:w="573" w:type="pct"/>
                  <w:noWrap w:val="0"/>
                  <w:vAlign w:val="center"/>
                </w:tcPr>
                <w:p w14:paraId="536612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10</w:t>
                  </w:r>
                </w:p>
              </w:tc>
              <w:tc>
                <w:tcPr>
                  <w:tcW w:w="309" w:type="pct"/>
                  <w:noWrap w:val="0"/>
                  <w:vAlign w:val="center"/>
                </w:tcPr>
                <w:p w14:paraId="47A289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w:t>
                  </w:r>
                </w:p>
              </w:tc>
              <w:tc>
                <w:tcPr>
                  <w:tcW w:w="298" w:type="pct"/>
                  <w:vMerge w:val="continue"/>
                  <w:noWrap w:val="0"/>
                  <w:vAlign w:val="center"/>
                </w:tcPr>
                <w:p w14:paraId="613003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r>
            <w:tr w14:paraId="34C11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7" w:type="pct"/>
                  <w:vMerge w:val="continue"/>
                  <w:noWrap w:val="0"/>
                  <w:vAlign w:val="center"/>
                </w:tcPr>
                <w:p w14:paraId="16F245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371D81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粪大肠菌群</w:t>
                  </w:r>
                </w:p>
              </w:tc>
              <w:tc>
                <w:tcPr>
                  <w:tcW w:w="262" w:type="pct"/>
                  <w:vMerge w:val="continue"/>
                  <w:noWrap w:val="0"/>
                  <w:vAlign w:val="center"/>
                </w:tcPr>
                <w:p w14:paraId="2796CC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0BE54D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72EB9D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6000</w:t>
                  </w:r>
                </w:p>
              </w:tc>
              <w:tc>
                <w:tcPr>
                  <w:tcW w:w="422" w:type="pct"/>
                  <w:noWrap w:val="0"/>
                  <w:vAlign w:val="center"/>
                </w:tcPr>
                <w:p w14:paraId="541129B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15" w:type="pct"/>
                  <w:vMerge w:val="continue"/>
                  <w:noWrap w:val="0"/>
                  <w:vAlign w:val="center"/>
                </w:tcPr>
                <w:p w14:paraId="1DC10E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423A93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80%</w:t>
                  </w:r>
                </w:p>
              </w:tc>
              <w:tc>
                <w:tcPr>
                  <w:tcW w:w="222" w:type="pct"/>
                  <w:vMerge w:val="continue"/>
                  <w:noWrap w:val="0"/>
                  <w:vAlign w:val="center"/>
                </w:tcPr>
                <w:p w14:paraId="0CCB2A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5F7EA9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0D0A0D7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1200</w:t>
                  </w:r>
                </w:p>
              </w:tc>
              <w:tc>
                <w:tcPr>
                  <w:tcW w:w="375" w:type="pct"/>
                  <w:noWrap w:val="0"/>
                  <w:vAlign w:val="center"/>
                </w:tcPr>
                <w:p w14:paraId="1844337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573" w:type="pct"/>
                  <w:noWrap w:val="0"/>
                  <w:vAlign w:val="center"/>
                </w:tcPr>
                <w:p w14:paraId="330919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 w:val="0"/>
                      <w:bCs w:val="0"/>
                      <w:color w:val="auto"/>
                      <w:sz w:val="18"/>
                      <w:szCs w:val="18"/>
                      <w:vertAlign w:val="baseline"/>
                      <w:lang w:val="en-US" w:eastAsia="zh-CN"/>
                    </w:rPr>
                    <w:t>5000</w:t>
                  </w:r>
                </w:p>
              </w:tc>
              <w:tc>
                <w:tcPr>
                  <w:tcW w:w="309" w:type="pct"/>
                  <w:noWrap w:val="0"/>
                  <w:vAlign w:val="center"/>
                </w:tcPr>
                <w:p w14:paraId="560A9E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w:t>
                  </w:r>
                </w:p>
              </w:tc>
              <w:tc>
                <w:tcPr>
                  <w:tcW w:w="298" w:type="pct"/>
                  <w:vMerge w:val="continue"/>
                  <w:noWrap w:val="0"/>
                  <w:vAlign w:val="center"/>
                </w:tcPr>
                <w:p w14:paraId="0BD803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r>
            <w:tr w14:paraId="62A859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297" w:type="pct"/>
                  <w:vMerge w:val="restart"/>
                  <w:noWrap w:val="0"/>
                  <w:vAlign w:val="center"/>
                </w:tcPr>
                <w:p w14:paraId="552A12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纯水制备浓水</w:t>
                  </w:r>
                </w:p>
              </w:tc>
              <w:tc>
                <w:tcPr>
                  <w:tcW w:w="366" w:type="pct"/>
                  <w:noWrap w:val="0"/>
                  <w:vAlign w:val="center"/>
                </w:tcPr>
                <w:p w14:paraId="60D6F9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rPr>
                    <w:t>COD</w:t>
                  </w:r>
                </w:p>
              </w:tc>
              <w:tc>
                <w:tcPr>
                  <w:tcW w:w="262" w:type="pct"/>
                  <w:vMerge w:val="restart"/>
                  <w:noWrap w:val="0"/>
                  <w:vAlign w:val="center"/>
                </w:tcPr>
                <w:p w14:paraId="652073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类比法</w:t>
                  </w:r>
                </w:p>
              </w:tc>
              <w:tc>
                <w:tcPr>
                  <w:tcW w:w="306" w:type="pct"/>
                  <w:vMerge w:val="restart"/>
                  <w:noWrap w:val="0"/>
                  <w:vAlign w:val="center"/>
                </w:tcPr>
                <w:p w14:paraId="5F9343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357.3</w:t>
                  </w:r>
                </w:p>
              </w:tc>
              <w:tc>
                <w:tcPr>
                  <w:tcW w:w="406" w:type="pct"/>
                  <w:noWrap w:val="0"/>
                  <w:vAlign w:val="center"/>
                </w:tcPr>
                <w:p w14:paraId="768D52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40</w:t>
                  </w:r>
                </w:p>
              </w:tc>
              <w:tc>
                <w:tcPr>
                  <w:tcW w:w="422" w:type="pct"/>
                  <w:noWrap w:val="0"/>
                  <w:vAlign w:val="center"/>
                </w:tcPr>
                <w:p w14:paraId="7072D1F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0.014</w:t>
                  </w:r>
                </w:p>
              </w:tc>
              <w:tc>
                <w:tcPr>
                  <w:tcW w:w="315" w:type="pct"/>
                  <w:vMerge w:val="continue"/>
                  <w:noWrap w:val="0"/>
                  <w:vAlign w:val="center"/>
                </w:tcPr>
                <w:p w14:paraId="5F0A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2E5E22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75%</w:t>
                  </w:r>
                </w:p>
              </w:tc>
              <w:tc>
                <w:tcPr>
                  <w:tcW w:w="222" w:type="pct"/>
                  <w:vMerge w:val="restart"/>
                  <w:noWrap w:val="0"/>
                  <w:vAlign w:val="center"/>
                </w:tcPr>
                <w:p w14:paraId="293D9E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类比法</w:t>
                  </w:r>
                </w:p>
              </w:tc>
              <w:tc>
                <w:tcPr>
                  <w:tcW w:w="282" w:type="pct"/>
                  <w:vMerge w:val="restart"/>
                  <w:noWrap w:val="0"/>
                  <w:vAlign w:val="center"/>
                </w:tcPr>
                <w:p w14:paraId="178A1C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357.3</w:t>
                  </w:r>
                </w:p>
              </w:tc>
              <w:tc>
                <w:tcPr>
                  <w:tcW w:w="349" w:type="pct"/>
                  <w:noWrap w:val="0"/>
                  <w:vAlign w:val="center"/>
                </w:tcPr>
                <w:p w14:paraId="43C2143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75" w:type="pct"/>
                  <w:noWrap w:val="0"/>
                  <w:vAlign w:val="center"/>
                </w:tcPr>
                <w:p w14:paraId="1144BF9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0.004</w:t>
                  </w:r>
                </w:p>
              </w:tc>
              <w:tc>
                <w:tcPr>
                  <w:tcW w:w="573" w:type="pct"/>
                  <w:noWrap w:val="0"/>
                  <w:vAlign w:val="center"/>
                </w:tcPr>
                <w:p w14:paraId="03A4483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250</w:t>
                  </w:r>
                </w:p>
              </w:tc>
              <w:tc>
                <w:tcPr>
                  <w:tcW w:w="309" w:type="pct"/>
                  <w:noWrap w:val="0"/>
                  <w:vAlign w:val="center"/>
                </w:tcPr>
                <w:p w14:paraId="02889E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b w:val="0"/>
                      <w:bCs w:val="0"/>
                      <w:color w:val="auto"/>
                      <w:sz w:val="18"/>
                      <w:szCs w:val="18"/>
                      <w:vertAlign w:val="baseline"/>
                      <w:lang w:val="en-US" w:eastAsia="zh-CN"/>
                    </w:rPr>
                    <w:t>320</w:t>
                  </w:r>
                </w:p>
              </w:tc>
              <w:tc>
                <w:tcPr>
                  <w:tcW w:w="298" w:type="pct"/>
                  <w:vMerge w:val="restart"/>
                  <w:noWrap w:val="0"/>
                  <w:vAlign w:val="center"/>
                </w:tcPr>
                <w:p w14:paraId="1366AC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2400</w:t>
                  </w:r>
                </w:p>
              </w:tc>
            </w:tr>
            <w:tr w14:paraId="2D8DF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297" w:type="pct"/>
                  <w:vMerge w:val="continue"/>
                  <w:noWrap w:val="0"/>
                  <w:vAlign w:val="center"/>
                </w:tcPr>
                <w:p w14:paraId="20F33D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3DEB26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rPr>
                    <w:t>SS</w:t>
                  </w:r>
                </w:p>
              </w:tc>
              <w:tc>
                <w:tcPr>
                  <w:tcW w:w="262" w:type="pct"/>
                  <w:vMerge w:val="continue"/>
                  <w:noWrap w:val="0"/>
                  <w:vAlign w:val="center"/>
                </w:tcPr>
                <w:p w14:paraId="1C55AE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442DDE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5A4E0B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30</w:t>
                  </w:r>
                </w:p>
              </w:tc>
              <w:tc>
                <w:tcPr>
                  <w:tcW w:w="422" w:type="pct"/>
                  <w:noWrap w:val="0"/>
                  <w:vAlign w:val="center"/>
                </w:tcPr>
                <w:p w14:paraId="44E63AD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0.011 </w:t>
                  </w:r>
                </w:p>
              </w:tc>
              <w:tc>
                <w:tcPr>
                  <w:tcW w:w="315" w:type="pct"/>
                  <w:vMerge w:val="continue"/>
                  <w:noWrap w:val="0"/>
                  <w:vAlign w:val="center"/>
                </w:tcPr>
                <w:p w14:paraId="15B4AF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7FD927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75%</w:t>
                  </w:r>
                </w:p>
              </w:tc>
              <w:tc>
                <w:tcPr>
                  <w:tcW w:w="222" w:type="pct"/>
                  <w:vMerge w:val="continue"/>
                  <w:noWrap w:val="0"/>
                  <w:vAlign w:val="center"/>
                </w:tcPr>
                <w:p w14:paraId="11409E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210236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3F08617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7.5</w:t>
                  </w:r>
                </w:p>
              </w:tc>
              <w:tc>
                <w:tcPr>
                  <w:tcW w:w="375" w:type="pct"/>
                  <w:noWrap w:val="0"/>
                  <w:vAlign w:val="center"/>
                </w:tcPr>
                <w:p w14:paraId="5FD3594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0.003</w:t>
                  </w:r>
                </w:p>
              </w:tc>
              <w:tc>
                <w:tcPr>
                  <w:tcW w:w="573" w:type="pct"/>
                  <w:noWrap w:val="0"/>
                  <w:vAlign w:val="center"/>
                </w:tcPr>
                <w:p w14:paraId="7A0CDD8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60</w:t>
                  </w:r>
                </w:p>
              </w:tc>
              <w:tc>
                <w:tcPr>
                  <w:tcW w:w="309" w:type="pct"/>
                  <w:noWrap w:val="0"/>
                  <w:vAlign w:val="center"/>
                </w:tcPr>
                <w:p w14:paraId="263F50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200</w:t>
                  </w:r>
                </w:p>
              </w:tc>
              <w:tc>
                <w:tcPr>
                  <w:tcW w:w="298" w:type="pct"/>
                  <w:vMerge w:val="continue"/>
                  <w:noWrap w:val="0"/>
                  <w:vAlign w:val="center"/>
                </w:tcPr>
                <w:p w14:paraId="5D9B27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r>
            <w:tr w14:paraId="7B1E4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297" w:type="pct"/>
                  <w:vMerge w:val="restart"/>
                  <w:noWrap w:val="0"/>
                  <w:vAlign w:val="center"/>
                </w:tcPr>
                <w:p w14:paraId="23B623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生活污水</w:t>
                  </w:r>
                </w:p>
              </w:tc>
              <w:tc>
                <w:tcPr>
                  <w:tcW w:w="366" w:type="pct"/>
                  <w:noWrap w:val="0"/>
                  <w:vAlign w:val="center"/>
                </w:tcPr>
                <w:p w14:paraId="673F97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COD</w:t>
                  </w:r>
                </w:p>
              </w:tc>
              <w:tc>
                <w:tcPr>
                  <w:tcW w:w="262" w:type="pct"/>
                  <w:vMerge w:val="restart"/>
                  <w:noWrap w:val="0"/>
                  <w:vAlign w:val="center"/>
                </w:tcPr>
                <w:p w14:paraId="257641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产污系数法</w:t>
                  </w:r>
                </w:p>
              </w:tc>
              <w:tc>
                <w:tcPr>
                  <w:tcW w:w="306" w:type="pct"/>
                  <w:vMerge w:val="restart"/>
                  <w:noWrap w:val="0"/>
                  <w:vAlign w:val="center"/>
                </w:tcPr>
                <w:p w14:paraId="6A729D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675</w:t>
                  </w:r>
                </w:p>
              </w:tc>
              <w:tc>
                <w:tcPr>
                  <w:tcW w:w="406" w:type="pct"/>
                  <w:noWrap w:val="0"/>
                  <w:vAlign w:val="center"/>
                </w:tcPr>
                <w:p w14:paraId="241347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350</w:t>
                  </w:r>
                </w:p>
              </w:tc>
              <w:tc>
                <w:tcPr>
                  <w:tcW w:w="422" w:type="pct"/>
                  <w:noWrap w:val="0"/>
                  <w:vAlign w:val="center"/>
                </w:tcPr>
                <w:p w14:paraId="4EB7594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0.236</w:t>
                  </w:r>
                </w:p>
              </w:tc>
              <w:tc>
                <w:tcPr>
                  <w:tcW w:w="315" w:type="pct"/>
                  <w:vMerge w:val="restart"/>
                  <w:noWrap w:val="0"/>
                  <w:vAlign w:val="center"/>
                </w:tcPr>
                <w:p w14:paraId="717496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val="en-US" w:eastAsia="zh-CN"/>
                    </w:rPr>
                    <w:t>化粪池</w:t>
                  </w:r>
                </w:p>
              </w:tc>
              <w:tc>
                <w:tcPr>
                  <w:tcW w:w="213" w:type="pct"/>
                  <w:noWrap w:val="0"/>
                  <w:vAlign w:val="center"/>
                </w:tcPr>
                <w:p w14:paraId="5C80C6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20%</w:t>
                  </w:r>
                </w:p>
              </w:tc>
              <w:tc>
                <w:tcPr>
                  <w:tcW w:w="222" w:type="pct"/>
                  <w:vMerge w:val="restart"/>
                  <w:noWrap w:val="0"/>
                  <w:vAlign w:val="center"/>
                </w:tcPr>
                <w:p w14:paraId="35FE17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color w:val="auto"/>
                      <w:sz w:val="18"/>
                      <w:szCs w:val="18"/>
                      <w:highlight w:val="none"/>
                      <w:lang w:val="en-US" w:eastAsia="zh-CN"/>
                    </w:rPr>
                    <w:t>产污系数法</w:t>
                  </w:r>
                </w:p>
              </w:tc>
              <w:tc>
                <w:tcPr>
                  <w:tcW w:w="282" w:type="pct"/>
                  <w:vMerge w:val="restart"/>
                  <w:noWrap w:val="0"/>
                  <w:vAlign w:val="center"/>
                </w:tcPr>
                <w:p w14:paraId="5C445D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675</w:t>
                  </w:r>
                </w:p>
              </w:tc>
              <w:tc>
                <w:tcPr>
                  <w:tcW w:w="349" w:type="pct"/>
                  <w:noWrap w:val="0"/>
                  <w:vAlign w:val="center"/>
                </w:tcPr>
                <w:p w14:paraId="3CAFE36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280</w:t>
                  </w:r>
                </w:p>
              </w:tc>
              <w:tc>
                <w:tcPr>
                  <w:tcW w:w="375" w:type="pct"/>
                  <w:noWrap w:val="0"/>
                  <w:vAlign w:val="center"/>
                </w:tcPr>
                <w:p w14:paraId="608DDB1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0.189</w:t>
                  </w:r>
                </w:p>
              </w:tc>
              <w:tc>
                <w:tcPr>
                  <w:tcW w:w="573" w:type="pct"/>
                  <w:noWrap w:val="0"/>
                  <w:vAlign w:val="center"/>
                </w:tcPr>
                <w:p w14:paraId="3F9FCA6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09" w:type="pct"/>
                  <w:noWrap w:val="0"/>
                  <w:vAlign w:val="center"/>
                </w:tcPr>
                <w:p w14:paraId="1E6D270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320</w:t>
                  </w:r>
                </w:p>
              </w:tc>
              <w:tc>
                <w:tcPr>
                  <w:tcW w:w="298" w:type="pct"/>
                  <w:vMerge w:val="restart"/>
                  <w:noWrap w:val="0"/>
                  <w:vAlign w:val="center"/>
                </w:tcPr>
                <w:p w14:paraId="73B78E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2400</w:t>
                  </w:r>
                </w:p>
              </w:tc>
            </w:tr>
            <w:tr w14:paraId="08F47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297" w:type="pct"/>
                  <w:vMerge w:val="continue"/>
                  <w:noWrap w:val="0"/>
                  <w:vAlign w:val="center"/>
                </w:tcPr>
                <w:p w14:paraId="793EAF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3333F3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SS</w:t>
                  </w:r>
                </w:p>
              </w:tc>
              <w:tc>
                <w:tcPr>
                  <w:tcW w:w="262" w:type="pct"/>
                  <w:vMerge w:val="continue"/>
                  <w:noWrap w:val="0"/>
                  <w:vAlign w:val="center"/>
                </w:tcPr>
                <w:p w14:paraId="01CBA9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3048D0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11F08D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200</w:t>
                  </w:r>
                </w:p>
              </w:tc>
              <w:tc>
                <w:tcPr>
                  <w:tcW w:w="422" w:type="pct"/>
                  <w:noWrap w:val="0"/>
                  <w:vAlign w:val="center"/>
                </w:tcPr>
                <w:p w14:paraId="3438936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0.135</w:t>
                  </w:r>
                </w:p>
              </w:tc>
              <w:tc>
                <w:tcPr>
                  <w:tcW w:w="315" w:type="pct"/>
                  <w:vMerge w:val="continue"/>
                  <w:noWrap w:val="0"/>
                  <w:vAlign w:val="center"/>
                </w:tcPr>
                <w:p w14:paraId="116A63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7E0BC3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0%</w:t>
                  </w:r>
                </w:p>
              </w:tc>
              <w:tc>
                <w:tcPr>
                  <w:tcW w:w="222" w:type="pct"/>
                  <w:vMerge w:val="continue"/>
                  <w:noWrap w:val="0"/>
                  <w:vAlign w:val="center"/>
                </w:tcPr>
                <w:p w14:paraId="060908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771FF1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6058858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375" w:type="pct"/>
                  <w:noWrap w:val="0"/>
                  <w:vAlign w:val="center"/>
                </w:tcPr>
                <w:p w14:paraId="4C97559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0.135</w:t>
                  </w:r>
                </w:p>
              </w:tc>
              <w:tc>
                <w:tcPr>
                  <w:tcW w:w="573" w:type="pct"/>
                  <w:noWrap w:val="0"/>
                  <w:vAlign w:val="center"/>
                </w:tcPr>
                <w:p w14:paraId="40DAA66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09" w:type="pct"/>
                  <w:noWrap w:val="0"/>
                  <w:vAlign w:val="center"/>
                </w:tcPr>
                <w:p w14:paraId="649EA50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298" w:type="pct"/>
                  <w:vMerge w:val="continue"/>
                  <w:noWrap w:val="0"/>
                  <w:vAlign w:val="center"/>
                </w:tcPr>
                <w:p w14:paraId="6758D7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2F97F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297" w:type="pct"/>
                  <w:vMerge w:val="continue"/>
                  <w:noWrap w:val="0"/>
                  <w:vAlign w:val="center"/>
                </w:tcPr>
                <w:p w14:paraId="05B703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6FA553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氨氮</w:t>
                  </w:r>
                </w:p>
              </w:tc>
              <w:tc>
                <w:tcPr>
                  <w:tcW w:w="262" w:type="pct"/>
                  <w:vMerge w:val="continue"/>
                  <w:noWrap w:val="0"/>
                  <w:vAlign w:val="center"/>
                </w:tcPr>
                <w:p w14:paraId="3C120A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506B01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32E5C3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30</w:t>
                  </w:r>
                </w:p>
              </w:tc>
              <w:tc>
                <w:tcPr>
                  <w:tcW w:w="422" w:type="pct"/>
                  <w:noWrap w:val="0"/>
                  <w:vAlign w:val="center"/>
                </w:tcPr>
                <w:p w14:paraId="47B5C96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0.020</w:t>
                  </w:r>
                </w:p>
              </w:tc>
              <w:tc>
                <w:tcPr>
                  <w:tcW w:w="315" w:type="pct"/>
                  <w:vMerge w:val="continue"/>
                  <w:noWrap w:val="0"/>
                  <w:vAlign w:val="center"/>
                </w:tcPr>
                <w:p w14:paraId="6B9C19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03C411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0%</w:t>
                  </w:r>
                </w:p>
              </w:tc>
              <w:tc>
                <w:tcPr>
                  <w:tcW w:w="222" w:type="pct"/>
                  <w:vMerge w:val="continue"/>
                  <w:noWrap w:val="0"/>
                  <w:vAlign w:val="center"/>
                </w:tcPr>
                <w:p w14:paraId="3B0A4E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093760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4137C17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w:t>
                  </w:r>
                </w:p>
              </w:tc>
              <w:tc>
                <w:tcPr>
                  <w:tcW w:w="375" w:type="pct"/>
                  <w:noWrap w:val="0"/>
                  <w:vAlign w:val="center"/>
                </w:tcPr>
                <w:p w14:paraId="7445CF9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0.020</w:t>
                  </w:r>
                </w:p>
              </w:tc>
              <w:tc>
                <w:tcPr>
                  <w:tcW w:w="573" w:type="pct"/>
                  <w:noWrap w:val="0"/>
                  <w:vAlign w:val="center"/>
                </w:tcPr>
                <w:p w14:paraId="64E1F2E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09" w:type="pct"/>
                  <w:noWrap w:val="0"/>
                  <w:vAlign w:val="center"/>
                </w:tcPr>
                <w:p w14:paraId="0C6B6FB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30</w:t>
                  </w:r>
                </w:p>
              </w:tc>
              <w:tc>
                <w:tcPr>
                  <w:tcW w:w="298" w:type="pct"/>
                  <w:vMerge w:val="continue"/>
                  <w:noWrap w:val="0"/>
                  <w:vAlign w:val="center"/>
                </w:tcPr>
                <w:p w14:paraId="5F4DDC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7D09B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297" w:type="pct"/>
                  <w:vMerge w:val="continue"/>
                  <w:noWrap w:val="0"/>
                  <w:vAlign w:val="center"/>
                </w:tcPr>
                <w:p w14:paraId="066DEE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275EE0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总氮</w:t>
                  </w:r>
                </w:p>
              </w:tc>
              <w:tc>
                <w:tcPr>
                  <w:tcW w:w="262" w:type="pct"/>
                  <w:vMerge w:val="continue"/>
                  <w:noWrap w:val="0"/>
                  <w:vAlign w:val="center"/>
                </w:tcPr>
                <w:p w14:paraId="21E80B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1B7EB5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4707F0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40</w:t>
                  </w:r>
                </w:p>
              </w:tc>
              <w:tc>
                <w:tcPr>
                  <w:tcW w:w="422" w:type="pct"/>
                  <w:noWrap w:val="0"/>
                  <w:vAlign w:val="center"/>
                </w:tcPr>
                <w:p w14:paraId="379FC9D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0.027</w:t>
                  </w:r>
                </w:p>
              </w:tc>
              <w:tc>
                <w:tcPr>
                  <w:tcW w:w="315" w:type="pct"/>
                  <w:vMerge w:val="continue"/>
                  <w:noWrap w:val="0"/>
                  <w:vAlign w:val="center"/>
                </w:tcPr>
                <w:p w14:paraId="66DF8F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502C11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0%</w:t>
                  </w:r>
                </w:p>
              </w:tc>
              <w:tc>
                <w:tcPr>
                  <w:tcW w:w="222" w:type="pct"/>
                  <w:vMerge w:val="continue"/>
                  <w:noWrap w:val="0"/>
                  <w:vAlign w:val="center"/>
                </w:tcPr>
                <w:p w14:paraId="59E8C4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2AAB01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72B2F6A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75" w:type="pct"/>
                  <w:noWrap w:val="0"/>
                  <w:vAlign w:val="center"/>
                </w:tcPr>
                <w:p w14:paraId="0CA25AF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0.027</w:t>
                  </w:r>
                </w:p>
              </w:tc>
              <w:tc>
                <w:tcPr>
                  <w:tcW w:w="573" w:type="pct"/>
                  <w:noWrap w:val="0"/>
                  <w:vAlign w:val="center"/>
                </w:tcPr>
                <w:p w14:paraId="19DDFA2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09" w:type="pct"/>
                  <w:noWrap w:val="0"/>
                  <w:vAlign w:val="center"/>
                </w:tcPr>
                <w:p w14:paraId="1BAA18C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45</w:t>
                  </w:r>
                </w:p>
              </w:tc>
              <w:tc>
                <w:tcPr>
                  <w:tcW w:w="298" w:type="pct"/>
                  <w:vMerge w:val="continue"/>
                  <w:noWrap w:val="0"/>
                  <w:vAlign w:val="center"/>
                </w:tcPr>
                <w:p w14:paraId="2FE6A2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0F2A7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0" w:hRule="atLeast"/>
                <w:jc w:val="center"/>
              </w:trPr>
              <w:tc>
                <w:tcPr>
                  <w:tcW w:w="297" w:type="pct"/>
                  <w:vMerge w:val="continue"/>
                  <w:noWrap w:val="0"/>
                  <w:vAlign w:val="center"/>
                </w:tcPr>
                <w:p w14:paraId="6FCDFA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4330C2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总磷</w:t>
                  </w:r>
                </w:p>
              </w:tc>
              <w:tc>
                <w:tcPr>
                  <w:tcW w:w="262" w:type="pct"/>
                  <w:vMerge w:val="continue"/>
                  <w:noWrap w:val="0"/>
                  <w:vAlign w:val="center"/>
                </w:tcPr>
                <w:p w14:paraId="6CA8D6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680244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45689D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4</w:t>
                  </w:r>
                </w:p>
              </w:tc>
              <w:tc>
                <w:tcPr>
                  <w:tcW w:w="422" w:type="pct"/>
                  <w:noWrap w:val="0"/>
                  <w:vAlign w:val="center"/>
                </w:tcPr>
                <w:p w14:paraId="2C6EF0C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0.003</w:t>
                  </w:r>
                </w:p>
              </w:tc>
              <w:tc>
                <w:tcPr>
                  <w:tcW w:w="315" w:type="pct"/>
                  <w:vMerge w:val="continue"/>
                  <w:noWrap w:val="0"/>
                  <w:vAlign w:val="center"/>
                </w:tcPr>
                <w:p w14:paraId="779AE1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5CA7B6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0%</w:t>
                  </w:r>
                </w:p>
              </w:tc>
              <w:tc>
                <w:tcPr>
                  <w:tcW w:w="222" w:type="pct"/>
                  <w:vMerge w:val="continue"/>
                  <w:noWrap w:val="0"/>
                  <w:vAlign w:val="center"/>
                </w:tcPr>
                <w:p w14:paraId="2471AF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512C10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34282AB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375" w:type="pct"/>
                  <w:noWrap w:val="0"/>
                  <w:vAlign w:val="center"/>
                </w:tcPr>
                <w:p w14:paraId="46E2A82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0.003</w:t>
                  </w:r>
                </w:p>
              </w:tc>
              <w:tc>
                <w:tcPr>
                  <w:tcW w:w="573" w:type="pct"/>
                  <w:noWrap w:val="0"/>
                  <w:vAlign w:val="center"/>
                </w:tcPr>
                <w:p w14:paraId="039ED24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09" w:type="pct"/>
                  <w:noWrap w:val="0"/>
                  <w:vAlign w:val="center"/>
                </w:tcPr>
                <w:p w14:paraId="200B46F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w:t>
                  </w:r>
                </w:p>
              </w:tc>
              <w:tc>
                <w:tcPr>
                  <w:tcW w:w="298" w:type="pct"/>
                  <w:vMerge w:val="continue"/>
                  <w:noWrap w:val="0"/>
                  <w:vAlign w:val="center"/>
                </w:tcPr>
                <w:p w14:paraId="172017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21F17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297" w:type="pct"/>
                  <w:vMerge w:val="restart"/>
                  <w:noWrap w:val="0"/>
                  <w:vAlign w:val="center"/>
                </w:tcPr>
                <w:p w14:paraId="4EFDE4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lang w:eastAsia="zh-CN"/>
                    </w:rPr>
                    <w:t>综合废水</w:t>
                  </w:r>
                </w:p>
              </w:tc>
              <w:tc>
                <w:tcPr>
                  <w:tcW w:w="366" w:type="pct"/>
                  <w:noWrap w:val="0"/>
                  <w:vAlign w:val="center"/>
                </w:tcPr>
                <w:p w14:paraId="753774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pH</w:t>
                  </w:r>
                </w:p>
              </w:tc>
              <w:tc>
                <w:tcPr>
                  <w:tcW w:w="262" w:type="pct"/>
                  <w:vMerge w:val="restart"/>
                  <w:noWrap w:val="0"/>
                  <w:vAlign w:val="center"/>
                </w:tcPr>
                <w:p w14:paraId="3D67E2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eastAsia="zh-CN"/>
                    </w:rPr>
                  </w:pPr>
                  <w:r>
                    <w:rPr>
                      <w:rFonts w:hint="default" w:ascii="Times New Roman" w:hAnsi="Times New Roman" w:cs="Times New Roman"/>
                      <w:bCs/>
                      <w:color w:val="auto"/>
                      <w:sz w:val="18"/>
                      <w:szCs w:val="18"/>
                    </w:rPr>
                    <w:t>类比法</w:t>
                  </w:r>
                  <w:r>
                    <w:rPr>
                      <w:rFonts w:hint="default" w:ascii="Times New Roman" w:hAnsi="Times New Roman" w:cs="Times New Roman"/>
                      <w:bCs/>
                      <w:color w:val="auto"/>
                      <w:sz w:val="18"/>
                      <w:szCs w:val="18"/>
                      <w:lang w:eastAsia="zh-CN"/>
                    </w:rPr>
                    <w:t>、</w:t>
                  </w:r>
                  <w:r>
                    <w:rPr>
                      <w:rFonts w:hint="default" w:ascii="Times New Roman" w:hAnsi="Times New Roman" w:cs="Times New Roman"/>
                      <w:color w:val="auto"/>
                      <w:sz w:val="18"/>
                      <w:szCs w:val="18"/>
                      <w:highlight w:val="none"/>
                      <w:lang w:val="en-US" w:eastAsia="zh-CN"/>
                    </w:rPr>
                    <w:t>产污系数法</w:t>
                  </w:r>
                </w:p>
              </w:tc>
              <w:tc>
                <w:tcPr>
                  <w:tcW w:w="306" w:type="pct"/>
                  <w:vMerge w:val="restart"/>
                  <w:noWrap w:val="0"/>
                  <w:vAlign w:val="center"/>
                </w:tcPr>
                <w:p w14:paraId="2389B8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1383.3</w:t>
                  </w:r>
                </w:p>
              </w:tc>
              <w:tc>
                <w:tcPr>
                  <w:tcW w:w="406" w:type="pct"/>
                  <w:noWrap w:val="0"/>
                  <w:vAlign w:val="center"/>
                </w:tcPr>
                <w:p w14:paraId="01EA537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6~9</w:t>
                  </w:r>
                </w:p>
              </w:tc>
              <w:tc>
                <w:tcPr>
                  <w:tcW w:w="422" w:type="pct"/>
                  <w:noWrap w:val="0"/>
                  <w:vAlign w:val="center"/>
                </w:tcPr>
                <w:p w14:paraId="5A73630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15" w:type="pct"/>
                  <w:vMerge w:val="restart"/>
                  <w:noWrap w:val="0"/>
                  <w:vAlign w:val="center"/>
                </w:tcPr>
                <w:p w14:paraId="244B8F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w:t>
                  </w:r>
                </w:p>
              </w:tc>
              <w:tc>
                <w:tcPr>
                  <w:tcW w:w="213" w:type="pct"/>
                  <w:noWrap w:val="0"/>
                  <w:vAlign w:val="center"/>
                </w:tcPr>
                <w:p w14:paraId="179463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22" w:type="pct"/>
                  <w:vMerge w:val="restart"/>
                  <w:noWrap w:val="0"/>
                  <w:vAlign w:val="center"/>
                </w:tcPr>
                <w:p w14:paraId="4FA12F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类比法</w:t>
                  </w:r>
                  <w:r>
                    <w:rPr>
                      <w:rFonts w:hint="default" w:ascii="Times New Roman" w:hAnsi="Times New Roman" w:cs="Times New Roman"/>
                      <w:bCs/>
                      <w:color w:val="auto"/>
                      <w:sz w:val="18"/>
                      <w:szCs w:val="18"/>
                      <w:lang w:eastAsia="zh-CN"/>
                    </w:rPr>
                    <w:t>、</w:t>
                  </w:r>
                  <w:r>
                    <w:rPr>
                      <w:rFonts w:hint="default" w:ascii="Times New Roman" w:hAnsi="Times New Roman" w:cs="Times New Roman"/>
                      <w:color w:val="auto"/>
                      <w:sz w:val="18"/>
                      <w:szCs w:val="18"/>
                      <w:highlight w:val="none"/>
                      <w:lang w:val="en-US" w:eastAsia="zh-CN"/>
                    </w:rPr>
                    <w:t>产污系数法</w:t>
                  </w:r>
                </w:p>
              </w:tc>
              <w:tc>
                <w:tcPr>
                  <w:tcW w:w="282" w:type="pct"/>
                  <w:vMerge w:val="restart"/>
                  <w:noWrap w:val="0"/>
                  <w:vAlign w:val="center"/>
                </w:tcPr>
                <w:p w14:paraId="047FCC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1383.3</w:t>
                  </w:r>
                </w:p>
              </w:tc>
              <w:tc>
                <w:tcPr>
                  <w:tcW w:w="349" w:type="pct"/>
                  <w:noWrap w:val="0"/>
                  <w:vAlign w:val="center"/>
                </w:tcPr>
                <w:p w14:paraId="5B9C150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6~9</w:t>
                  </w:r>
                </w:p>
              </w:tc>
              <w:tc>
                <w:tcPr>
                  <w:tcW w:w="375" w:type="pct"/>
                  <w:noWrap w:val="0"/>
                  <w:vAlign w:val="center"/>
                </w:tcPr>
                <w:p w14:paraId="04C504A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573" w:type="pct"/>
                  <w:noWrap w:val="0"/>
                  <w:vAlign w:val="center"/>
                </w:tcPr>
                <w:p w14:paraId="32882ED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6~9</w:t>
                  </w:r>
                </w:p>
              </w:tc>
              <w:tc>
                <w:tcPr>
                  <w:tcW w:w="309" w:type="pct"/>
                  <w:noWrap w:val="0"/>
                  <w:vAlign w:val="center"/>
                </w:tcPr>
                <w:p w14:paraId="54A8930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6~9</w:t>
                  </w:r>
                </w:p>
              </w:tc>
              <w:tc>
                <w:tcPr>
                  <w:tcW w:w="298" w:type="pct"/>
                  <w:vMerge w:val="restart"/>
                  <w:noWrap w:val="0"/>
                  <w:vAlign w:val="center"/>
                </w:tcPr>
                <w:p w14:paraId="733D7F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2400</w:t>
                  </w:r>
                </w:p>
              </w:tc>
            </w:tr>
            <w:tr w14:paraId="202FB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3" w:hRule="atLeast"/>
                <w:jc w:val="center"/>
              </w:trPr>
              <w:tc>
                <w:tcPr>
                  <w:tcW w:w="297" w:type="pct"/>
                  <w:vMerge w:val="continue"/>
                  <w:noWrap w:val="0"/>
                  <w:vAlign w:val="center"/>
                </w:tcPr>
                <w:p w14:paraId="772DB8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5AF48B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rPr>
                    <w:t>COD</w:t>
                  </w:r>
                </w:p>
              </w:tc>
              <w:tc>
                <w:tcPr>
                  <w:tcW w:w="262" w:type="pct"/>
                  <w:vMerge w:val="continue"/>
                  <w:noWrap w:val="0"/>
                  <w:vAlign w:val="center"/>
                </w:tcPr>
                <w:p w14:paraId="78DF78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2A00D1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19871FE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308.0</w:t>
                  </w:r>
                </w:p>
              </w:tc>
              <w:tc>
                <w:tcPr>
                  <w:tcW w:w="422" w:type="pct"/>
                  <w:noWrap w:val="0"/>
                  <w:vAlign w:val="center"/>
                </w:tcPr>
                <w:p w14:paraId="1BD5C6B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0.426</w:t>
                  </w:r>
                </w:p>
              </w:tc>
              <w:tc>
                <w:tcPr>
                  <w:tcW w:w="315" w:type="pct"/>
                  <w:vMerge w:val="continue"/>
                  <w:noWrap w:val="0"/>
                  <w:vAlign w:val="center"/>
                </w:tcPr>
                <w:p w14:paraId="45FDAD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7EC085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22" w:type="pct"/>
                  <w:vMerge w:val="continue"/>
                  <w:noWrap w:val="0"/>
                  <w:vAlign w:val="center"/>
                </w:tcPr>
                <w:p w14:paraId="1F4015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35389C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47DF6A7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170.9</w:t>
                  </w:r>
                </w:p>
              </w:tc>
              <w:tc>
                <w:tcPr>
                  <w:tcW w:w="375" w:type="pct"/>
                  <w:noWrap w:val="0"/>
                  <w:vAlign w:val="center"/>
                </w:tcPr>
                <w:p w14:paraId="6CD225F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0.23</w:t>
                  </w:r>
                  <w:r>
                    <w:rPr>
                      <w:rFonts w:hint="eastAsia" w:ascii="Times New Roman" w:hAnsi="Times New Roman" w:eastAsia="宋体" w:cs="Times New Roman"/>
                      <w:color w:val="auto"/>
                      <w:kern w:val="2"/>
                      <w:sz w:val="18"/>
                      <w:szCs w:val="18"/>
                      <w:lang w:val="en-US" w:eastAsia="zh-CN" w:bidi="ar-SA"/>
                    </w:rPr>
                    <w:t>7</w:t>
                  </w:r>
                </w:p>
              </w:tc>
              <w:tc>
                <w:tcPr>
                  <w:tcW w:w="573" w:type="pct"/>
                  <w:noWrap w:val="0"/>
                  <w:vAlign w:val="center"/>
                </w:tcPr>
                <w:p w14:paraId="75659F6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250</w:t>
                  </w:r>
                </w:p>
              </w:tc>
              <w:tc>
                <w:tcPr>
                  <w:tcW w:w="309" w:type="pct"/>
                  <w:noWrap w:val="0"/>
                  <w:vAlign w:val="center"/>
                </w:tcPr>
                <w:p w14:paraId="3E03196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320</w:t>
                  </w:r>
                </w:p>
              </w:tc>
              <w:tc>
                <w:tcPr>
                  <w:tcW w:w="298" w:type="pct"/>
                  <w:vMerge w:val="continue"/>
                  <w:noWrap w:val="0"/>
                  <w:vAlign w:val="center"/>
                </w:tcPr>
                <w:p w14:paraId="660491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307EF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297" w:type="pct"/>
                  <w:vMerge w:val="continue"/>
                  <w:noWrap w:val="0"/>
                  <w:vAlign w:val="center"/>
                </w:tcPr>
                <w:p w14:paraId="31F35A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282433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BOD</w:t>
                  </w:r>
                  <w:r>
                    <w:rPr>
                      <w:rFonts w:hint="default" w:ascii="Times New Roman" w:hAnsi="Times New Roman" w:cs="Times New Roman"/>
                      <w:bCs/>
                      <w:color w:val="auto"/>
                      <w:sz w:val="18"/>
                      <w:szCs w:val="18"/>
                      <w:vertAlign w:val="subscript"/>
                      <w:lang w:val="en-US" w:eastAsia="zh-CN"/>
                    </w:rPr>
                    <w:t>5</w:t>
                  </w:r>
                </w:p>
              </w:tc>
              <w:tc>
                <w:tcPr>
                  <w:tcW w:w="262" w:type="pct"/>
                  <w:vMerge w:val="continue"/>
                  <w:noWrap w:val="0"/>
                  <w:vAlign w:val="center"/>
                </w:tcPr>
                <w:p w14:paraId="690116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03E939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7D39017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76.1</w:t>
                  </w:r>
                </w:p>
              </w:tc>
              <w:tc>
                <w:tcPr>
                  <w:tcW w:w="422" w:type="pct"/>
                  <w:noWrap w:val="0"/>
                  <w:vAlign w:val="center"/>
                </w:tcPr>
                <w:p w14:paraId="7081A0E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0.105</w:t>
                  </w:r>
                </w:p>
              </w:tc>
              <w:tc>
                <w:tcPr>
                  <w:tcW w:w="315" w:type="pct"/>
                  <w:vMerge w:val="continue"/>
                  <w:noWrap w:val="0"/>
                  <w:vAlign w:val="center"/>
                </w:tcPr>
                <w:p w14:paraId="03555D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069C38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22" w:type="pct"/>
                  <w:vMerge w:val="continue"/>
                  <w:noWrap w:val="0"/>
                  <w:vAlign w:val="center"/>
                </w:tcPr>
                <w:p w14:paraId="1E613A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16D20C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2D65E07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19.0</w:t>
                  </w:r>
                </w:p>
              </w:tc>
              <w:tc>
                <w:tcPr>
                  <w:tcW w:w="375" w:type="pct"/>
                  <w:noWrap w:val="0"/>
                  <w:vAlign w:val="center"/>
                </w:tcPr>
                <w:p w14:paraId="2208BDC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0.026</w:t>
                  </w:r>
                </w:p>
              </w:tc>
              <w:tc>
                <w:tcPr>
                  <w:tcW w:w="573" w:type="pct"/>
                  <w:noWrap w:val="0"/>
                  <w:vAlign w:val="center"/>
                </w:tcPr>
                <w:p w14:paraId="6DC8576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100</w:t>
                  </w:r>
                </w:p>
              </w:tc>
              <w:tc>
                <w:tcPr>
                  <w:tcW w:w="309" w:type="pct"/>
                  <w:noWrap w:val="0"/>
                  <w:vAlign w:val="center"/>
                </w:tcPr>
                <w:p w14:paraId="471D7CE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150</w:t>
                  </w:r>
                </w:p>
              </w:tc>
              <w:tc>
                <w:tcPr>
                  <w:tcW w:w="298" w:type="pct"/>
                  <w:vMerge w:val="continue"/>
                  <w:noWrap w:val="0"/>
                  <w:vAlign w:val="center"/>
                </w:tcPr>
                <w:p w14:paraId="6FAA1A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337069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297" w:type="pct"/>
                  <w:vMerge w:val="continue"/>
                  <w:noWrap w:val="0"/>
                  <w:vAlign w:val="center"/>
                </w:tcPr>
                <w:p w14:paraId="2B2192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4DDC34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rPr>
                    <w:t>SS</w:t>
                  </w:r>
                </w:p>
              </w:tc>
              <w:tc>
                <w:tcPr>
                  <w:tcW w:w="262" w:type="pct"/>
                  <w:vMerge w:val="continue"/>
                  <w:noWrap w:val="0"/>
                  <w:vAlign w:val="center"/>
                </w:tcPr>
                <w:p w14:paraId="07C16F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42865A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579428D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156.1</w:t>
                  </w:r>
                </w:p>
              </w:tc>
              <w:tc>
                <w:tcPr>
                  <w:tcW w:w="422" w:type="pct"/>
                  <w:noWrap w:val="0"/>
                  <w:vAlign w:val="center"/>
                </w:tcPr>
                <w:p w14:paraId="2B6B04F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0.216</w:t>
                  </w:r>
                </w:p>
              </w:tc>
              <w:tc>
                <w:tcPr>
                  <w:tcW w:w="315" w:type="pct"/>
                  <w:vMerge w:val="continue"/>
                  <w:noWrap w:val="0"/>
                  <w:vAlign w:val="center"/>
                </w:tcPr>
                <w:p w14:paraId="4E8D8F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79BC6B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22" w:type="pct"/>
                  <w:vMerge w:val="continue"/>
                  <w:noWrap w:val="0"/>
                  <w:vAlign w:val="center"/>
                </w:tcPr>
                <w:p w14:paraId="53FBFF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2D887B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1618184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112.2</w:t>
                  </w:r>
                </w:p>
              </w:tc>
              <w:tc>
                <w:tcPr>
                  <w:tcW w:w="375" w:type="pct"/>
                  <w:noWrap w:val="0"/>
                  <w:vAlign w:val="center"/>
                </w:tcPr>
                <w:p w14:paraId="05CC392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0.15</w:t>
                  </w:r>
                  <w:r>
                    <w:rPr>
                      <w:rFonts w:hint="eastAsia" w:cs="Times New Roman"/>
                      <w:i w:val="0"/>
                      <w:iCs w:val="0"/>
                      <w:color w:val="auto"/>
                      <w:kern w:val="0"/>
                      <w:sz w:val="18"/>
                      <w:szCs w:val="18"/>
                      <w:u w:val="none"/>
                      <w:lang w:val="en-US" w:eastAsia="zh-CN" w:bidi="ar"/>
                    </w:rPr>
                    <w:t>6</w:t>
                  </w:r>
                </w:p>
              </w:tc>
              <w:tc>
                <w:tcPr>
                  <w:tcW w:w="573" w:type="pct"/>
                  <w:noWrap w:val="0"/>
                  <w:vAlign w:val="center"/>
                </w:tcPr>
                <w:p w14:paraId="46B9D56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60</w:t>
                  </w:r>
                </w:p>
              </w:tc>
              <w:tc>
                <w:tcPr>
                  <w:tcW w:w="309" w:type="pct"/>
                  <w:noWrap w:val="0"/>
                  <w:vAlign w:val="center"/>
                </w:tcPr>
                <w:p w14:paraId="7363C5E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200</w:t>
                  </w:r>
                </w:p>
              </w:tc>
              <w:tc>
                <w:tcPr>
                  <w:tcW w:w="298" w:type="pct"/>
                  <w:vMerge w:val="continue"/>
                  <w:noWrap w:val="0"/>
                  <w:vAlign w:val="center"/>
                </w:tcPr>
                <w:p w14:paraId="05ADD3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3B6D7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3" w:hRule="atLeast"/>
                <w:jc w:val="center"/>
              </w:trPr>
              <w:tc>
                <w:tcPr>
                  <w:tcW w:w="297" w:type="pct"/>
                  <w:vMerge w:val="continue"/>
                  <w:noWrap w:val="0"/>
                  <w:vAlign w:val="center"/>
                </w:tcPr>
                <w:p w14:paraId="0D410E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39F597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氨氮</w:t>
                  </w:r>
                </w:p>
              </w:tc>
              <w:tc>
                <w:tcPr>
                  <w:tcW w:w="262" w:type="pct"/>
                  <w:vMerge w:val="continue"/>
                  <w:noWrap w:val="0"/>
                  <w:vAlign w:val="center"/>
                </w:tcPr>
                <w:p w14:paraId="575121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480EDE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68EE8D4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24.8</w:t>
                  </w:r>
                </w:p>
              </w:tc>
              <w:tc>
                <w:tcPr>
                  <w:tcW w:w="422" w:type="pct"/>
                  <w:noWrap w:val="0"/>
                  <w:vAlign w:val="center"/>
                </w:tcPr>
                <w:p w14:paraId="561DD65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0.034</w:t>
                  </w:r>
                </w:p>
              </w:tc>
              <w:tc>
                <w:tcPr>
                  <w:tcW w:w="315" w:type="pct"/>
                  <w:vMerge w:val="continue"/>
                  <w:noWrap w:val="0"/>
                  <w:vAlign w:val="center"/>
                </w:tcPr>
                <w:p w14:paraId="06BD40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34AD69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22" w:type="pct"/>
                  <w:vMerge w:val="continue"/>
                  <w:noWrap w:val="0"/>
                  <w:vAlign w:val="center"/>
                </w:tcPr>
                <w:p w14:paraId="744857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499FDA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2D2579F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19.7</w:t>
                  </w:r>
                </w:p>
              </w:tc>
              <w:tc>
                <w:tcPr>
                  <w:tcW w:w="375" w:type="pct"/>
                  <w:noWrap w:val="0"/>
                  <w:vAlign w:val="center"/>
                </w:tcPr>
                <w:p w14:paraId="7E84E3C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0.027</w:t>
                  </w:r>
                </w:p>
              </w:tc>
              <w:tc>
                <w:tcPr>
                  <w:tcW w:w="573" w:type="pct"/>
                  <w:noWrap w:val="0"/>
                  <w:vAlign w:val="center"/>
                </w:tcPr>
                <w:p w14:paraId="33EB3A5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09" w:type="pct"/>
                  <w:noWrap w:val="0"/>
                  <w:vAlign w:val="center"/>
                </w:tcPr>
                <w:p w14:paraId="2E9E2ED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w:t>
                  </w:r>
                </w:p>
              </w:tc>
              <w:tc>
                <w:tcPr>
                  <w:tcW w:w="298" w:type="pct"/>
                  <w:vMerge w:val="continue"/>
                  <w:noWrap w:val="0"/>
                  <w:vAlign w:val="center"/>
                </w:tcPr>
                <w:p w14:paraId="34783E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736F2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297" w:type="pct"/>
                  <w:vMerge w:val="continue"/>
                  <w:noWrap w:val="0"/>
                  <w:vAlign w:val="center"/>
                </w:tcPr>
                <w:p w14:paraId="45341F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7978F3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总氮</w:t>
                  </w:r>
                </w:p>
              </w:tc>
              <w:tc>
                <w:tcPr>
                  <w:tcW w:w="262" w:type="pct"/>
                  <w:vMerge w:val="continue"/>
                  <w:noWrap w:val="0"/>
                  <w:vAlign w:val="center"/>
                </w:tcPr>
                <w:p w14:paraId="01F780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54FB35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7363A6B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34.7</w:t>
                  </w:r>
                </w:p>
              </w:tc>
              <w:tc>
                <w:tcPr>
                  <w:tcW w:w="422" w:type="pct"/>
                  <w:noWrap w:val="0"/>
                  <w:vAlign w:val="center"/>
                </w:tcPr>
                <w:p w14:paraId="2DBB601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0.048</w:t>
                  </w:r>
                </w:p>
              </w:tc>
              <w:tc>
                <w:tcPr>
                  <w:tcW w:w="315" w:type="pct"/>
                  <w:vMerge w:val="continue"/>
                  <w:noWrap w:val="0"/>
                  <w:vAlign w:val="center"/>
                </w:tcPr>
                <w:p w14:paraId="75705B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417354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22" w:type="pct"/>
                  <w:vMerge w:val="continue"/>
                  <w:noWrap w:val="0"/>
                  <w:vAlign w:val="center"/>
                </w:tcPr>
                <w:p w14:paraId="5DDBA9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21D100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41FA2CA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30.2</w:t>
                  </w:r>
                </w:p>
              </w:tc>
              <w:tc>
                <w:tcPr>
                  <w:tcW w:w="375" w:type="pct"/>
                  <w:noWrap w:val="0"/>
                  <w:vAlign w:val="center"/>
                </w:tcPr>
                <w:p w14:paraId="0552849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0.042</w:t>
                  </w:r>
                </w:p>
              </w:tc>
              <w:tc>
                <w:tcPr>
                  <w:tcW w:w="573" w:type="pct"/>
                  <w:noWrap w:val="0"/>
                  <w:vAlign w:val="center"/>
                </w:tcPr>
                <w:p w14:paraId="50C38F2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09" w:type="pct"/>
                  <w:noWrap w:val="0"/>
                  <w:vAlign w:val="center"/>
                </w:tcPr>
                <w:p w14:paraId="391D36C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45</w:t>
                  </w:r>
                </w:p>
              </w:tc>
              <w:tc>
                <w:tcPr>
                  <w:tcW w:w="298" w:type="pct"/>
                  <w:vMerge w:val="continue"/>
                  <w:noWrap w:val="0"/>
                  <w:vAlign w:val="center"/>
                </w:tcPr>
                <w:p w14:paraId="4FD6E3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3A55D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8" w:hRule="atLeast"/>
                <w:jc w:val="center"/>
              </w:trPr>
              <w:tc>
                <w:tcPr>
                  <w:tcW w:w="297" w:type="pct"/>
                  <w:vMerge w:val="continue"/>
                  <w:noWrap w:val="0"/>
                  <w:vAlign w:val="center"/>
                </w:tcPr>
                <w:p w14:paraId="6B0216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17FB0E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总磷</w:t>
                  </w:r>
                </w:p>
              </w:tc>
              <w:tc>
                <w:tcPr>
                  <w:tcW w:w="262" w:type="pct"/>
                  <w:vMerge w:val="continue"/>
                  <w:noWrap w:val="0"/>
                  <w:vAlign w:val="center"/>
                </w:tcPr>
                <w:p w14:paraId="63A201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59779F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38BED4D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3.2</w:t>
                  </w:r>
                </w:p>
              </w:tc>
              <w:tc>
                <w:tcPr>
                  <w:tcW w:w="422" w:type="pct"/>
                  <w:noWrap w:val="0"/>
                  <w:vAlign w:val="center"/>
                </w:tcPr>
                <w:p w14:paraId="6184B48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w:t>
                  </w:r>
                  <w:r>
                    <w:rPr>
                      <w:rFonts w:hint="eastAsia" w:cs="Times New Roman"/>
                      <w:i w:val="0"/>
                      <w:iCs w:val="0"/>
                      <w:color w:val="auto"/>
                      <w:kern w:val="0"/>
                      <w:sz w:val="18"/>
                      <w:szCs w:val="18"/>
                      <w:u w:val="none"/>
                      <w:lang w:val="en-US" w:eastAsia="zh-CN" w:bidi="ar"/>
                    </w:rPr>
                    <w:t>5</w:t>
                  </w:r>
                </w:p>
              </w:tc>
              <w:tc>
                <w:tcPr>
                  <w:tcW w:w="315" w:type="pct"/>
                  <w:vMerge w:val="continue"/>
                  <w:noWrap w:val="0"/>
                  <w:vAlign w:val="center"/>
                </w:tcPr>
                <w:p w14:paraId="582E51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0D7C8B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22" w:type="pct"/>
                  <w:vMerge w:val="continue"/>
                  <w:noWrap w:val="0"/>
                  <w:vAlign w:val="center"/>
                </w:tcPr>
                <w:p w14:paraId="0AC325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7E4036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762EE83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3.1</w:t>
                  </w:r>
                </w:p>
              </w:tc>
              <w:tc>
                <w:tcPr>
                  <w:tcW w:w="375" w:type="pct"/>
                  <w:noWrap w:val="0"/>
                  <w:vAlign w:val="center"/>
                </w:tcPr>
                <w:p w14:paraId="2E73DF8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w:t>
                  </w:r>
                  <w:r>
                    <w:rPr>
                      <w:rFonts w:hint="eastAsia" w:cs="Times New Roman"/>
                      <w:i w:val="0"/>
                      <w:iCs w:val="0"/>
                      <w:color w:val="auto"/>
                      <w:kern w:val="0"/>
                      <w:sz w:val="18"/>
                      <w:szCs w:val="18"/>
                      <w:u w:val="none"/>
                      <w:lang w:val="en-US" w:eastAsia="zh-CN" w:bidi="ar"/>
                    </w:rPr>
                    <w:t>5</w:t>
                  </w:r>
                </w:p>
              </w:tc>
              <w:tc>
                <w:tcPr>
                  <w:tcW w:w="573" w:type="pct"/>
                  <w:noWrap w:val="0"/>
                  <w:vAlign w:val="center"/>
                </w:tcPr>
                <w:p w14:paraId="3100229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09" w:type="pct"/>
                  <w:noWrap w:val="0"/>
                  <w:vAlign w:val="center"/>
                </w:tcPr>
                <w:p w14:paraId="78C4D9B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298" w:type="pct"/>
                  <w:vMerge w:val="continue"/>
                  <w:noWrap w:val="0"/>
                  <w:vAlign w:val="center"/>
                </w:tcPr>
                <w:p w14:paraId="023407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0A2B9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3" w:hRule="atLeast"/>
                <w:jc w:val="center"/>
              </w:trPr>
              <w:tc>
                <w:tcPr>
                  <w:tcW w:w="297" w:type="pct"/>
                  <w:vMerge w:val="continue"/>
                  <w:noWrap w:val="0"/>
                  <w:vAlign w:val="center"/>
                </w:tcPr>
                <w:p w14:paraId="17928F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79263F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LAS</w:t>
                  </w:r>
                </w:p>
              </w:tc>
              <w:tc>
                <w:tcPr>
                  <w:tcW w:w="262" w:type="pct"/>
                  <w:vMerge w:val="continue"/>
                  <w:noWrap w:val="0"/>
                  <w:vAlign w:val="center"/>
                </w:tcPr>
                <w:p w14:paraId="3CFF9D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28AAC3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7C9B778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3.0</w:t>
                  </w:r>
                </w:p>
              </w:tc>
              <w:tc>
                <w:tcPr>
                  <w:tcW w:w="422" w:type="pct"/>
                  <w:noWrap w:val="0"/>
                  <w:vAlign w:val="center"/>
                </w:tcPr>
                <w:p w14:paraId="179B021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0.004</w:t>
                  </w:r>
                </w:p>
              </w:tc>
              <w:tc>
                <w:tcPr>
                  <w:tcW w:w="315" w:type="pct"/>
                  <w:vMerge w:val="continue"/>
                  <w:noWrap w:val="0"/>
                  <w:vAlign w:val="center"/>
                </w:tcPr>
                <w:p w14:paraId="1E291D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6FF9DA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22" w:type="pct"/>
                  <w:vMerge w:val="continue"/>
                  <w:noWrap w:val="0"/>
                  <w:vAlign w:val="center"/>
                </w:tcPr>
                <w:p w14:paraId="238A8E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688F9B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7A227F0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375" w:type="pct"/>
                  <w:noWrap w:val="0"/>
                  <w:vAlign w:val="center"/>
                </w:tcPr>
                <w:p w14:paraId="01DEB64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0.002</w:t>
                  </w:r>
                </w:p>
              </w:tc>
              <w:tc>
                <w:tcPr>
                  <w:tcW w:w="573" w:type="pct"/>
                  <w:noWrap w:val="0"/>
                  <w:vAlign w:val="center"/>
                </w:tcPr>
                <w:p w14:paraId="3CAD27E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w:t>
                  </w:r>
                </w:p>
              </w:tc>
              <w:tc>
                <w:tcPr>
                  <w:tcW w:w="309" w:type="pct"/>
                  <w:noWrap w:val="0"/>
                  <w:vAlign w:val="center"/>
                </w:tcPr>
                <w:p w14:paraId="19A4D33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98" w:type="pct"/>
                  <w:vMerge w:val="continue"/>
                  <w:noWrap w:val="0"/>
                  <w:vAlign w:val="center"/>
                </w:tcPr>
                <w:p w14:paraId="50BE9E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r w14:paraId="62DF6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97" w:type="pct"/>
                  <w:vMerge w:val="continue"/>
                  <w:noWrap w:val="0"/>
                  <w:vAlign w:val="center"/>
                </w:tcPr>
                <w:p w14:paraId="5C2A6D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66" w:type="pct"/>
                  <w:noWrap w:val="0"/>
                  <w:vAlign w:val="center"/>
                </w:tcPr>
                <w:p w14:paraId="5BF758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粪大肠菌群</w:t>
                  </w:r>
                </w:p>
              </w:tc>
              <w:tc>
                <w:tcPr>
                  <w:tcW w:w="262" w:type="pct"/>
                  <w:vMerge w:val="continue"/>
                  <w:noWrap w:val="0"/>
                  <w:vAlign w:val="center"/>
                </w:tcPr>
                <w:p w14:paraId="043D9F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06" w:type="pct"/>
                  <w:vMerge w:val="continue"/>
                  <w:noWrap w:val="0"/>
                  <w:vAlign w:val="center"/>
                </w:tcPr>
                <w:p w14:paraId="631E80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406" w:type="pct"/>
                  <w:noWrap w:val="0"/>
                  <w:vAlign w:val="center"/>
                </w:tcPr>
                <w:p w14:paraId="662A2A9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6000</w:t>
                  </w:r>
                </w:p>
              </w:tc>
              <w:tc>
                <w:tcPr>
                  <w:tcW w:w="422" w:type="pct"/>
                  <w:noWrap w:val="0"/>
                  <w:vAlign w:val="center"/>
                </w:tcPr>
                <w:p w14:paraId="2F7B5E3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315" w:type="pct"/>
                  <w:vMerge w:val="continue"/>
                  <w:noWrap w:val="0"/>
                  <w:vAlign w:val="center"/>
                </w:tcPr>
                <w:p w14:paraId="4DDE6F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13" w:type="pct"/>
                  <w:noWrap w:val="0"/>
                  <w:vAlign w:val="center"/>
                </w:tcPr>
                <w:p w14:paraId="64DFEA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22" w:type="pct"/>
                  <w:vMerge w:val="continue"/>
                  <w:noWrap w:val="0"/>
                  <w:vAlign w:val="center"/>
                </w:tcPr>
                <w:p w14:paraId="10764E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282" w:type="pct"/>
                  <w:vMerge w:val="continue"/>
                  <w:noWrap w:val="0"/>
                  <w:vAlign w:val="center"/>
                </w:tcPr>
                <w:p w14:paraId="587813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c>
                <w:tcPr>
                  <w:tcW w:w="349" w:type="pct"/>
                  <w:noWrap w:val="0"/>
                  <w:vAlign w:val="center"/>
                </w:tcPr>
                <w:p w14:paraId="0A045C9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1200</w:t>
                  </w:r>
                </w:p>
              </w:tc>
              <w:tc>
                <w:tcPr>
                  <w:tcW w:w="375" w:type="pct"/>
                  <w:noWrap w:val="0"/>
                  <w:vAlign w:val="center"/>
                </w:tcPr>
                <w:p w14:paraId="3AFAC3A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573" w:type="pct"/>
                  <w:noWrap w:val="0"/>
                  <w:vAlign w:val="center"/>
                </w:tcPr>
                <w:p w14:paraId="430D558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5000</w:t>
                  </w:r>
                </w:p>
              </w:tc>
              <w:tc>
                <w:tcPr>
                  <w:tcW w:w="309" w:type="pct"/>
                  <w:noWrap w:val="0"/>
                  <w:vAlign w:val="center"/>
                </w:tcPr>
                <w:p w14:paraId="63A1358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w:t>
                  </w:r>
                </w:p>
              </w:tc>
              <w:tc>
                <w:tcPr>
                  <w:tcW w:w="298" w:type="pct"/>
                  <w:vMerge w:val="continue"/>
                  <w:noWrap w:val="0"/>
                  <w:vAlign w:val="center"/>
                </w:tcPr>
                <w:p w14:paraId="6329D9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18"/>
                      <w:szCs w:val="18"/>
                    </w:rPr>
                  </w:pPr>
                </w:p>
              </w:tc>
            </w:tr>
          </w:tbl>
          <w:p w14:paraId="7A382993">
            <w:pPr>
              <w:keepNext w:val="0"/>
              <w:keepLines w:val="0"/>
              <w:pageBreakBefore w:val="0"/>
              <w:widowControl w:val="0"/>
              <w:numPr>
                <w:ilvl w:val="1"/>
                <w:numId w:val="11"/>
              </w:numPr>
              <w:suppressLineNumbers w:val="0"/>
              <w:kinsoku/>
              <w:wordWrap/>
              <w:overflowPunct/>
              <w:topLinePunct w:val="0"/>
              <w:autoSpaceDE/>
              <w:autoSpaceDN/>
              <w:bidi w:val="0"/>
              <w:adjustRightInd/>
              <w:snapToGrid/>
              <w:spacing w:before="0" w:beforeAutospacing="0" w:after="0" w:afterAutospacing="0"/>
              <w:ind w:right="0" w:firstLine="482" w:firstLineChars="200"/>
              <w:textAlignment w:val="auto"/>
              <w:rPr>
                <w:rFonts w:hint="eastAsia"/>
                <w:b/>
                <w:bCs/>
                <w:color w:val="auto"/>
                <w:lang w:val="en-US" w:eastAsia="zh-CN"/>
              </w:rPr>
            </w:pPr>
            <w:r>
              <w:rPr>
                <w:rFonts w:hint="eastAsia"/>
                <w:b/>
                <w:bCs/>
                <w:color w:val="auto"/>
                <w:lang w:val="en-US" w:eastAsia="zh-CN"/>
              </w:rPr>
              <w:t>废水污染源强核算过程</w:t>
            </w:r>
          </w:p>
          <w:p w14:paraId="6FDD944F">
            <w:pPr>
              <w:keepNext w:val="0"/>
              <w:keepLines w:val="0"/>
              <w:suppressLineNumbers w:val="0"/>
              <w:tabs>
                <w:tab w:val="right" w:pos="0"/>
              </w:tabs>
              <w:snapToGrid w:val="0"/>
              <w:spacing w:before="0" w:beforeAutospacing="0" w:after="0" w:afterAutospacing="0" w:line="500" w:lineRule="exact"/>
              <w:ind w:left="0" w:right="0"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kern w:val="0"/>
                <w:sz w:val="24"/>
                <w:szCs w:val="24"/>
                <w:highlight w:val="none"/>
                <w:lang w:val="en-US" w:eastAsia="zh-CN" w:bidi="ar"/>
              </w:rPr>
              <w:t>实验室</w:t>
            </w:r>
            <w:r>
              <w:rPr>
                <w:rFonts w:hint="eastAsia" w:eastAsia="宋体" w:cs="Times New Roman"/>
                <w:color w:val="auto"/>
                <w:kern w:val="0"/>
                <w:sz w:val="24"/>
                <w:szCs w:val="24"/>
                <w:highlight w:val="none"/>
                <w:lang w:val="en-US" w:eastAsia="zh-CN" w:bidi="ar"/>
              </w:rPr>
              <w:t>检测仪器设备</w:t>
            </w:r>
            <w:r>
              <w:rPr>
                <w:rFonts w:hint="eastAsia" w:ascii="Times New Roman" w:hAnsi="Times New Roman" w:eastAsia="宋体" w:cs="Times New Roman"/>
                <w:color w:val="auto"/>
                <w:kern w:val="0"/>
                <w:sz w:val="24"/>
                <w:szCs w:val="24"/>
                <w:highlight w:val="none"/>
                <w:lang w:val="en-US" w:eastAsia="zh-CN" w:bidi="ar"/>
              </w:rPr>
              <w:t>及器皿清洗废水</w:t>
            </w:r>
            <w:r>
              <w:rPr>
                <w:rFonts w:hint="eastAsia" w:cs="Times New Roman"/>
                <w:color w:val="auto"/>
                <w:kern w:val="0"/>
                <w:sz w:val="24"/>
                <w:szCs w:val="24"/>
                <w:highlight w:val="none"/>
                <w:lang w:val="en-US" w:eastAsia="zh-CN" w:bidi="ar"/>
              </w:rPr>
              <w:t>、笼具清洗废水</w:t>
            </w:r>
          </w:p>
          <w:p w14:paraId="50FFD98C">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根据前文水平衡分析可知，</w:t>
            </w:r>
            <w:r>
              <w:rPr>
                <w:rFonts w:hint="default" w:ascii="Times New Roman" w:hAnsi="Times New Roman" w:eastAsia="宋体" w:cs="Times New Roman"/>
                <w:color w:val="auto"/>
                <w:kern w:val="0"/>
                <w:sz w:val="24"/>
                <w:szCs w:val="24"/>
                <w:highlight w:val="none"/>
                <w:lang w:val="en-US" w:eastAsia="zh-CN" w:bidi="ar"/>
              </w:rPr>
              <w:t>实验室</w:t>
            </w:r>
            <w:r>
              <w:rPr>
                <w:rFonts w:hint="eastAsia" w:ascii="Times New Roman" w:hAnsi="Times New Roman" w:eastAsia="宋体" w:cs="Times New Roman"/>
                <w:color w:val="auto"/>
                <w:kern w:val="0"/>
                <w:sz w:val="24"/>
                <w:szCs w:val="24"/>
                <w:highlight w:val="none"/>
                <w:lang w:val="en-US" w:eastAsia="zh-CN" w:bidi="ar"/>
              </w:rPr>
              <w:t>仪器及器皿清洗废水</w:t>
            </w:r>
            <w:r>
              <w:rPr>
                <w:rFonts w:hint="eastAsia" w:cs="Times New Roman"/>
                <w:color w:val="auto"/>
                <w:kern w:val="0"/>
                <w:sz w:val="24"/>
                <w:szCs w:val="24"/>
                <w:highlight w:val="none"/>
                <w:lang w:val="en-US" w:eastAsia="zh-CN" w:bidi="ar"/>
              </w:rPr>
              <w:t>、笼具清洗废水</w:t>
            </w:r>
            <w:r>
              <w:rPr>
                <w:rFonts w:hint="default" w:ascii="Times New Roman" w:hAnsi="Times New Roman" w:eastAsia="宋体" w:cs="Times New Roman"/>
                <w:color w:val="auto"/>
                <w:kern w:val="0"/>
                <w:sz w:val="24"/>
                <w:szCs w:val="24"/>
                <w:highlight w:val="none"/>
                <w:lang w:val="en-US" w:eastAsia="zh-CN" w:bidi="ar"/>
              </w:rPr>
              <w:t>产生量为</w:t>
            </w:r>
            <w:r>
              <w:rPr>
                <w:rFonts w:hint="eastAsia" w:eastAsia="宋体" w:cs="Times New Roman"/>
                <w:color w:val="auto"/>
                <w:kern w:val="0"/>
                <w:sz w:val="24"/>
                <w:szCs w:val="24"/>
                <w:highlight w:val="none"/>
                <w:lang w:val="en-US" w:eastAsia="zh-CN" w:bidi="ar"/>
              </w:rPr>
              <w:t>351t</w:t>
            </w:r>
            <w:r>
              <w:rPr>
                <w:rFonts w:hint="default" w:ascii="Times New Roman" w:hAnsi="Times New Roman" w:eastAsia="宋体" w:cs="Times New Roman"/>
                <w:color w:val="auto"/>
                <w:kern w:val="0"/>
                <w:sz w:val="24"/>
                <w:szCs w:val="24"/>
                <w:highlight w:val="none"/>
                <w:lang w:val="en-US" w:eastAsia="zh-CN" w:bidi="ar"/>
              </w:rPr>
              <w:t>/a。废水主要污染物</w:t>
            </w:r>
            <w:r>
              <w:rPr>
                <w:rFonts w:hint="eastAsia" w:ascii="Times New Roman" w:hAnsi="Times New Roman" w:eastAsia="宋体" w:cs="Times New Roman"/>
                <w:color w:val="auto"/>
                <w:kern w:val="0"/>
                <w:sz w:val="24"/>
                <w:szCs w:val="24"/>
                <w:highlight w:val="none"/>
                <w:lang w:val="en-US" w:eastAsia="zh-CN" w:bidi="ar"/>
              </w:rPr>
              <w:t>及水质</w:t>
            </w:r>
            <w:r>
              <w:rPr>
                <w:rFonts w:hint="default" w:ascii="Times New Roman" w:hAnsi="Times New Roman" w:eastAsia="宋体" w:cs="Times New Roman"/>
                <w:color w:val="auto"/>
                <w:kern w:val="0"/>
                <w:sz w:val="24"/>
                <w:szCs w:val="24"/>
                <w:highlight w:val="none"/>
                <w:lang w:val="en-US" w:eastAsia="zh-CN" w:bidi="ar"/>
              </w:rPr>
              <w:t>pH：6.5~8.0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COD</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500</w:t>
            </w:r>
            <w:r>
              <w:rPr>
                <w:rFonts w:hint="default" w:ascii="Times New Roman" w:hAnsi="Times New Roman" w:eastAsia="宋体" w:cs="Times New Roman"/>
                <w:color w:val="auto"/>
                <w:kern w:val="0"/>
                <w:sz w:val="24"/>
                <w:szCs w:val="24"/>
                <w:highlight w:val="none"/>
                <w:lang w:val="en-US" w:eastAsia="zh-CN" w:bidi="ar"/>
              </w:rPr>
              <w:t>mg/L</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BOD</w:t>
            </w:r>
            <w:r>
              <w:rPr>
                <w:rFonts w:hint="default" w:ascii="Times New Roman" w:hAnsi="Times New Roman" w:eastAsia="宋体" w:cs="Times New Roman"/>
                <w:color w:val="auto"/>
                <w:kern w:val="0"/>
                <w:sz w:val="24"/>
                <w:szCs w:val="24"/>
                <w:highlight w:val="none"/>
                <w:vertAlign w:val="subscript"/>
                <w:lang w:val="en-US" w:eastAsia="zh-CN" w:bidi="ar"/>
              </w:rPr>
              <w:t>5</w:t>
            </w:r>
            <w:r>
              <w:rPr>
                <w:rFonts w:hint="eastAsia" w:cs="Times New Roman"/>
                <w:color w:val="auto"/>
                <w:kern w:val="0"/>
                <w:sz w:val="24"/>
                <w:szCs w:val="24"/>
                <w:highlight w:val="none"/>
                <w:vertAlign w:val="subscript"/>
                <w:lang w:val="en-US" w:eastAsia="zh-CN" w:bidi="ar"/>
              </w:rPr>
              <w:t>:</w:t>
            </w:r>
            <w:r>
              <w:rPr>
                <w:rFonts w:hint="eastAsia"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0mg/L</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SS</w:t>
            </w:r>
            <w:r>
              <w:rPr>
                <w:rFonts w:hint="eastAsia" w:ascii="Times New Roman" w:hAnsi="Times New Roman" w:eastAsia="宋体" w:cs="Times New Roman"/>
                <w:color w:val="auto"/>
                <w:kern w:val="0"/>
                <w:sz w:val="24"/>
                <w:szCs w:val="24"/>
                <w:highlight w:val="none"/>
                <w:lang w:val="en-US" w:eastAsia="zh-CN" w:bidi="ar"/>
              </w:rPr>
              <w:t>：</w:t>
            </w:r>
            <w:r>
              <w:rPr>
                <w:rFonts w:hint="eastAsia" w:eastAsia="宋体" w:cs="Times New Roman"/>
                <w:color w:val="auto"/>
                <w:kern w:val="0"/>
                <w:sz w:val="24"/>
                <w:szCs w:val="24"/>
                <w:highlight w:val="none"/>
                <w:lang w:val="en-US" w:eastAsia="zh-CN" w:bidi="ar"/>
              </w:rPr>
              <w:t>200</w:t>
            </w:r>
            <w:r>
              <w:rPr>
                <w:rFonts w:hint="default" w:ascii="Times New Roman" w:hAnsi="Times New Roman" w:eastAsia="宋体" w:cs="Times New Roman"/>
                <w:color w:val="auto"/>
                <w:kern w:val="0"/>
                <w:sz w:val="24"/>
                <w:szCs w:val="24"/>
                <w:highlight w:val="none"/>
                <w:lang w:val="en-US" w:eastAsia="zh-CN" w:bidi="ar"/>
              </w:rPr>
              <w:t>mg/L</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NH</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-N</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40</w:t>
            </w:r>
            <w:r>
              <w:rPr>
                <w:rFonts w:hint="default" w:ascii="Times New Roman" w:hAnsi="Times New Roman" w:eastAsia="宋体" w:cs="Times New Roman"/>
                <w:color w:val="auto"/>
                <w:kern w:val="0"/>
                <w:sz w:val="24"/>
                <w:szCs w:val="24"/>
                <w:highlight w:val="none"/>
                <w:lang w:val="en-US" w:eastAsia="zh-CN" w:bidi="ar"/>
              </w:rPr>
              <w:t>mg/L</w:t>
            </w:r>
            <w:r>
              <w:rPr>
                <w:rFonts w:hint="eastAsia" w:ascii="Times New Roman" w:hAnsi="Times New Roman" w:eastAsia="宋体" w:cs="Times New Roman"/>
                <w:color w:val="auto"/>
                <w:kern w:val="0"/>
                <w:sz w:val="24"/>
                <w:szCs w:val="24"/>
                <w:highlight w:val="none"/>
                <w:lang w:val="en-US" w:eastAsia="zh-CN" w:bidi="ar"/>
              </w:rPr>
              <w:t>、</w:t>
            </w:r>
            <w:r>
              <w:rPr>
                <w:rFonts w:hint="eastAsia" w:eastAsia="宋体" w:cs="Times New Roman"/>
                <w:color w:val="auto"/>
                <w:kern w:val="0"/>
                <w:sz w:val="24"/>
                <w:szCs w:val="24"/>
                <w:highlight w:val="none"/>
                <w:lang w:val="en-US" w:eastAsia="zh-CN" w:bidi="ar"/>
              </w:rPr>
              <w:t>TN:</w:t>
            </w:r>
            <w:r>
              <w:rPr>
                <w:rFonts w:hint="eastAsia" w:cs="Times New Roman"/>
                <w:color w:val="auto"/>
                <w:kern w:val="0"/>
                <w:sz w:val="24"/>
                <w:szCs w:val="24"/>
                <w:highlight w:val="none"/>
                <w:lang w:val="en-US" w:eastAsia="zh-CN" w:bidi="ar"/>
              </w:rPr>
              <w:t>60</w:t>
            </w:r>
            <w:r>
              <w:rPr>
                <w:rFonts w:hint="default" w:ascii="Times New Roman" w:hAnsi="Times New Roman" w:eastAsia="宋体" w:cs="Times New Roman"/>
                <w:color w:val="auto"/>
                <w:kern w:val="0"/>
                <w:sz w:val="24"/>
                <w:szCs w:val="24"/>
                <w:highlight w:val="none"/>
                <w:lang w:val="en-US" w:eastAsia="zh-CN" w:bidi="ar"/>
              </w:rPr>
              <w:t>mg/L</w:t>
            </w:r>
            <w:r>
              <w:rPr>
                <w:rFonts w:hint="eastAsia" w:ascii="Times New Roman" w:hAnsi="Times New Roman" w:eastAsia="宋体" w:cs="Times New Roman"/>
                <w:color w:val="auto"/>
                <w:kern w:val="0"/>
                <w:sz w:val="24"/>
                <w:szCs w:val="24"/>
                <w:highlight w:val="none"/>
                <w:lang w:val="en-US" w:eastAsia="zh-CN" w:bidi="ar"/>
              </w:rPr>
              <w:t>、TP</w:t>
            </w:r>
            <w:r>
              <w:rPr>
                <w:rFonts w:hint="eastAsia" w:cs="Times New Roman"/>
                <w:color w:val="auto"/>
                <w:kern w:val="0"/>
                <w:sz w:val="24"/>
                <w:szCs w:val="24"/>
                <w:highlight w:val="none"/>
                <w:lang w:val="en-US" w:eastAsia="zh-CN" w:bidi="ar"/>
              </w:rPr>
              <w:t>：5</w:t>
            </w:r>
            <w:r>
              <w:rPr>
                <w:rFonts w:hint="eastAsia" w:ascii="Times New Roman" w:hAnsi="Times New Roman" w:eastAsia="宋体" w:cs="Times New Roman"/>
                <w:color w:val="auto"/>
                <w:kern w:val="0"/>
                <w:sz w:val="24"/>
                <w:szCs w:val="24"/>
                <w:highlight w:val="none"/>
                <w:lang w:val="en-US" w:eastAsia="zh-CN" w:bidi="ar"/>
              </w:rPr>
              <w:t>mg/L、阴离子表面活性剂</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12mg/L、粪大肠菌群：</w:t>
            </w:r>
            <w:r>
              <w:rPr>
                <w:rFonts w:hint="default" w:ascii="Times New Roman" w:hAnsi="Times New Roman" w:eastAsia="宋体" w:cs="Times New Roman"/>
                <w:color w:val="auto"/>
                <w:kern w:val="0"/>
                <w:sz w:val="24"/>
                <w:szCs w:val="24"/>
                <w:highlight w:val="none"/>
                <w:lang w:val="en-US" w:eastAsia="zh-CN" w:bidi="ar"/>
              </w:rPr>
              <w:t>6000MPN/L</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实验室</w:t>
            </w:r>
            <w:r>
              <w:rPr>
                <w:rFonts w:hint="eastAsia" w:eastAsia="宋体" w:cs="Times New Roman"/>
                <w:color w:val="auto"/>
                <w:kern w:val="0"/>
                <w:sz w:val="24"/>
                <w:szCs w:val="24"/>
                <w:highlight w:val="none"/>
                <w:lang w:val="en-US" w:eastAsia="zh-CN" w:bidi="ar"/>
              </w:rPr>
              <w:t>检测仪器设备</w:t>
            </w:r>
            <w:r>
              <w:rPr>
                <w:rFonts w:hint="eastAsia" w:ascii="Times New Roman" w:hAnsi="Times New Roman" w:eastAsia="宋体" w:cs="Times New Roman"/>
                <w:color w:val="auto"/>
                <w:kern w:val="0"/>
                <w:sz w:val="24"/>
                <w:szCs w:val="24"/>
                <w:highlight w:val="none"/>
                <w:lang w:val="en-US" w:eastAsia="zh-CN" w:bidi="ar"/>
              </w:rPr>
              <w:t>及器皿清洗</w:t>
            </w:r>
            <w:r>
              <w:rPr>
                <w:rFonts w:hint="eastAsia" w:cs="Times New Roman"/>
                <w:color w:val="auto"/>
                <w:kern w:val="0"/>
                <w:sz w:val="24"/>
                <w:szCs w:val="24"/>
                <w:highlight w:val="none"/>
                <w:lang w:val="en-US" w:eastAsia="zh-CN" w:bidi="ar"/>
              </w:rPr>
              <w:t>废水、笼具清洗废水依托医院现有污水处理站处理</w:t>
            </w:r>
            <w:r>
              <w:rPr>
                <w:rFonts w:hint="default" w:ascii="Times New Roman" w:hAnsi="Times New Roman" w:eastAsia="宋体" w:cs="Times New Roman"/>
                <w:color w:val="auto"/>
                <w:sz w:val="24"/>
                <w:szCs w:val="24"/>
              </w:rPr>
              <w:t>。</w:t>
            </w:r>
          </w:p>
          <w:p w14:paraId="653BD80A">
            <w:pPr>
              <w:keepNext w:val="0"/>
              <w:keepLines w:val="0"/>
              <w:suppressLineNumbers w:val="0"/>
              <w:spacing w:before="0" w:beforeAutospacing="0" w:after="0" w:afterAutospacing="0"/>
              <w:ind w:left="0" w:right="0"/>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2、纯水制备浓水</w:t>
            </w:r>
          </w:p>
          <w:p w14:paraId="21526E7D">
            <w:pPr>
              <w:keepNext w:val="0"/>
              <w:keepLines w:val="0"/>
              <w:suppressLineNumbers w:val="0"/>
              <w:spacing w:before="0" w:beforeAutospacing="0" w:after="0" w:afterAutospacing="0"/>
              <w:ind w:left="0" w:right="0"/>
              <w:rPr>
                <w:rFonts w:hint="eastAsia" w:cs="Times New Roman"/>
                <w:color w:val="auto"/>
                <w:kern w:val="0"/>
                <w:sz w:val="24"/>
                <w:szCs w:val="24"/>
                <w:highlight w:val="none"/>
                <w:lang w:val="en-US" w:eastAsia="zh-CN" w:bidi="ar"/>
              </w:rPr>
            </w:pPr>
            <w:r>
              <w:rPr>
                <w:rFonts w:hint="eastAsia" w:cs="Times New Roman"/>
                <w:color w:val="auto"/>
                <w:sz w:val="24"/>
                <w:szCs w:val="24"/>
                <w:lang w:val="en-US" w:eastAsia="zh-CN"/>
              </w:rPr>
              <w:t>根据前文水平衡分析可知，纯水制备</w:t>
            </w:r>
            <w:r>
              <w:rPr>
                <w:rFonts w:hint="eastAsia" w:cs="Times New Roman"/>
                <w:color w:val="auto"/>
                <w:kern w:val="0"/>
                <w:sz w:val="24"/>
                <w:szCs w:val="24"/>
                <w:highlight w:val="none"/>
                <w:lang w:val="en-US" w:eastAsia="zh-CN" w:bidi="ar"/>
              </w:rPr>
              <w:t>浓水1.191t/d（357.3t/a）。纯水制备浓水水质情况为COD：40mg/L、SS：30mg/L，纯水制备浓水排入医院现有污水处理站处理。</w:t>
            </w:r>
          </w:p>
          <w:p w14:paraId="4D9D4709">
            <w:pPr>
              <w:keepNext w:val="0"/>
              <w:keepLines w:val="0"/>
              <w:suppressLineNumbers w:val="0"/>
              <w:spacing w:before="0" w:beforeAutospacing="0" w:after="0" w:afterAutospacing="0"/>
              <w:ind w:left="0" w:right="0"/>
              <w:rPr>
                <w:rFonts w:hint="default"/>
                <w:color w:val="auto"/>
                <w:sz w:val="24"/>
                <w:szCs w:val="24"/>
                <w:lang w:val="en-US" w:eastAsia="zh-CN"/>
              </w:rPr>
            </w:pPr>
            <w:r>
              <w:rPr>
                <w:rFonts w:hint="eastAsia" w:cs="Times New Roman"/>
                <w:color w:val="auto"/>
                <w:kern w:val="0"/>
                <w:sz w:val="24"/>
                <w:szCs w:val="24"/>
                <w:highlight w:val="none"/>
                <w:lang w:val="en-US" w:eastAsia="zh-CN" w:bidi="ar"/>
              </w:rPr>
              <w:t>以上医疗废水依托医院现有污水处理站</w:t>
            </w:r>
            <w:r>
              <w:rPr>
                <w:rFonts w:hint="eastAsia"/>
                <w:color w:val="auto"/>
                <w:sz w:val="24"/>
                <w:szCs w:val="24"/>
                <w:lang w:val="en-US" w:eastAsia="zh-CN"/>
              </w:rPr>
              <w:t>采用“预处理（消毒）+污水处理站处理（调节+接触氧化+二沉池+消毒）”达到《</w:t>
            </w:r>
            <w:r>
              <w:rPr>
                <w:rFonts w:hint="eastAsia" w:eastAsiaTheme="minorEastAsia"/>
                <w:bCs/>
                <w:color w:val="auto"/>
                <w:szCs w:val="21"/>
                <w:lang w:val="en-US" w:eastAsia="zh-CN"/>
              </w:rPr>
              <w:t>医疗机构水污染物排放标准</w:t>
            </w:r>
            <w:r>
              <w:rPr>
                <w:rFonts w:hint="eastAsia"/>
                <w:color w:val="auto"/>
                <w:sz w:val="24"/>
                <w:szCs w:val="24"/>
                <w:lang w:val="en-US" w:eastAsia="zh-CN"/>
              </w:rPr>
              <w:t>》（GB18466-2005）表2标准及</w:t>
            </w:r>
            <w:r>
              <w:rPr>
                <w:rFonts w:hint="eastAsia" w:eastAsiaTheme="minorEastAsia"/>
                <w:bCs/>
                <w:color w:val="auto"/>
                <w:szCs w:val="21"/>
                <w:lang w:eastAsia="zh-CN"/>
              </w:rPr>
              <w:t>涟水县污水处理厂</w:t>
            </w:r>
            <w:r>
              <w:rPr>
                <w:rFonts w:hint="eastAsia"/>
                <w:color w:val="auto"/>
                <w:sz w:val="24"/>
                <w:szCs w:val="24"/>
                <w:lang w:val="en-US" w:eastAsia="zh-CN"/>
              </w:rPr>
              <w:t>接管标准后</w:t>
            </w:r>
            <w:r>
              <w:rPr>
                <w:rFonts w:hint="eastAsia" w:cs="Times New Roman"/>
                <w:color w:val="auto"/>
                <w:kern w:val="0"/>
                <w:sz w:val="24"/>
                <w:szCs w:val="24"/>
                <w:highlight w:val="none"/>
                <w:lang w:val="en-US" w:eastAsia="zh-CN" w:bidi="ar"/>
              </w:rPr>
              <w:t>排入</w:t>
            </w:r>
            <w:r>
              <w:rPr>
                <w:rFonts w:hint="eastAsia" w:eastAsiaTheme="minorEastAsia"/>
                <w:bCs/>
                <w:color w:val="auto"/>
                <w:szCs w:val="21"/>
                <w:lang w:eastAsia="zh-CN"/>
              </w:rPr>
              <w:t>涟水县污水处理厂深度处理</w:t>
            </w:r>
            <w:r>
              <w:rPr>
                <w:rFonts w:hint="default" w:ascii="Times New Roman" w:hAnsi="Times New Roman" w:eastAsia="宋体" w:cs="Times New Roman"/>
                <w:color w:val="auto"/>
                <w:sz w:val="24"/>
                <w:szCs w:val="24"/>
              </w:rPr>
              <w:t>。</w:t>
            </w:r>
          </w:p>
          <w:p w14:paraId="22385D37">
            <w:pPr>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3、生活污水</w:t>
            </w:r>
          </w:p>
          <w:p w14:paraId="10F47F68">
            <w:pPr>
              <w:keepNext w:val="0"/>
              <w:keepLines w:val="0"/>
              <w:suppressLineNumbers w:val="0"/>
              <w:spacing w:before="0" w:beforeAutospacing="0" w:after="0" w:afterAutospacing="0"/>
              <w:ind w:left="0" w:right="0"/>
              <w:rPr>
                <w:rFonts w:hint="default"/>
                <w:color w:val="auto"/>
                <w:lang w:val="en-US" w:eastAsia="zh-CN"/>
              </w:rPr>
            </w:pPr>
            <w:r>
              <w:rPr>
                <w:rFonts w:hint="eastAsia" w:cs="Times New Roman"/>
                <w:color w:val="auto"/>
                <w:sz w:val="24"/>
                <w:szCs w:val="24"/>
                <w:lang w:val="en-US" w:eastAsia="zh-CN"/>
              </w:rPr>
              <w:t>根据前文水平衡分析可知，</w:t>
            </w:r>
            <w:r>
              <w:rPr>
                <w:rFonts w:hint="default" w:ascii="Times New Roman" w:hAnsi="Times New Roman" w:eastAsia="宋体" w:cs="Times New Roman"/>
                <w:color w:val="auto"/>
                <w:kern w:val="0"/>
                <w:sz w:val="24"/>
                <w:szCs w:val="24"/>
                <w:highlight w:val="none"/>
                <w:lang w:val="en-US" w:eastAsia="zh-CN" w:bidi="ar"/>
              </w:rPr>
              <w:t>项目生活污水量</w:t>
            </w:r>
            <w:r>
              <w:rPr>
                <w:rFonts w:hint="eastAsia" w:cs="Times New Roman"/>
                <w:color w:val="auto"/>
                <w:kern w:val="0"/>
                <w:sz w:val="24"/>
                <w:szCs w:val="24"/>
                <w:highlight w:val="none"/>
                <w:lang w:val="en-US" w:eastAsia="zh-CN" w:bidi="ar"/>
              </w:rPr>
              <w:t>2.25</w:t>
            </w:r>
            <w:r>
              <w:rPr>
                <w:rFonts w:hint="default" w:ascii="Times New Roman" w:hAnsi="Times New Roman" w:eastAsia="宋体" w:cs="Times New Roman"/>
                <w:color w:val="auto"/>
                <w:kern w:val="0"/>
                <w:sz w:val="24"/>
                <w:szCs w:val="24"/>
                <w:highlight w:val="none"/>
                <w:lang w:val="en-US" w:eastAsia="zh-CN" w:bidi="ar"/>
              </w:rPr>
              <w:t>t/d（</w:t>
            </w:r>
            <w:r>
              <w:rPr>
                <w:rFonts w:hint="eastAsia" w:cs="Times New Roman"/>
                <w:color w:val="auto"/>
                <w:kern w:val="0"/>
                <w:sz w:val="24"/>
                <w:szCs w:val="24"/>
                <w:highlight w:val="none"/>
                <w:lang w:val="en-US" w:eastAsia="zh-CN" w:bidi="ar"/>
              </w:rPr>
              <w:t>675</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eastAsia"/>
                <w:color w:val="auto"/>
                <w:lang w:val="en-US" w:eastAsia="zh-CN"/>
              </w:rPr>
              <w:t>项目生活污水水质</w:t>
            </w:r>
            <w:r>
              <w:rPr>
                <w:rFonts w:hint="default" w:ascii="Times New Roman" w:hAnsi="Times New Roman" w:cs="Times New Roman"/>
                <w:color w:val="auto"/>
                <w:highlight w:val="none"/>
              </w:rPr>
              <w:t>参考同类型项目</w:t>
            </w:r>
            <w:r>
              <w:rPr>
                <w:rFonts w:hint="eastAsia"/>
                <w:color w:val="auto"/>
                <w:lang w:val="en-US" w:eastAsia="zh-CN"/>
              </w:rPr>
              <w:t>：化学需氧量：350mg/L、悬浮物：200mg/L、氨氮：30mg/L、总磷：4mg/L、总氮：40mg/L。项目生活污水经化粪池处理达标后与医疗废水最终排入</w:t>
            </w:r>
            <w:r>
              <w:rPr>
                <w:rFonts w:hint="eastAsia" w:eastAsiaTheme="minorEastAsia"/>
                <w:bCs/>
                <w:color w:val="auto"/>
                <w:szCs w:val="21"/>
                <w:lang w:eastAsia="zh-CN"/>
              </w:rPr>
              <w:t>涟水县污水处理厂深度处理</w:t>
            </w:r>
            <w:r>
              <w:rPr>
                <w:rFonts w:hint="default" w:ascii="Times New Roman" w:hAnsi="Times New Roman" w:eastAsia="宋体" w:cs="Times New Roman"/>
                <w:color w:val="auto"/>
                <w:sz w:val="24"/>
                <w:szCs w:val="24"/>
              </w:rPr>
              <w:t>。</w:t>
            </w:r>
          </w:p>
        </w:tc>
      </w:tr>
    </w:tbl>
    <w:p w14:paraId="21C29711">
      <w:pPr>
        <w:numPr>
          <w:ilvl w:val="0"/>
          <w:numId w:val="0"/>
        </w:numPr>
        <w:ind w:leftChars="0"/>
        <w:rPr>
          <w:rFonts w:hint="default"/>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8125"/>
      </w:tblGrid>
      <w:tr w14:paraId="27CD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1" w:hRule="atLeast"/>
        </w:trPr>
        <w:tc>
          <w:tcPr>
            <w:tcW w:w="397" w:type="dxa"/>
          </w:tcPr>
          <w:p w14:paraId="0FE3C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lang w:val="en-US" w:eastAsia="zh-CN"/>
              </w:rPr>
            </w:pPr>
          </w:p>
        </w:tc>
        <w:tc>
          <w:tcPr>
            <w:tcW w:w="8125" w:type="dxa"/>
          </w:tcPr>
          <w:p w14:paraId="564959E9">
            <w:pPr>
              <w:keepNext w:val="0"/>
              <w:keepLines w:val="0"/>
              <w:suppressLineNumbers w:val="0"/>
              <w:adjustRightInd w:val="0"/>
              <w:snapToGrid w:val="0"/>
              <w:spacing w:before="0" w:beforeAutospacing="0" w:after="0" w:afterAutospacing="0" w:line="360" w:lineRule="auto"/>
              <w:ind w:left="0" w:right="0"/>
              <w:rPr>
                <w:rFonts w:hint="eastAsia" w:eastAsiaTheme="minorEastAsia"/>
                <w:b/>
                <w:bCs/>
                <w:color w:val="auto"/>
                <w:kern w:val="0"/>
                <w:szCs w:val="21"/>
              </w:rPr>
            </w:pPr>
            <w:r>
              <w:rPr>
                <w:rFonts w:hint="eastAsia" w:eastAsiaTheme="minorEastAsia"/>
                <w:b/>
                <w:bCs/>
                <w:color w:val="auto"/>
                <w:kern w:val="0"/>
                <w:szCs w:val="21"/>
                <w:lang w:val="en-US" w:eastAsia="zh-CN"/>
              </w:rPr>
              <w:t>2.3</w:t>
            </w:r>
            <w:r>
              <w:rPr>
                <w:rFonts w:hint="eastAsia" w:eastAsiaTheme="minorEastAsia"/>
                <w:b/>
                <w:bCs/>
                <w:color w:val="auto"/>
                <w:kern w:val="0"/>
                <w:szCs w:val="21"/>
              </w:rPr>
              <w:t>依托现有污水处理站可行性分析</w:t>
            </w:r>
          </w:p>
          <w:p w14:paraId="32DD56BF">
            <w:pPr>
              <w:keepNext w:val="0"/>
              <w:keepLines w:val="0"/>
              <w:suppressLineNumbers w:val="0"/>
              <w:adjustRightInd w:val="0"/>
              <w:snapToGrid w:val="0"/>
              <w:spacing w:before="0" w:beforeAutospacing="0" w:after="0" w:afterAutospacing="0" w:line="360" w:lineRule="auto"/>
              <w:ind w:left="0" w:right="0"/>
              <w:rPr>
                <w:rFonts w:hint="eastAsia" w:eastAsiaTheme="minorEastAsia"/>
                <w:color w:val="auto"/>
                <w:szCs w:val="21"/>
                <w:lang w:val="en-US" w:eastAsia="zh-CN"/>
              </w:rPr>
            </w:pPr>
            <w:r>
              <w:rPr>
                <w:rFonts w:hint="eastAsia" w:eastAsiaTheme="minorEastAsia"/>
                <w:color w:val="auto"/>
                <w:szCs w:val="21"/>
              </w:rPr>
              <w:t>根据HJ2029-2013要求：新</w:t>
            </w:r>
            <w:r>
              <w:rPr>
                <w:rFonts w:hint="eastAsia" w:eastAsiaTheme="minorEastAsia"/>
                <w:color w:val="auto"/>
                <w:szCs w:val="21"/>
                <w:lang w:eastAsia="zh-CN"/>
              </w:rPr>
              <w:t>（</w:t>
            </w:r>
            <w:r>
              <w:rPr>
                <w:rFonts w:hint="eastAsia" w:eastAsiaTheme="minorEastAsia"/>
                <w:color w:val="auto"/>
                <w:szCs w:val="21"/>
              </w:rPr>
              <w:t>改、扩</w:t>
            </w:r>
            <w:r>
              <w:rPr>
                <w:rFonts w:hint="eastAsia" w:eastAsiaTheme="minorEastAsia"/>
                <w:color w:val="auto"/>
                <w:szCs w:val="21"/>
                <w:lang w:eastAsia="zh-CN"/>
              </w:rPr>
              <w:t>）</w:t>
            </w:r>
            <w:r>
              <w:rPr>
                <w:rFonts w:hint="eastAsia" w:eastAsiaTheme="minorEastAsia"/>
                <w:color w:val="auto"/>
                <w:szCs w:val="21"/>
              </w:rPr>
              <w:t>建医院，在设计医院污水处理系统时应考虑将医院病区、非病区</w:t>
            </w:r>
            <w:r>
              <w:rPr>
                <w:rFonts w:hint="eastAsia" w:eastAsiaTheme="minorEastAsia"/>
                <w:color w:val="auto"/>
                <w:szCs w:val="21"/>
                <w:lang w:eastAsia="zh-CN"/>
              </w:rPr>
              <w:t>等</w:t>
            </w:r>
            <w:r>
              <w:rPr>
                <w:rFonts w:hint="eastAsia" w:eastAsiaTheme="minorEastAsia"/>
                <w:color w:val="auto"/>
                <w:szCs w:val="21"/>
              </w:rPr>
              <w:t>污水分别收集。</w:t>
            </w:r>
            <w:r>
              <w:rPr>
                <w:rFonts w:hint="eastAsia" w:eastAsiaTheme="minorEastAsia"/>
                <w:color w:val="auto"/>
                <w:szCs w:val="21"/>
                <w:lang w:val="en-US" w:eastAsia="zh-CN"/>
              </w:rPr>
              <w:t>本项目</w:t>
            </w:r>
            <w:r>
              <w:rPr>
                <w:rFonts w:hint="default" w:ascii="Times New Roman" w:hAnsi="Times New Roman" w:eastAsia="宋体" w:cs="Times New Roman"/>
                <w:color w:val="auto"/>
                <w:kern w:val="0"/>
                <w:sz w:val="24"/>
                <w:szCs w:val="24"/>
                <w:highlight w:val="none"/>
                <w:lang w:val="en-US" w:eastAsia="zh-CN" w:bidi="ar"/>
              </w:rPr>
              <w:t>实验室</w:t>
            </w:r>
            <w:r>
              <w:rPr>
                <w:rFonts w:hint="eastAsia" w:eastAsia="宋体" w:cs="Times New Roman"/>
                <w:color w:val="auto"/>
                <w:kern w:val="0"/>
                <w:sz w:val="24"/>
                <w:szCs w:val="24"/>
                <w:highlight w:val="none"/>
                <w:lang w:val="en-US" w:eastAsia="zh-CN" w:bidi="ar"/>
              </w:rPr>
              <w:t>检测仪器设备</w:t>
            </w:r>
            <w:r>
              <w:rPr>
                <w:rFonts w:hint="eastAsia" w:ascii="Times New Roman" w:hAnsi="Times New Roman" w:eastAsia="宋体" w:cs="Times New Roman"/>
                <w:color w:val="auto"/>
                <w:kern w:val="0"/>
                <w:sz w:val="24"/>
                <w:szCs w:val="24"/>
                <w:highlight w:val="none"/>
                <w:lang w:val="en-US" w:eastAsia="zh-CN" w:bidi="ar"/>
              </w:rPr>
              <w:t>及器皿清洗废水、纯水制备浓水</w:t>
            </w:r>
            <w:r>
              <w:rPr>
                <w:rFonts w:hint="eastAsia" w:eastAsiaTheme="minorEastAsia"/>
                <w:color w:val="auto"/>
                <w:szCs w:val="21"/>
                <w:lang w:val="en-US" w:eastAsia="zh-CN"/>
              </w:rPr>
              <w:t>单独收集，经过现有废水预处理系统（消毒）处理后排入院区污水处理站处理。现有消毒预处理系统位于污水处理站东侧，院感楼与一体化感染楼中间位置，采用二氧化氯发生器，主要为预消毒池、脱氯池，</w:t>
            </w:r>
            <w:r>
              <w:rPr>
                <w:rFonts w:hint="default" w:ascii="Times New Roman" w:hAnsi="Times New Roman" w:eastAsia="宋体" w:cs="Times New Roman"/>
                <w:color w:val="auto"/>
                <w:kern w:val="0"/>
                <w:sz w:val="24"/>
                <w:szCs w:val="24"/>
                <w:highlight w:val="none"/>
                <w:lang w:val="en-US" w:eastAsia="zh-CN" w:bidi="ar"/>
              </w:rPr>
              <w:t>实验室</w:t>
            </w:r>
            <w:r>
              <w:rPr>
                <w:rFonts w:hint="eastAsia" w:eastAsia="宋体" w:cs="Times New Roman"/>
                <w:color w:val="auto"/>
                <w:kern w:val="0"/>
                <w:sz w:val="24"/>
                <w:szCs w:val="24"/>
                <w:highlight w:val="none"/>
                <w:lang w:val="en-US" w:eastAsia="zh-CN" w:bidi="ar"/>
              </w:rPr>
              <w:t>检测仪器设备</w:t>
            </w:r>
            <w:r>
              <w:rPr>
                <w:rFonts w:hint="eastAsia" w:ascii="Times New Roman" w:hAnsi="Times New Roman" w:eastAsia="宋体" w:cs="Times New Roman"/>
                <w:color w:val="auto"/>
                <w:kern w:val="0"/>
                <w:sz w:val="24"/>
                <w:szCs w:val="24"/>
                <w:highlight w:val="none"/>
                <w:lang w:val="en-US" w:eastAsia="zh-CN" w:bidi="ar"/>
              </w:rPr>
              <w:t>及器皿清洗废水、纯水制备浓水</w:t>
            </w:r>
            <w:r>
              <w:rPr>
                <w:rFonts w:hint="eastAsia" w:eastAsiaTheme="minorEastAsia"/>
                <w:color w:val="auto"/>
                <w:szCs w:val="21"/>
                <w:lang w:val="en-US" w:eastAsia="zh-CN"/>
              </w:rPr>
              <w:t>经单独管道收集后经过预消毒池（80m</w:t>
            </w:r>
            <w:r>
              <w:rPr>
                <w:rFonts w:hint="eastAsia" w:eastAsiaTheme="minorEastAsia"/>
                <w:color w:val="auto"/>
                <w:szCs w:val="21"/>
                <w:vertAlign w:val="superscript"/>
                <w:lang w:val="en-US" w:eastAsia="zh-CN"/>
              </w:rPr>
              <w:t>3</w:t>
            </w:r>
            <w:r>
              <w:rPr>
                <w:rFonts w:hint="eastAsia" w:eastAsiaTheme="minorEastAsia"/>
                <w:color w:val="auto"/>
                <w:szCs w:val="21"/>
                <w:lang w:val="en-US" w:eastAsia="zh-CN"/>
              </w:rPr>
              <w:t>/d）处理，项目采用氯消毒时间为1.5小时，经消毒后，使用硫代硫酸钠进行脱氯。</w:t>
            </w:r>
          </w:p>
          <w:p w14:paraId="1D92D48D">
            <w:pPr>
              <w:keepNext w:val="0"/>
              <w:keepLines w:val="0"/>
              <w:suppressLineNumbers w:val="0"/>
              <w:spacing w:before="0" w:beforeAutospacing="0" w:after="0" w:afterAutospacing="0" w:line="360" w:lineRule="auto"/>
              <w:ind w:left="0" w:right="0" w:firstLine="480" w:firstLineChars="200"/>
              <w:rPr>
                <w:rFonts w:hint="default" w:eastAsiaTheme="minorEastAsia"/>
                <w:color w:val="auto"/>
                <w:szCs w:val="21"/>
                <w:lang w:val="en-US" w:eastAsia="zh-CN"/>
              </w:rPr>
            </w:pPr>
            <w:r>
              <w:rPr>
                <w:rFonts w:hint="eastAsia" w:eastAsiaTheme="minorEastAsia"/>
                <w:color w:val="auto"/>
                <w:szCs w:val="21"/>
                <w:lang w:eastAsia="zh-CN"/>
              </w:rPr>
              <w:t>根据医院现有项目环评及验收材料：</w:t>
            </w:r>
            <w:r>
              <w:rPr>
                <w:rFonts w:hint="eastAsia" w:eastAsiaTheme="minorEastAsia"/>
                <w:color w:val="auto"/>
                <w:szCs w:val="21"/>
                <w:lang w:val="en-US" w:eastAsia="zh-CN"/>
              </w:rPr>
              <w:t>消毒池设计</w:t>
            </w:r>
            <w:r>
              <w:rPr>
                <w:rFonts w:hint="eastAsia" w:eastAsiaTheme="minorEastAsia"/>
                <w:color w:val="auto"/>
                <w:szCs w:val="21"/>
              </w:rPr>
              <w:t>处理能力为</w:t>
            </w:r>
            <w:r>
              <w:rPr>
                <w:rFonts w:hint="eastAsia" w:eastAsiaTheme="minorEastAsia"/>
                <w:color w:val="auto"/>
                <w:szCs w:val="21"/>
                <w:lang w:val="en-US" w:eastAsia="zh-CN"/>
              </w:rPr>
              <w:t>80</w:t>
            </w:r>
            <w:r>
              <w:rPr>
                <w:rFonts w:hint="eastAsia" w:eastAsiaTheme="minorEastAsia"/>
                <w:color w:val="auto"/>
                <w:szCs w:val="21"/>
              </w:rPr>
              <w:t>m</w:t>
            </w:r>
            <w:r>
              <w:rPr>
                <w:rFonts w:hint="eastAsia" w:eastAsiaTheme="minorEastAsia"/>
                <w:color w:val="auto"/>
                <w:szCs w:val="21"/>
                <w:vertAlign w:val="superscript"/>
              </w:rPr>
              <w:t>3</w:t>
            </w:r>
            <w:r>
              <w:rPr>
                <w:rFonts w:hint="eastAsia" w:eastAsiaTheme="minorEastAsia"/>
                <w:color w:val="auto"/>
                <w:szCs w:val="21"/>
              </w:rPr>
              <w:t>/d，</w:t>
            </w:r>
            <w:r>
              <w:rPr>
                <w:rFonts w:hint="eastAsia" w:eastAsiaTheme="minorEastAsia"/>
                <w:color w:val="auto"/>
                <w:szCs w:val="21"/>
                <w:lang w:eastAsia="zh-CN"/>
              </w:rPr>
              <w:t>医院</w:t>
            </w:r>
            <w:r>
              <w:rPr>
                <w:rFonts w:hint="eastAsia" w:eastAsiaTheme="minorEastAsia"/>
                <w:color w:val="auto"/>
                <w:szCs w:val="21"/>
              </w:rPr>
              <w:t>现有</w:t>
            </w:r>
            <w:r>
              <w:rPr>
                <w:rFonts w:hint="eastAsia" w:eastAsiaTheme="minorEastAsia"/>
                <w:color w:val="auto"/>
                <w:szCs w:val="21"/>
                <w:lang w:eastAsia="zh-CN"/>
              </w:rPr>
              <w:t>进消毒池</w:t>
            </w:r>
            <w:r>
              <w:rPr>
                <w:rFonts w:hint="eastAsia" w:eastAsiaTheme="minorEastAsia"/>
                <w:color w:val="auto"/>
                <w:szCs w:val="21"/>
              </w:rPr>
              <w:t>废水排放量为</w:t>
            </w:r>
            <w:r>
              <w:rPr>
                <w:rFonts w:hint="eastAsia" w:eastAsiaTheme="minorEastAsia"/>
                <w:color w:val="auto"/>
                <w:szCs w:val="21"/>
                <w:lang w:val="en-US" w:eastAsia="zh-CN"/>
              </w:rPr>
              <w:t>46</w:t>
            </w:r>
            <w:r>
              <w:rPr>
                <w:rFonts w:hint="eastAsia" w:eastAsiaTheme="minorEastAsia"/>
                <w:color w:val="auto"/>
                <w:szCs w:val="21"/>
              </w:rPr>
              <w:t>t/d，</w:t>
            </w:r>
            <w:r>
              <w:rPr>
                <w:rFonts w:hint="eastAsia" w:eastAsiaTheme="minorEastAsia"/>
                <w:color w:val="auto"/>
                <w:szCs w:val="21"/>
                <w:lang w:eastAsia="zh-CN"/>
              </w:rPr>
              <w:t>消毒池</w:t>
            </w:r>
            <w:r>
              <w:rPr>
                <w:rFonts w:hint="eastAsia" w:eastAsiaTheme="minorEastAsia"/>
                <w:color w:val="auto"/>
                <w:szCs w:val="21"/>
              </w:rPr>
              <w:t>剩余处理能力为</w:t>
            </w:r>
            <w:r>
              <w:rPr>
                <w:rFonts w:hint="eastAsia" w:eastAsiaTheme="minorEastAsia"/>
                <w:color w:val="auto"/>
                <w:szCs w:val="21"/>
                <w:lang w:val="en-US" w:eastAsia="zh-CN"/>
              </w:rPr>
              <w:t>34</w:t>
            </w:r>
            <w:r>
              <w:rPr>
                <w:rFonts w:hint="eastAsia" w:eastAsiaTheme="minorEastAsia"/>
                <w:color w:val="auto"/>
                <w:szCs w:val="21"/>
              </w:rPr>
              <w:t>t/d，本次项目</w:t>
            </w:r>
            <w:r>
              <w:rPr>
                <w:rFonts w:hint="eastAsia" w:eastAsiaTheme="minorEastAsia"/>
                <w:color w:val="auto"/>
                <w:szCs w:val="21"/>
                <w:lang w:eastAsia="zh-CN"/>
              </w:rPr>
              <w:t>进消毒池</w:t>
            </w:r>
            <w:r>
              <w:rPr>
                <w:rFonts w:hint="eastAsia" w:eastAsiaTheme="minorEastAsia"/>
                <w:color w:val="auto"/>
                <w:szCs w:val="21"/>
              </w:rPr>
              <w:t>废水</w:t>
            </w:r>
            <w:r>
              <w:rPr>
                <w:rFonts w:hint="eastAsia" w:eastAsiaTheme="minorEastAsia"/>
                <w:color w:val="auto"/>
                <w:szCs w:val="21"/>
                <w:lang w:eastAsia="zh-CN"/>
              </w:rPr>
              <w:t>（</w:t>
            </w:r>
            <w:r>
              <w:rPr>
                <w:rFonts w:hint="default" w:ascii="Times New Roman" w:hAnsi="Times New Roman" w:eastAsia="宋体" w:cs="Times New Roman"/>
                <w:color w:val="auto"/>
                <w:kern w:val="0"/>
                <w:sz w:val="24"/>
                <w:szCs w:val="24"/>
                <w:highlight w:val="none"/>
                <w:lang w:val="en-US" w:eastAsia="zh-CN" w:bidi="ar"/>
              </w:rPr>
              <w:t>实验室</w:t>
            </w:r>
            <w:r>
              <w:rPr>
                <w:rFonts w:hint="eastAsia" w:eastAsia="宋体" w:cs="Times New Roman"/>
                <w:color w:val="auto"/>
                <w:kern w:val="0"/>
                <w:sz w:val="24"/>
                <w:szCs w:val="24"/>
                <w:highlight w:val="none"/>
                <w:lang w:val="en-US" w:eastAsia="zh-CN" w:bidi="ar"/>
              </w:rPr>
              <w:t>检测仪器设备</w:t>
            </w:r>
            <w:r>
              <w:rPr>
                <w:rFonts w:hint="eastAsia" w:ascii="Times New Roman" w:hAnsi="Times New Roman" w:eastAsia="宋体" w:cs="Times New Roman"/>
                <w:color w:val="auto"/>
                <w:kern w:val="0"/>
                <w:sz w:val="24"/>
                <w:szCs w:val="24"/>
                <w:highlight w:val="none"/>
                <w:lang w:val="en-US" w:eastAsia="zh-CN" w:bidi="ar"/>
              </w:rPr>
              <w:t>及器皿清洗废水、纯水制备浓水</w:t>
            </w:r>
            <w:r>
              <w:rPr>
                <w:rFonts w:hint="eastAsia" w:eastAsiaTheme="minorEastAsia"/>
                <w:color w:val="auto"/>
                <w:szCs w:val="21"/>
                <w:lang w:eastAsia="zh-CN"/>
              </w:rPr>
              <w:t>）</w:t>
            </w:r>
            <w:r>
              <w:rPr>
                <w:rFonts w:hint="eastAsia" w:eastAsiaTheme="minorEastAsia"/>
                <w:color w:val="auto"/>
                <w:szCs w:val="21"/>
              </w:rPr>
              <w:t>排放量为</w:t>
            </w:r>
            <w:r>
              <w:rPr>
                <w:rFonts w:hint="eastAsia" w:eastAsiaTheme="minorEastAsia"/>
                <w:color w:val="auto"/>
                <w:szCs w:val="21"/>
                <w:lang w:val="en-US" w:eastAsia="zh-CN"/>
              </w:rPr>
              <w:t>2.36</w:t>
            </w:r>
            <w:r>
              <w:rPr>
                <w:rFonts w:hint="eastAsia" w:eastAsiaTheme="minorEastAsia"/>
                <w:color w:val="auto"/>
                <w:szCs w:val="21"/>
              </w:rPr>
              <w:t>t/d</w:t>
            </w:r>
            <w:r>
              <w:rPr>
                <w:rFonts w:hint="eastAsia" w:eastAsiaTheme="minorEastAsia"/>
                <w:color w:val="auto"/>
                <w:szCs w:val="21"/>
                <w:lang w:eastAsia="zh-CN"/>
              </w:rPr>
              <w:t>（</w:t>
            </w:r>
            <w:r>
              <w:rPr>
                <w:rFonts w:hint="eastAsia" w:eastAsiaTheme="minorEastAsia"/>
                <w:color w:val="auto"/>
                <w:szCs w:val="21"/>
                <w:lang w:val="en-US" w:eastAsia="zh-CN"/>
              </w:rPr>
              <w:t>708.3t/a</w:t>
            </w:r>
            <w:r>
              <w:rPr>
                <w:rFonts w:hint="eastAsia" w:eastAsiaTheme="minorEastAsia"/>
                <w:color w:val="auto"/>
                <w:szCs w:val="21"/>
                <w:lang w:eastAsia="zh-CN"/>
              </w:rPr>
              <w:t>）</w:t>
            </w:r>
            <w:r>
              <w:rPr>
                <w:rFonts w:hint="eastAsia" w:eastAsiaTheme="minorEastAsia"/>
                <w:color w:val="auto"/>
                <w:szCs w:val="21"/>
              </w:rPr>
              <w:t>，</w:t>
            </w:r>
            <w:r>
              <w:rPr>
                <w:rFonts w:hint="eastAsia" w:eastAsiaTheme="minorEastAsia"/>
                <w:color w:val="auto"/>
                <w:szCs w:val="21"/>
                <w:lang w:val="en-US" w:eastAsia="zh-CN"/>
              </w:rPr>
              <w:t>占其剩余处理能力的6.94%，医院现有消毒池预处理设施完全有能力接纳本项目的水量。</w:t>
            </w:r>
          </w:p>
          <w:p w14:paraId="355A6B23">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lang w:val="en-US" w:eastAsia="zh-CN"/>
              </w:rPr>
              <w:t>项目污水处理站（调节+接触氧化+二沉池+消毒）设计</w:t>
            </w:r>
            <w:r>
              <w:rPr>
                <w:rFonts w:hint="eastAsia" w:eastAsiaTheme="minorEastAsia"/>
                <w:color w:val="auto"/>
                <w:szCs w:val="21"/>
              </w:rPr>
              <w:t>处理能力为</w:t>
            </w:r>
            <w:r>
              <w:rPr>
                <w:rFonts w:hint="eastAsia" w:eastAsiaTheme="minorEastAsia"/>
                <w:color w:val="auto"/>
                <w:szCs w:val="21"/>
                <w:lang w:val="en-US" w:eastAsia="zh-CN"/>
              </w:rPr>
              <w:t>800</w:t>
            </w:r>
            <w:r>
              <w:rPr>
                <w:rFonts w:hint="eastAsia" w:eastAsiaTheme="minorEastAsia"/>
                <w:color w:val="auto"/>
                <w:szCs w:val="21"/>
              </w:rPr>
              <w:t>m</w:t>
            </w:r>
            <w:r>
              <w:rPr>
                <w:rFonts w:hint="eastAsia" w:eastAsiaTheme="minorEastAsia"/>
                <w:color w:val="auto"/>
                <w:szCs w:val="21"/>
                <w:vertAlign w:val="superscript"/>
              </w:rPr>
              <w:t>3</w:t>
            </w:r>
            <w:r>
              <w:rPr>
                <w:rFonts w:hint="eastAsia" w:eastAsiaTheme="minorEastAsia"/>
                <w:color w:val="auto"/>
                <w:szCs w:val="21"/>
              </w:rPr>
              <w:t>/d，现有项目废水排放量为</w:t>
            </w:r>
            <w:r>
              <w:rPr>
                <w:rFonts w:hint="eastAsia" w:eastAsiaTheme="minorEastAsia"/>
                <w:color w:val="auto"/>
                <w:szCs w:val="21"/>
                <w:lang w:val="en-US" w:eastAsia="zh-CN"/>
              </w:rPr>
              <w:t>447.9</w:t>
            </w:r>
            <w:r>
              <w:rPr>
                <w:rFonts w:hint="eastAsia" w:eastAsiaTheme="minorEastAsia"/>
                <w:color w:val="auto"/>
                <w:szCs w:val="21"/>
              </w:rPr>
              <w:t>t/d，污水处理站剩余处理能力为</w:t>
            </w:r>
            <w:r>
              <w:rPr>
                <w:rFonts w:hint="eastAsia" w:eastAsiaTheme="minorEastAsia"/>
                <w:color w:val="auto"/>
                <w:szCs w:val="21"/>
                <w:lang w:val="en-US" w:eastAsia="zh-CN"/>
              </w:rPr>
              <w:t>352.1</w:t>
            </w:r>
            <w:r>
              <w:rPr>
                <w:rFonts w:hint="eastAsia" w:eastAsiaTheme="minorEastAsia"/>
                <w:color w:val="auto"/>
                <w:szCs w:val="21"/>
              </w:rPr>
              <w:t>t/d，本次项目废水排放量为</w:t>
            </w:r>
            <w:r>
              <w:rPr>
                <w:rFonts w:hint="eastAsia" w:eastAsiaTheme="minorEastAsia"/>
                <w:color w:val="auto"/>
                <w:szCs w:val="21"/>
                <w:lang w:val="en-US" w:eastAsia="zh-CN"/>
              </w:rPr>
              <w:t>2.36</w:t>
            </w:r>
            <w:r>
              <w:rPr>
                <w:rFonts w:hint="eastAsia" w:eastAsiaTheme="minorEastAsia"/>
                <w:color w:val="auto"/>
                <w:szCs w:val="21"/>
              </w:rPr>
              <w:t>t/d</w:t>
            </w:r>
            <w:r>
              <w:rPr>
                <w:rFonts w:hint="eastAsia" w:eastAsiaTheme="minorEastAsia"/>
                <w:color w:val="auto"/>
                <w:szCs w:val="21"/>
                <w:lang w:eastAsia="zh-CN"/>
              </w:rPr>
              <w:t>（</w:t>
            </w:r>
            <w:r>
              <w:rPr>
                <w:rFonts w:hint="eastAsia" w:eastAsiaTheme="minorEastAsia"/>
                <w:color w:val="auto"/>
                <w:szCs w:val="21"/>
                <w:lang w:val="en-US" w:eastAsia="zh-CN"/>
              </w:rPr>
              <w:t>708.3t/a</w:t>
            </w:r>
            <w:r>
              <w:rPr>
                <w:rFonts w:hint="eastAsia" w:eastAsiaTheme="minorEastAsia"/>
                <w:color w:val="auto"/>
                <w:szCs w:val="21"/>
                <w:lang w:eastAsia="zh-CN"/>
              </w:rPr>
              <w:t>）</w:t>
            </w:r>
            <w:r>
              <w:rPr>
                <w:rFonts w:hint="eastAsia" w:eastAsiaTheme="minorEastAsia"/>
                <w:color w:val="auto"/>
                <w:szCs w:val="21"/>
              </w:rPr>
              <w:t>，</w:t>
            </w:r>
            <w:r>
              <w:rPr>
                <w:rFonts w:hint="eastAsia" w:eastAsiaTheme="minorEastAsia"/>
                <w:color w:val="auto"/>
                <w:szCs w:val="21"/>
                <w:lang w:val="en-US" w:eastAsia="zh-CN"/>
              </w:rPr>
              <w:t>占污水处理站剩余处理能力的0.64%</w:t>
            </w:r>
            <w:r>
              <w:rPr>
                <w:rFonts w:hint="eastAsia" w:eastAsiaTheme="minorEastAsia"/>
                <w:color w:val="auto"/>
                <w:szCs w:val="21"/>
              </w:rPr>
              <w:t>，因此院区现有污水处理站满足</w:t>
            </w:r>
            <w:r>
              <w:rPr>
                <w:rFonts w:hint="eastAsia" w:eastAsiaTheme="minorEastAsia"/>
                <w:color w:val="auto"/>
                <w:szCs w:val="21"/>
                <w:lang w:eastAsia="zh-CN"/>
              </w:rPr>
              <w:t>本项目</w:t>
            </w:r>
            <w:r>
              <w:rPr>
                <w:rFonts w:hint="eastAsia" w:eastAsiaTheme="minorEastAsia"/>
                <w:color w:val="auto"/>
                <w:szCs w:val="21"/>
              </w:rPr>
              <w:t>废水处理能力</w:t>
            </w:r>
            <w:r>
              <w:rPr>
                <w:rFonts w:hint="eastAsia" w:eastAsiaTheme="minorEastAsia"/>
                <w:color w:val="auto"/>
                <w:szCs w:val="21"/>
                <w:lang w:eastAsia="zh-CN"/>
              </w:rPr>
              <w:t>，</w:t>
            </w:r>
            <w:r>
              <w:rPr>
                <w:rFonts w:hint="eastAsia" w:eastAsiaTheme="minorEastAsia"/>
                <w:color w:val="auto"/>
                <w:szCs w:val="21"/>
              </w:rPr>
              <w:t>污水处理站处理工艺见图4.2-1。</w:t>
            </w:r>
          </w:p>
          <w:p w14:paraId="6C986E25">
            <w:pPr>
              <w:keepNext w:val="0"/>
              <w:keepLines w:val="0"/>
              <w:suppressLineNumbers w:val="0"/>
              <w:spacing w:before="0" w:beforeAutospacing="0" w:after="0" w:afterAutospacing="0" w:line="360" w:lineRule="auto"/>
              <w:ind w:left="0" w:right="0"/>
              <w:jc w:val="center"/>
              <w:rPr>
                <w:rFonts w:hint="eastAsia" w:eastAsia="宋体"/>
                <w:color w:val="auto"/>
                <w:szCs w:val="21"/>
                <w:lang w:eastAsia="zh-CN"/>
              </w:rPr>
            </w:pPr>
            <w:r>
              <w:rPr>
                <w:rFonts w:hint="eastAsia" w:eastAsia="宋体"/>
                <w:color w:val="auto"/>
                <w:szCs w:val="21"/>
                <w:lang w:eastAsia="zh-CN"/>
              </w:rPr>
              <w:drawing>
                <wp:inline distT="0" distB="0" distL="114300" distR="114300">
                  <wp:extent cx="2146300" cy="2706370"/>
                  <wp:effectExtent l="0" t="0" r="6350" b="17780"/>
                  <wp:docPr id="7"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wps"/>
                          <pic:cNvPicPr>
                            <a:picLocks noChangeAspect="1"/>
                          </pic:cNvPicPr>
                        </pic:nvPicPr>
                        <pic:blipFill>
                          <a:blip r:embed="rId20"/>
                          <a:srcRect l="49982" t="10279" r="3068" b="7061"/>
                          <a:stretch>
                            <a:fillRect/>
                          </a:stretch>
                        </pic:blipFill>
                        <pic:spPr>
                          <a:xfrm>
                            <a:off x="0" y="0"/>
                            <a:ext cx="2146300" cy="2706370"/>
                          </a:xfrm>
                          <a:prstGeom prst="rect">
                            <a:avLst/>
                          </a:prstGeom>
                        </pic:spPr>
                      </pic:pic>
                    </a:graphicData>
                  </a:graphic>
                </wp:inline>
              </w:drawing>
            </w:r>
          </w:p>
          <w:p w14:paraId="1999386B">
            <w:pPr>
              <w:keepNext w:val="0"/>
              <w:keepLines w:val="0"/>
              <w:suppressLineNumbers w:val="0"/>
              <w:spacing w:before="0" w:beforeAutospacing="0" w:after="0" w:afterAutospacing="0" w:line="360" w:lineRule="auto"/>
              <w:ind w:left="0" w:right="0" w:firstLine="482" w:firstLineChars="200"/>
              <w:jc w:val="center"/>
              <w:rPr>
                <w:rFonts w:hint="eastAsia" w:eastAsiaTheme="minorEastAsia"/>
                <w:b/>
                <w:bCs/>
                <w:color w:val="auto"/>
                <w:szCs w:val="21"/>
              </w:rPr>
            </w:pPr>
            <w:r>
              <w:rPr>
                <w:rFonts w:hint="eastAsia" w:eastAsiaTheme="minorEastAsia"/>
                <w:b/>
                <w:bCs/>
                <w:color w:val="auto"/>
                <w:szCs w:val="21"/>
              </w:rPr>
              <w:t>图4.2-1 污水处理站废水处理工艺流程图</w:t>
            </w:r>
          </w:p>
          <w:p w14:paraId="717C0A22">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szCs w:val="21"/>
              </w:rPr>
              <w:t>污水处理站工艺说明：污水处理站共设一粗一细两道格栅，粗格栅主要拦截水中的漂浮物，细格栅主要拦截水中较小的漂浮物；调节池主要把不同种类和不同浓度的废水集中到一个相应的水池中使之充分混合，使废水匀质、恒量，并减少对后续设备的冲击负荷，也可以把大颗粒的沉砂得到沉降。废水自提升泵由调节池送到接触氧化池进行处理，池内充装填料，填料浸没在曝气充氧的污水中，污水以一定的流速流经填料。填料上布满生物膜，废水在与生物膜接触过程中，水中的有机物均被微生物吸附，在微生物的新陈代谢作用下，污水中的有机污染物氧化分解和转化为新的生物膜，从填料上脱落的生物膜随水流到沉淀池，通过沉淀与水分离，沉淀物进入污泥池，上清液进入消毒池</w:t>
            </w:r>
            <w:r>
              <w:rPr>
                <w:rFonts w:hint="eastAsia" w:eastAsiaTheme="minorEastAsia"/>
                <w:color w:val="auto"/>
              </w:rPr>
              <w:t>，通过</w:t>
            </w:r>
            <w:r>
              <w:rPr>
                <w:rFonts w:hint="eastAsia" w:eastAsiaTheme="minorEastAsia"/>
                <w:color w:val="auto"/>
                <w:lang w:eastAsia="zh-CN"/>
              </w:rPr>
              <w:t>二氧化氯</w:t>
            </w:r>
            <w:r>
              <w:rPr>
                <w:rFonts w:hint="eastAsia" w:eastAsiaTheme="minorEastAsia"/>
                <w:color w:val="auto"/>
                <w:lang w:val="en-US" w:eastAsia="zh-CN"/>
              </w:rPr>
              <w:t>发生器</w:t>
            </w:r>
            <w:r>
              <w:rPr>
                <w:rFonts w:hint="eastAsia" w:eastAsiaTheme="minorEastAsia"/>
                <w:color w:val="auto"/>
              </w:rPr>
              <w:t>消毒后达标排放进市政管网。二沉池污泥池采用离心式脱水机进行污泥脱水，离心产生的液体回流至调节池；脱水后的污泥定期清掏后密闭封装暂存于危废暂存间，交有资质单位处置。</w:t>
            </w:r>
          </w:p>
          <w:p w14:paraId="5FC8A6A3">
            <w:pPr>
              <w:keepNext w:val="0"/>
              <w:keepLines w:val="0"/>
              <w:suppressLineNumbers w:val="0"/>
              <w:spacing w:before="0" w:beforeAutospacing="0" w:after="0" w:afterAutospacing="0" w:line="360" w:lineRule="auto"/>
              <w:ind w:left="0" w:right="0" w:firstLine="482" w:firstLineChars="200"/>
              <w:rPr>
                <w:rFonts w:hint="eastAsia" w:eastAsiaTheme="minorEastAsia"/>
                <w:b/>
                <w:bCs/>
                <w:color w:val="auto"/>
                <w:kern w:val="0"/>
                <w:szCs w:val="21"/>
              </w:rPr>
            </w:pPr>
            <w:r>
              <w:rPr>
                <w:rFonts w:hint="eastAsia" w:eastAsiaTheme="minorEastAsia"/>
                <w:b/>
                <w:bCs/>
                <w:color w:val="auto"/>
                <w:kern w:val="0"/>
                <w:szCs w:val="21"/>
                <w:lang w:val="en-US" w:eastAsia="zh-CN"/>
              </w:rPr>
              <w:t>2.4</w:t>
            </w:r>
            <w:r>
              <w:rPr>
                <w:rFonts w:hint="eastAsia" w:eastAsiaTheme="minorEastAsia"/>
                <w:b/>
                <w:bCs/>
                <w:color w:val="auto"/>
                <w:kern w:val="0"/>
                <w:szCs w:val="21"/>
                <w:lang w:eastAsia="zh-CN"/>
              </w:rPr>
              <w:t>废水处理技术</w:t>
            </w:r>
            <w:r>
              <w:rPr>
                <w:rFonts w:hint="eastAsia" w:eastAsiaTheme="minorEastAsia"/>
                <w:b/>
                <w:bCs/>
                <w:color w:val="auto"/>
                <w:kern w:val="0"/>
                <w:szCs w:val="21"/>
              </w:rPr>
              <w:t>可行性分析</w:t>
            </w:r>
          </w:p>
          <w:p w14:paraId="223A66AA">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根据《排污许可证申请与核发技术规范 医疗机构》（HJ1105-2020），本项目</w:t>
            </w:r>
            <w:r>
              <w:rPr>
                <w:rFonts w:hint="eastAsia" w:eastAsiaTheme="minorEastAsia"/>
                <w:color w:val="auto"/>
                <w:szCs w:val="21"/>
                <w:lang w:eastAsia="zh-CN"/>
              </w:rPr>
              <w:t>废水依托的</w:t>
            </w:r>
            <w:r>
              <w:rPr>
                <w:rFonts w:hint="eastAsia" w:eastAsiaTheme="minorEastAsia"/>
                <w:color w:val="auto"/>
                <w:szCs w:val="21"/>
                <w:lang w:val="en-US" w:eastAsia="zh-CN"/>
              </w:rPr>
              <w:t>预处理（消毒）+</w:t>
            </w:r>
            <w:r>
              <w:rPr>
                <w:rFonts w:hint="eastAsia" w:eastAsiaTheme="minorEastAsia"/>
                <w:color w:val="auto"/>
                <w:szCs w:val="21"/>
              </w:rPr>
              <w:t>二级处理+消毒工艺，属于附录A中表A.2提供的可行技术，由此可判定本项目</w:t>
            </w:r>
            <w:r>
              <w:rPr>
                <w:rFonts w:hint="eastAsia" w:eastAsiaTheme="minorEastAsia"/>
                <w:color w:val="auto"/>
                <w:szCs w:val="21"/>
                <w:lang w:eastAsia="zh-CN"/>
              </w:rPr>
              <w:t>废水依托医院现有污水处理站配套</w:t>
            </w:r>
            <w:r>
              <w:rPr>
                <w:rFonts w:hint="eastAsia" w:eastAsiaTheme="minorEastAsia"/>
                <w:color w:val="auto"/>
                <w:szCs w:val="21"/>
              </w:rPr>
              <w:t>的废水污染防治</w:t>
            </w:r>
            <w:r>
              <w:rPr>
                <w:rFonts w:hint="eastAsia" w:eastAsiaTheme="minorEastAsia"/>
                <w:color w:val="auto"/>
                <w:szCs w:val="21"/>
                <w:lang w:eastAsia="zh-CN"/>
              </w:rPr>
              <w:t>处理</w:t>
            </w:r>
            <w:r>
              <w:rPr>
                <w:rFonts w:hint="eastAsia" w:eastAsiaTheme="minorEastAsia"/>
                <w:color w:val="auto"/>
                <w:szCs w:val="21"/>
              </w:rPr>
              <w:t>技术为可行技术。</w:t>
            </w:r>
          </w:p>
          <w:p w14:paraId="04C1F3F2">
            <w:pPr>
              <w:keepNext w:val="0"/>
              <w:keepLines w:val="0"/>
              <w:suppressLineNumbers w:val="0"/>
              <w:adjustRightInd w:val="0"/>
              <w:snapToGrid w:val="0"/>
              <w:spacing w:before="0" w:beforeAutospacing="0" w:after="0" w:afterAutospacing="0" w:line="360" w:lineRule="auto"/>
              <w:ind w:left="0" w:right="0"/>
              <w:rPr>
                <w:rFonts w:hint="eastAsia" w:eastAsiaTheme="minorEastAsia"/>
                <w:b/>
                <w:bCs/>
                <w:color w:val="auto"/>
                <w:kern w:val="0"/>
                <w:szCs w:val="21"/>
              </w:rPr>
            </w:pPr>
            <w:r>
              <w:rPr>
                <w:rFonts w:hint="eastAsia" w:eastAsiaTheme="minorEastAsia"/>
                <w:b/>
                <w:bCs/>
                <w:color w:val="auto"/>
                <w:kern w:val="0"/>
                <w:szCs w:val="21"/>
                <w:lang w:val="en-US" w:eastAsia="zh-CN"/>
              </w:rPr>
              <w:t>2.5</w:t>
            </w:r>
            <w:r>
              <w:rPr>
                <w:rFonts w:hint="eastAsia" w:eastAsiaTheme="minorEastAsia"/>
                <w:b/>
                <w:bCs/>
                <w:color w:val="auto"/>
                <w:kern w:val="0"/>
                <w:szCs w:val="21"/>
              </w:rPr>
              <w:t>项目废水依托污水处理厂的可行性分析</w:t>
            </w:r>
          </w:p>
          <w:p w14:paraId="602B1374">
            <w:pPr>
              <w:keepNext w:val="0"/>
              <w:keepLines w:val="0"/>
              <w:suppressLineNumbers w:val="0"/>
              <w:spacing w:before="0" w:beforeAutospacing="0" w:after="0" w:afterAutospacing="0" w:line="360" w:lineRule="auto"/>
              <w:ind w:left="0" w:right="0"/>
              <w:rPr>
                <w:rFonts w:hint="eastAsia" w:eastAsiaTheme="minorEastAsia"/>
                <w:color w:val="auto"/>
                <w:szCs w:val="21"/>
              </w:rPr>
            </w:pPr>
            <w:r>
              <w:rPr>
                <w:rFonts w:hint="eastAsia" w:eastAsiaTheme="minorEastAsia"/>
                <w:b/>
                <w:bCs/>
                <w:color w:val="auto"/>
                <w:kern w:val="0"/>
                <w:szCs w:val="21"/>
                <w:lang w:val="en-US" w:eastAsia="zh-CN"/>
              </w:rPr>
              <w:t>2.5</w:t>
            </w:r>
            <w:r>
              <w:rPr>
                <w:rFonts w:hint="eastAsia" w:eastAsiaTheme="minorEastAsia"/>
                <w:b/>
                <w:bCs/>
                <w:color w:val="auto"/>
                <w:kern w:val="0"/>
                <w:szCs w:val="21"/>
              </w:rPr>
              <w:t>.1污水处理厂简况（含工艺流程）</w:t>
            </w:r>
          </w:p>
          <w:p w14:paraId="573E5EB9">
            <w:pPr>
              <w:keepNext w:val="0"/>
              <w:keepLines w:val="0"/>
              <w:suppressLineNumbers w:val="0"/>
              <w:spacing w:before="0" w:beforeAutospacing="0" w:after="0" w:afterAutospacing="0" w:line="360" w:lineRule="auto"/>
              <w:ind w:left="0" w:right="0" w:firstLine="480"/>
              <w:rPr>
                <w:rFonts w:hint="eastAsia" w:eastAsiaTheme="minorEastAsia"/>
                <w:color w:val="auto"/>
                <w:szCs w:val="21"/>
                <w:lang w:eastAsia="zh-CN"/>
              </w:rPr>
            </w:pPr>
            <w:r>
              <w:rPr>
                <w:rFonts w:hint="eastAsia" w:eastAsiaTheme="minorEastAsia"/>
                <w:color w:val="auto"/>
                <w:szCs w:val="21"/>
              </w:rPr>
              <w:t>①</w:t>
            </w:r>
            <w:r>
              <w:rPr>
                <w:rFonts w:hint="eastAsia" w:eastAsiaTheme="minorEastAsia"/>
                <w:color w:val="auto"/>
                <w:szCs w:val="21"/>
                <w:lang w:eastAsia="zh-CN"/>
              </w:rPr>
              <w:t>涟水县污水处理厂</w:t>
            </w:r>
          </w:p>
          <w:p w14:paraId="782242E1">
            <w:pPr>
              <w:keepNext w:val="0"/>
              <w:keepLines w:val="0"/>
              <w:suppressLineNumbers w:val="0"/>
              <w:adjustRightInd w:val="0"/>
              <w:snapToGrid w:val="0"/>
              <w:spacing w:before="0" w:beforeAutospacing="0" w:after="0" w:afterAutospacing="0" w:line="360" w:lineRule="auto"/>
              <w:ind w:left="0" w:right="0" w:firstLine="480"/>
              <w:rPr>
                <w:rFonts w:hint="eastAsia" w:eastAsiaTheme="minorEastAsia"/>
                <w:color w:val="auto"/>
                <w:szCs w:val="21"/>
              </w:rPr>
            </w:pPr>
            <w:r>
              <w:rPr>
                <w:rFonts w:hint="eastAsia" w:eastAsiaTheme="minorEastAsia"/>
                <w:color w:val="auto"/>
                <w:szCs w:val="21"/>
              </w:rPr>
              <w:t>涟水县污水处理厂位于涟水县朱码镇工业园区内，由淮安同方水务有限公司建设运营，污水处理厂总规模6万t/d，其中一期工程规模3万t/d，二期工程规模3万t/d，污水处理厂采用“厌氧+氧化沟+沉淀+滤布滤池+消毒”工艺，可达到《城镇污水处理厂污染物排放标准》(GB18918-2002</w:t>
            </w:r>
            <w:r>
              <w:rPr>
                <w:rFonts w:hint="eastAsia" w:eastAsiaTheme="minorEastAsia"/>
                <w:color w:val="auto"/>
                <w:szCs w:val="21"/>
                <w:lang w:eastAsia="zh-CN"/>
              </w:rPr>
              <w:t>）</w:t>
            </w:r>
            <w:r>
              <w:rPr>
                <w:rFonts w:hint="eastAsia" w:eastAsiaTheme="minorEastAsia"/>
                <w:color w:val="auto"/>
                <w:szCs w:val="21"/>
              </w:rPr>
              <w:t>一级A标准，尾水排放至涟中总干渠。</w:t>
            </w:r>
            <w:bookmarkStart w:id="15" w:name="_Toc1106"/>
            <w:bookmarkStart w:id="16" w:name="_Toc8913"/>
            <w:bookmarkStart w:id="17" w:name="_Toc28578"/>
          </w:p>
          <w:p w14:paraId="21D538E4">
            <w:pPr>
              <w:keepNext w:val="0"/>
              <w:keepLines w:val="0"/>
              <w:suppressLineNumbers w:val="0"/>
              <w:adjustRightInd w:val="0"/>
              <w:snapToGrid w:val="0"/>
              <w:spacing w:before="0" w:beforeAutospacing="0" w:after="0" w:afterAutospacing="0" w:line="360" w:lineRule="auto"/>
              <w:ind w:left="0" w:right="0" w:firstLine="480"/>
              <w:rPr>
                <w:rFonts w:hint="eastAsia" w:eastAsiaTheme="minorEastAsia"/>
                <w:color w:val="auto"/>
                <w:szCs w:val="21"/>
              </w:rPr>
            </w:pPr>
            <w:r>
              <w:rPr>
                <w:rFonts w:hint="eastAsia" w:eastAsiaTheme="minorEastAsia"/>
                <w:color w:val="auto"/>
                <w:szCs w:val="21"/>
              </w:rPr>
              <w:t>②处理工艺情况</w:t>
            </w:r>
            <w:bookmarkEnd w:id="15"/>
            <w:bookmarkEnd w:id="16"/>
            <w:bookmarkEnd w:id="17"/>
          </w:p>
          <w:p w14:paraId="15A0FA13">
            <w:pPr>
              <w:keepNext w:val="0"/>
              <w:keepLines w:val="0"/>
              <w:suppressLineNumbers w:val="0"/>
              <w:adjustRightInd w:val="0"/>
              <w:snapToGrid w:val="0"/>
              <w:spacing w:before="0" w:beforeAutospacing="0" w:after="0" w:afterAutospacing="0" w:line="360" w:lineRule="auto"/>
              <w:ind w:left="0" w:right="0" w:firstLine="480"/>
              <w:rPr>
                <w:rFonts w:hint="eastAsia" w:eastAsiaTheme="minorEastAsia"/>
                <w:color w:val="auto"/>
                <w:szCs w:val="21"/>
              </w:rPr>
            </w:pPr>
            <w:r>
              <w:rPr>
                <w:rFonts w:hint="eastAsia" w:eastAsiaTheme="minorEastAsia"/>
                <w:color w:val="auto"/>
                <w:szCs w:val="21"/>
                <w:lang w:val="en-US" w:eastAsia="zh-CN"/>
              </w:rPr>
              <w:t>涟水县污水处理厂</w:t>
            </w:r>
            <w:r>
              <w:rPr>
                <w:rFonts w:hint="eastAsia" w:eastAsiaTheme="minorEastAsia"/>
                <w:color w:val="auto"/>
                <w:szCs w:val="21"/>
              </w:rPr>
              <w:t>目前尾水执行《城镇污水处理厂污染物排放标准》 （GB18918-2002）一级 A标准。其基本流程见图</w:t>
            </w:r>
            <w:r>
              <w:rPr>
                <w:rFonts w:hint="eastAsia" w:eastAsiaTheme="minorEastAsia"/>
                <w:color w:val="auto"/>
                <w:kern w:val="0"/>
                <w:szCs w:val="21"/>
              </w:rPr>
              <w:t>4.3.3</w:t>
            </w:r>
            <w:r>
              <w:rPr>
                <w:rFonts w:hint="eastAsia" w:eastAsiaTheme="minorEastAsia"/>
                <w:color w:val="auto"/>
                <w:szCs w:val="21"/>
              </w:rPr>
              <w:t>.1-1。</w:t>
            </w:r>
          </w:p>
          <w:p w14:paraId="59A78CF3">
            <w:pPr>
              <w:keepNext w:val="0"/>
              <w:keepLines w:val="0"/>
              <w:suppressLineNumbers w:val="0"/>
              <w:spacing w:before="0" w:beforeAutospacing="0" w:after="0" w:afterAutospacing="0"/>
              <w:ind w:left="0" w:leftChars="0" w:right="0" w:firstLine="0" w:firstLineChars="0"/>
              <w:jc w:val="left"/>
              <w:rPr>
                <w:rFonts w:hint="eastAsia" w:eastAsiaTheme="minorEastAsia"/>
                <w:b/>
                <w:color w:val="auto"/>
                <w:sz w:val="24"/>
              </w:rPr>
            </w:pPr>
            <w:r>
              <w:rPr>
                <w:rFonts w:hint="eastAsia" w:ascii="宋体" w:hAnsi="宋体" w:eastAsia="宋体" w:cs="宋体"/>
                <w:color w:val="auto"/>
              </w:rPr>
              <w:object>
                <v:shape id="_x0000_i1028" o:spt="75" type="#_x0000_t75" style="height:209.75pt;width:390.3pt;" o:ole="t" filled="f" o:preferrelative="t" stroked="f" coordsize="21600,21600">
                  <v:path/>
                  <v:fill on="f" focussize="0,0"/>
                  <v:stroke on="f"/>
                  <v:imagedata r:id="rId22" croptop="3194f" cropbottom="3835f" o:title=""/>
                  <o:lock v:ext="edit" aspectratio="f"/>
                  <w10:wrap type="none"/>
                  <w10:anchorlock/>
                </v:shape>
                <o:OLEObject Type="Embed" ProgID="Visio.Drawing.15" ShapeID="_x0000_i1028" DrawAspect="Content" ObjectID="_1468075728" r:id="rId21">
                  <o:LockedField>false</o:LockedField>
                </o:OLEObject>
              </w:object>
            </w:r>
          </w:p>
          <w:p w14:paraId="705CC12E">
            <w:pPr>
              <w:keepNext w:val="0"/>
              <w:keepLines w:val="0"/>
              <w:suppressLineNumbers w:val="0"/>
              <w:adjustRightInd w:val="0"/>
              <w:snapToGrid w:val="0"/>
              <w:spacing w:before="0" w:beforeAutospacing="0" w:after="0" w:afterAutospacing="0" w:line="500" w:lineRule="exact"/>
              <w:ind w:left="0" w:right="0" w:firstLine="482"/>
              <w:jc w:val="center"/>
              <w:rPr>
                <w:rFonts w:hint="eastAsia" w:eastAsiaTheme="minorEastAsia"/>
                <w:b/>
                <w:color w:val="auto"/>
                <w:szCs w:val="21"/>
              </w:rPr>
            </w:pPr>
            <w:r>
              <w:rPr>
                <w:rFonts w:hint="eastAsia" w:eastAsiaTheme="minorEastAsia"/>
                <w:b/>
                <w:color w:val="auto"/>
                <w:szCs w:val="21"/>
              </w:rPr>
              <w:t>图</w:t>
            </w:r>
            <w:r>
              <w:rPr>
                <w:rFonts w:hint="eastAsia" w:eastAsiaTheme="minorEastAsia"/>
                <w:b/>
                <w:bCs/>
                <w:color w:val="auto"/>
                <w:kern w:val="0"/>
                <w:szCs w:val="21"/>
              </w:rPr>
              <w:t>4.</w:t>
            </w:r>
            <w:r>
              <w:rPr>
                <w:rFonts w:hint="eastAsia" w:eastAsiaTheme="minorEastAsia"/>
                <w:b/>
                <w:bCs/>
                <w:color w:val="auto"/>
                <w:kern w:val="0"/>
                <w:szCs w:val="21"/>
                <w:lang w:val="en-US" w:eastAsia="zh-CN"/>
              </w:rPr>
              <w:t>2</w:t>
            </w:r>
            <w:r>
              <w:rPr>
                <w:rFonts w:hint="eastAsia" w:eastAsiaTheme="minorEastAsia"/>
                <w:b/>
                <w:color w:val="auto"/>
                <w:szCs w:val="21"/>
              </w:rPr>
              <w:t>-</w:t>
            </w:r>
            <w:r>
              <w:rPr>
                <w:rFonts w:hint="eastAsia" w:eastAsiaTheme="minorEastAsia"/>
                <w:b/>
                <w:color w:val="auto"/>
                <w:szCs w:val="21"/>
                <w:lang w:val="en-US" w:eastAsia="zh-CN"/>
              </w:rPr>
              <w:t>2</w:t>
            </w:r>
            <w:r>
              <w:rPr>
                <w:rFonts w:hint="eastAsia" w:eastAsiaTheme="minorEastAsia"/>
                <w:b/>
                <w:color w:val="auto"/>
                <w:szCs w:val="21"/>
              </w:rPr>
              <w:t xml:space="preserve"> 污水处理厂工艺流程图</w:t>
            </w:r>
          </w:p>
          <w:p w14:paraId="2F84B618">
            <w:pPr>
              <w:keepNext w:val="0"/>
              <w:keepLines w:val="0"/>
              <w:suppressLineNumbers w:val="0"/>
              <w:adjustRightInd w:val="0"/>
              <w:snapToGrid w:val="0"/>
              <w:spacing w:before="0" w:beforeAutospacing="0" w:after="0" w:afterAutospacing="0" w:line="360" w:lineRule="auto"/>
              <w:ind w:left="0" w:right="0" w:firstLine="480"/>
              <w:rPr>
                <w:rFonts w:hint="eastAsia" w:eastAsiaTheme="minorEastAsia"/>
                <w:color w:val="auto"/>
                <w:szCs w:val="21"/>
              </w:rPr>
            </w:pPr>
            <w:bookmarkStart w:id="18" w:name="_Toc26467"/>
            <w:bookmarkStart w:id="19" w:name="_Toc1844"/>
            <w:bookmarkStart w:id="20" w:name="_Toc228"/>
            <w:bookmarkStart w:id="21" w:name="_Toc6327"/>
            <w:bookmarkStart w:id="22" w:name="_Toc25198"/>
            <w:bookmarkStart w:id="23" w:name="_Toc23870"/>
            <w:r>
              <w:rPr>
                <w:rFonts w:hint="eastAsia" w:eastAsiaTheme="minorEastAsia"/>
                <w:color w:val="auto"/>
                <w:szCs w:val="21"/>
              </w:rPr>
              <w:t>③</w:t>
            </w:r>
            <w:bookmarkEnd w:id="18"/>
            <w:bookmarkEnd w:id="19"/>
            <w:bookmarkEnd w:id="20"/>
            <w:bookmarkEnd w:id="21"/>
            <w:bookmarkEnd w:id="22"/>
            <w:bookmarkEnd w:id="23"/>
            <w:r>
              <w:rPr>
                <w:rFonts w:hint="eastAsia" w:eastAsiaTheme="minorEastAsia"/>
                <w:color w:val="auto"/>
                <w:szCs w:val="21"/>
              </w:rPr>
              <w:t>管网建设情况</w:t>
            </w:r>
          </w:p>
          <w:p w14:paraId="6F2AA1BF">
            <w:pPr>
              <w:keepNext w:val="0"/>
              <w:keepLines w:val="0"/>
              <w:suppressLineNumbers w:val="0"/>
              <w:adjustRightInd w:val="0"/>
              <w:snapToGrid w:val="0"/>
              <w:spacing w:before="0" w:beforeAutospacing="0" w:after="0" w:afterAutospacing="0" w:line="360" w:lineRule="auto"/>
              <w:ind w:left="0" w:right="0" w:firstLine="480"/>
              <w:rPr>
                <w:rFonts w:hint="eastAsia" w:eastAsiaTheme="minorEastAsia"/>
                <w:color w:val="auto"/>
                <w:szCs w:val="21"/>
              </w:rPr>
            </w:pPr>
            <w:r>
              <w:rPr>
                <w:rFonts w:hint="eastAsia" w:eastAsiaTheme="minorEastAsia"/>
                <w:color w:val="auto"/>
                <w:szCs w:val="21"/>
              </w:rPr>
              <w:t>项目位于</w:t>
            </w:r>
            <w:r>
              <w:rPr>
                <w:rFonts w:hint="eastAsia" w:eastAsiaTheme="minorEastAsia"/>
                <w:color w:val="auto"/>
                <w:szCs w:val="21"/>
                <w:lang w:eastAsia="zh-CN"/>
              </w:rPr>
              <w:t>涟水县人民医院院内（</w:t>
            </w:r>
            <w:r>
              <w:rPr>
                <w:rFonts w:hint="eastAsia" w:eastAsiaTheme="minorEastAsia"/>
                <w:color w:val="auto"/>
                <w:szCs w:val="21"/>
              </w:rPr>
              <w:t>涟水县</w:t>
            </w:r>
            <w:r>
              <w:rPr>
                <w:rFonts w:hint="eastAsia" w:eastAsiaTheme="minorEastAsia"/>
                <w:color w:val="auto"/>
                <w:szCs w:val="21"/>
                <w:lang w:eastAsia="zh-CN"/>
              </w:rPr>
              <w:t>红日路北侧、深圳路东侧）</w:t>
            </w:r>
            <w:r>
              <w:rPr>
                <w:rFonts w:hint="eastAsia" w:eastAsiaTheme="minorEastAsia"/>
                <w:color w:val="auto"/>
                <w:szCs w:val="21"/>
              </w:rPr>
              <w:t>，处于</w:t>
            </w:r>
            <w:r>
              <w:rPr>
                <w:rFonts w:hint="eastAsia" w:eastAsiaTheme="minorEastAsia"/>
                <w:color w:val="auto"/>
                <w:szCs w:val="21"/>
                <w:lang w:eastAsia="zh-CN"/>
              </w:rPr>
              <w:t>涟水县污水处理厂</w:t>
            </w:r>
            <w:r>
              <w:rPr>
                <w:rFonts w:hint="eastAsia" w:eastAsiaTheme="minorEastAsia"/>
                <w:color w:val="auto"/>
                <w:szCs w:val="21"/>
              </w:rPr>
              <w:t>服务范围内，废水处理达接管标准后，通过市政污水管网收集后，可排入</w:t>
            </w:r>
            <w:r>
              <w:rPr>
                <w:rFonts w:hint="eastAsia" w:eastAsiaTheme="minorEastAsia"/>
                <w:color w:val="auto"/>
                <w:szCs w:val="21"/>
                <w:lang w:eastAsia="zh-CN"/>
              </w:rPr>
              <w:t>涟水县污水处理厂</w:t>
            </w:r>
            <w:r>
              <w:rPr>
                <w:rFonts w:hint="eastAsia" w:eastAsiaTheme="minorEastAsia"/>
                <w:color w:val="auto"/>
                <w:szCs w:val="21"/>
              </w:rPr>
              <w:t>污水主干管。</w:t>
            </w:r>
          </w:p>
          <w:p w14:paraId="1D4ECB40">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④水量接管可行</w:t>
            </w:r>
          </w:p>
          <w:p w14:paraId="5CCBBD96">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lang w:eastAsia="zh-CN"/>
              </w:rPr>
              <w:t>涟水县污水处理厂</w:t>
            </w:r>
            <w:r>
              <w:rPr>
                <w:rFonts w:hint="eastAsia" w:eastAsiaTheme="minorEastAsia"/>
                <w:color w:val="auto"/>
                <w:szCs w:val="21"/>
              </w:rPr>
              <w:t>二期工程于2016年2月初步通过验收</w:t>
            </w:r>
            <w:r>
              <w:rPr>
                <w:rFonts w:hint="eastAsia" w:eastAsiaTheme="minorEastAsia"/>
                <w:color w:val="auto"/>
                <w:szCs w:val="21"/>
                <w:lang w:eastAsia="zh-CN"/>
              </w:rPr>
              <w:t>，</w:t>
            </w:r>
            <w:r>
              <w:rPr>
                <w:rFonts w:hint="eastAsia" w:eastAsiaTheme="minorEastAsia"/>
                <w:color w:val="auto"/>
                <w:szCs w:val="21"/>
              </w:rPr>
              <w:t>已经投入运行，总规模6万吨每日，根据调查，园区内现有已建及本企业污水排放量约5.95万t/d，余量500t/d，有足够富余量处理本项目污水。本项目营运后新增污水量为</w:t>
            </w:r>
            <w:r>
              <w:rPr>
                <w:rFonts w:hint="eastAsia" w:eastAsiaTheme="minorEastAsia"/>
                <w:color w:val="auto"/>
                <w:szCs w:val="21"/>
                <w:lang w:val="en-US" w:eastAsia="zh-CN"/>
              </w:rPr>
              <w:t>4.61</w:t>
            </w:r>
            <w:r>
              <w:rPr>
                <w:rFonts w:hint="eastAsia" w:eastAsiaTheme="minorEastAsia"/>
                <w:color w:val="auto"/>
                <w:szCs w:val="21"/>
              </w:rPr>
              <w:t>t/d</w:t>
            </w:r>
            <w:r>
              <w:rPr>
                <w:rFonts w:hint="eastAsia" w:eastAsiaTheme="minorEastAsia"/>
                <w:color w:val="auto"/>
                <w:szCs w:val="21"/>
                <w:lang w:eastAsia="zh-CN"/>
              </w:rPr>
              <w:t>（</w:t>
            </w:r>
            <w:r>
              <w:rPr>
                <w:rFonts w:hint="eastAsia" w:eastAsiaTheme="minorEastAsia"/>
                <w:color w:val="auto"/>
                <w:szCs w:val="21"/>
                <w:lang w:val="en-US" w:eastAsia="zh-CN"/>
              </w:rPr>
              <w:t>1383.3t/a</w:t>
            </w:r>
            <w:r>
              <w:rPr>
                <w:rFonts w:hint="eastAsia" w:eastAsiaTheme="minorEastAsia"/>
                <w:color w:val="auto"/>
                <w:szCs w:val="21"/>
                <w:lang w:eastAsia="zh-CN"/>
              </w:rPr>
              <w:t>）</w:t>
            </w:r>
            <w:r>
              <w:rPr>
                <w:rFonts w:hint="eastAsia" w:eastAsiaTheme="minorEastAsia"/>
                <w:color w:val="auto"/>
                <w:szCs w:val="21"/>
              </w:rPr>
              <w:t>，占</w:t>
            </w:r>
            <w:r>
              <w:rPr>
                <w:rFonts w:hint="eastAsia" w:eastAsiaTheme="minorEastAsia"/>
                <w:color w:val="auto"/>
                <w:szCs w:val="21"/>
                <w:lang w:val="en-US" w:eastAsia="zh-CN"/>
              </w:rPr>
              <w:t>余量0.92%</w:t>
            </w:r>
            <w:r>
              <w:rPr>
                <w:rFonts w:hint="eastAsia" w:eastAsiaTheme="minorEastAsia"/>
                <w:color w:val="auto"/>
                <w:szCs w:val="21"/>
              </w:rPr>
              <w:t>，因此本项目所排废水的水量在污水处理厂的处理能力内。</w:t>
            </w:r>
          </w:p>
          <w:p w14:paraId="5B919861">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⑤水质接管可行性</w:t>
            </w:r>
          </w:p>
          <w:p w14:paraId="04C2E525">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建设项目</w:t>
            </w:r>
            <w:r>
              <w:rPr>
                <w:rFonts w:hint="eastAsia" w:eastAsiaTheme="minorEastAsia"/>
                <w:color w:val="auto"/>
                <w:szCs w:val="21"/>
                <w:lang w:eastAsia="zh-CN"/>
              </w:rPr>
              <w:t>雨污水</w:t>
            </w:r>
            <w:r>
              <w:rPr>
                <w:rFonts w:hint="eastAsia" w:eastAsiaTheme="minorEastAsia"/>
                <w:color w:val="auto"/>
                <w:szCs w:val="21"/>
              </w:rPr>
              <w:t>分别接管进入市政雨、污水管网，</w:t>
            </w:r>
            <w:r>
              <w:rPr>
                <w:rFonts w:hint="eastAsia" w:eastAsiaTheme="minorEastAsia"/>
                <w:color w:val="auto"/>
                <w:szCs w:val="21"/>
                <w:lang w:eastAsia="zh-CN"/>
              </w:rPr>
              <w:t>生活污水</w:t>
            </w:r>
            <w:r>
              <w:rPr>
                <w:rFonts w:hint="eastAsia"/>
                <w:color w:val="auto"/>
                <w:lang w:val="en-US" w:eastAsia="zh-CN"/>
              </w:rPr>
              <w:t>经</w:t>
            </w:r>
            <w:r>
              <w:rPr>
                <w:rFonts w:hint="eastAsia" w:eastAsiaTheme="minorEastAsia"/>
                <w:color w:val="auto"/>
                <w:szCs w:val="21"/>
              </w:rPr>
              <w:t>化粪池处理，</w:t>
            </w:r>
            <w:r>
              <w:rPr>
                <w:rFonts w:hint="eastAsia" w:eastAsiaTheme="minorEastAsia"/>
                <w:color w:val="auto"/>
                <w:szCs w:val="21"/>
                <w:lang w:val="en-US" w:eastAsia="zh-CN"/>
              </w:rPr>
              <w:t>医疗废水（</w:t>
            </w:r>
            <w:r>
              <w:rPr>
                <w:rFonts w:hint="default" w:ascii="Times New Roman" w:hAnsi="Times New Roman" w:eastAsia="宋体" w:cs="Times New Roman"/>
                <w:color w:val="auto"/>
                <w:kern w:val="0"/>
                <w:sz w:val="24"/>
                <w:szCs w:val="24"/>
                <w:highlight w:val="none"/>
                <w:lang w:val="en-US" w:eastAsia="zh-CN" w:bidi="ar"/>
              </w:rPr>
              <w:t>实验室</w:t>
            </w:r>
            <w:r>
              <w:rPr>
                <w:rFonts w:hint="eastAsia" w:eastAsia="宋体" w:cs="Times New Roman"/>
                <w:color w:val="auto"/>
                <w:kern w:val="0"/>
                <w:sz w:val="24"/>
                <w:szCs w:val="24"/>
                <w:highlight w:val="none"/>
                <w:lang w:val="en-US" w:eastAsia="zh-CN" w:bidi="ar"/>
              </w:rPr>
              <w:t>检测仪器设备</w:t>
            </w:r>
            <w:r>
              <w:rPr>
                <w:rFonts w:hint="eastAsia" w:ascii="Times New Roman" w:hAnsi="Times New Roman" w:eastAsia="宋体" w:cs="Times New Roman"/>
                <w:color w:val="auto"/>
                <w:kern w:val="0"/>
                <w:sz w:val="24"/>
                <w:szCs w:val="24"/>
                <w:highlight w:val="none"/>
                <w:lang w:val="en-US" w:eastAsia="zh-CN" w:bidi="ar"/>
              </w:rPr>
              <w:t>及器皿清洗废水、</w:t>
            </w:r>
            <w:r>
              <w:rPr>
                <w:rFonts w:hint="eastAsia" w:cs="Times New Roman"/>
                <w:color w:val="auto"/>
                <w:kern w:val="0"/>
                <w:sz w:val="24"/>
                <w:szCs w:val="24"/>
                <w:highlight w:val="none"/>
                <w:lang w:val="en-US" w:eastAsia="zh-CN" w:bidi="ar"/>
              </w:rPr>
              <w:t>笼具清洗废水、</w:t>
            </w:r>
            <w:r>
              <w:rPr>
                <w:rFonts w:hint="eastAsia" w:ascii="Times New Roman" w:hAnsi="Times New Roman" w:eastAsia="宋体" w:cs="Times New Roman"/>
                <w:color w:val="auto"/>
                <w:kern w:val="0"/>
                <w:sz w:val="24"/>
                <w:szCs w:val="24"/>
                <w:highlight w:val="none"/>
                <w:lang w:val="en-US" w:eastAsia="zh-CN" w:bidi="ar"/>
              </w:rPr>
              <w:t>纯水制备浓水</w:t>
            </w:r>
            <w:r>
              <w:rPr>
                <w:rFonts w:hint="eastAsia" w:eastAsiaTheme="minorEastAsia"/>
                <w:color w:val="auto"/>
                <w:szCs w:val="21"/>
                <w:lang w:val="en-US" w:eastAsia="zh-CN"/>
              </w:rPr>
              <w:t>）经消毒预处理后进入线条污水处理站处理</w:t>
            </w:r>
            <w:r>
              <w:rPr>
                <w:rFonts w:hint="eastAsia" w:eastAsiaTheme="minorEastAsia"/>
                <w:color w:val="auto"/>
                <w:szCs w:val="21"/>
              </w:rPr>
              <w:t>，处理后的</w:t>
            </w:r>
            <w:r>
              <w:rPr>
                <w:rFonts w:hint="eastAsia" w:eastAsiaTheme="minorEastAsia"/>
                <w:color w:val="auto"/>
                <w:szCs w:val="21"/>
                <w:lang w:eastAsia="zh-CN"/>
              </w:rPr>
              <w:t>医院污水</w:t>
            </w:r>
            <w:r>
              <w:rPr>
                <w:rFonts w:hint="eastAsia" w:eastAsiaTheme="minorEastAsia"/>
                <w:color w:val="auto"/>
                <w:szCs w:val="21"/>
              </w:rPr>
              <w:t>中各污染因子排放浓度均能达到《医疗机构水污染物排放标准》（GB18466-2005）</w:t>
            </w:r>
            <w:r>
              <w:rPr>
                <w:rFonts w:hint="eastAsia" w:eastAsiaTheme="minorEastAsia"/>
                <w:color w:val="auto"/>
                <w:szCs w:val="21"/>
                <w:lang w:eastAsia="zh-CN"/>
              </w:rPr>
              <w:t>表</w:t>
            </w:r>
            <w:r>
              <w:rPr>
                <w:rFonts w:hint="eastAsia" w:eastAsiaTheme="minorEastAsia"/>
                <w:color w:val="auto"/>
                <w:szCs w:val="21"/>
                <w:lang w:val="en-US" w:eastAsia="zh-CN"/>
              </w:rPr>
              <w:t>2</w:t>
            </w:r>
            <w:r>
              <w:rPr>
                <w:rFonts w:hint="eastAsia" w:eastAsiaTheme="minorEastAsia"/>
                <w:color w:val="auto"/>
                <w:szCs w:val="21"/>
              </w:rPr>
              <w:t>和</w:t>
            </w:r>
            <w:r>
              <w:rPr>
                <w:rFonts w:hint="eastAsia" w:eastAsiaTheme="minorEastAsia"/>
                <w:color w:val="auto"/>
                <w:szCs w:val="21"/>
                <w:lang w:eastAsia="zh-CN"/>
              </w:rPr>
              <w:t>涟水县</w:t>
            </w:r>
            <w:r>
              <w:rPr>
                <w:rFonts w:hint="eastAsia" w:eastAsiaTheme="minorEastAsia"/>
                <w:color w:val="auto"/>
                <w:szCs w:val="21"/>
              </w:rPr>
              <w:t>污水处理厂接管标准要求，项目废水经</w:t>
            </w:r>
            <w:r>
              <w:rPr>
                <w:rFonts w:hint="eastAsia" w:eastAsiaTheme="minorEastAsia"/>
                <w:color w:val="auto"/>
                <w:szCs w:val="21"/>
                <w:lang w:eastAsia="zh-CN"/>
              </w:rPr>
              <w:t>涟水县污水处理厂</w:t>
            </w:r>
            <w:r>
              <w:rPr>
                <w:rFonts w:hint="eastAsia" w:eastAsiaTheme="minorEastAsia"/>
                <w:color w:val="auto"/>
                <w:szCs w:val="21"/>
              </w:rPr>
              <w:t>处理后达标排放，对周围水环境影响较小。</w:t>
            </w:r>
          </w:p>
          <w:p w14:paraId="0348AE2D">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综上所述，项目废水接入</w:t>
            </w:r>
            <w:r>
              <w:rPr>
                <w:rFonts w:hint="eastAsia" w:eastAsiaTheme="minorEastAsia"/>
                <w:color w:val="auto"/>
                <w:szCs w:val="21"/>
                <w:lang w:eastAsia="zh-CN"/>
              </w:rPr>
              <w:t>涟水县污水处理厂</w:t>
            </w:r>
            <w:r>
              <w:rPr>
                <w:rFonts w:hint="eastAsia" w:eastAsiaTheme="minorEastAsia"/>
                <w:color w:val="auto"/>
                <w:szCs w:val="21"/>
              </w:rPr>
              <w:t>处理是可行的。</w:t>
            </w:r>
          </w:p>
          <w:p w14:paraId="1D407969">
            <w:pPr>
              <w:keepNext w:val="0"/>
              <w:keepLines w:val="0"/>
              <w:suppressLineNumbers w:val="0"/>
              <w:spacing w:before="0" w:beforeAutospacing="0" w:after="0" w:afterAutospacing="0" w:line="360" w:lineRule="auto"/>
              <w:ind w:left="0" w:right="0"/>
              <w:rPr>
                <w:rFonts w:hint="eastAsia" w:eastAsiaTheme="minorEastAsia"/>
                <w:b/>
                <w:bCs/>
                <w:color w:val="auto"/>
                <w:kern w:val="0"/>
                <w:szCs w:val="21"/>
              </w:rPr>
            </w:pPr>
            <w:r>
              <w:rPr>
                <w:rFonts w:hint="eastAsia" w:eastAsiaTheme="minorEastAsia"/>
                <w:b/>
                <w:bCs/>
                <w:color w:val="auto"/>
                <w:kern w:val="0"/>
                <w:szCs w:val="21"/>
                <w:lang w:val="en-US" w:eastAsia="zh-CN"/>
              </w:rPr>
              <w:t>2.6</w:t>
            </w:r>
            <w:r>
              <w:rPr>
                <w:rFonts w:hint="eastAsia" w:eastAsiaTheme="minorEastAsia"/>
                <w:b/>
                <w:bCs/>
                <w:color w:val="auto"/>
                <w:kern w:val="0"/>
                <w:szCs w:val="21"/>
              </w:rPr>
              <w:t>废水污染物排放信息表</w:t>
            </w:r>
          </w:p>
          <w:p w14:paraId="781A5024">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1）废水类别、污染物及污染治理设施表</w:t>
            </w:r>
          </w:p>
          <w:p w14:paraId="26A47B33">
            <w:pPr>
              <w:keepNext w:val="0"/>
              <w:keepLines w:val="0"/>
              <w:suppressLineNumbers w:val="0"/>
              <w:spacing w:before="0" w:beforeAutospacing="0" w:after="0" w:afterAutospacing="0"/>
              <w:ind w:left="0" w:right="0"/>
              <w:jc w:val="center"/>
              <w:rPr>
                <w:rFonts w:hint="eastAsia" w:eastAsiaTheme="minorEastAsia"/>
                <w:b/>
                <w:color w:val="auto"/>
                <w:szCs w:val="21"/>
              </w:rPr>
            </w:pPr>
            <w:r>
              <w:rPr>
                <w:rFonts w:hint="eastAsia" w:eastAsiaTheme="minorEastAsia"/>
                <w:b/>
                <w:color w:val="auto"/>
                <w:szCs w:val="21"/>
              </w:rPr>
              <w:t>表4.</w:t>
            </w:r>
            <w:r>
              <w:rPr>
                <w:rFonts w:hint="eastAsia" w:eastAsiaTheme="minorEastAsia"/>
                <w:b/>
                <w:color w:val="auto"/>
                <w:szCs w:val="21"/>
                <w:lang w:val="en-US" w:eastAsia="zh-CN"/>
              </w:rPr>
              <w:t>2-2</w:t>
            </w:r>
            <w:r>
              <w:rPr>
                <w:rFonts w:hint="eastAsia" w:eastAsiaTheme="minorEastAsia"/>
                <w:b/>
                <w:color w:val="auto"/>
                <w:szCs w:val="21"/>
              </w:rPr>
              <w:t xml:space="preserve"> 废水类别、污染物及污染治理设施表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903"/>
              <w:gridCol w:w="1298"/>
              <w:gridCol w:w="851"/>
              <w:gridCol w:w="660"/>
              <w:gridCol w:w="987"/>
              <w:gridCol w:w="786"/>
              <w:gridCol w:w="1054"/>
              <w:gridCol w:w="899"/>
            </w:tblGrid>
            <w:tr w14:paraId="04C06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302" w:type="pct"/>
                  <w:tcBorders>
                    <w:tl2br w:val="nil"/>
                    <w:tr2bl w:val="nil"/>
                  </w:tcBorders>
                  <w:vAlign w:val="center"/>
                </w:tcPr>
                <w:p w14:paraId="1751E5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序号</w:t>
                  </w:r>
                </w:p>
              </w:tc>
              <w:tc>
                <w:tcPr>
                  <w:tcW w:w="578" w:type="pct"/>
                  <w:tcBorders>
                    <w:tl2br w:val="nil"/>
                    <w:tr2bl w:val="nil"/>
                  </w:tcBorders>
                  <w:vAlign w:val="center"/>
                </w:tcPr>
                <w:p w14:paraId="340CBB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废水类别</w:t>
                  </w:r>
                </w:p>
              </w:tc>
              <w:tc>
                <w:tcPr>
                  <w:tcW w:w="828" w:type="pct"/>
                  <w:tcBorders>
                    <w:tl2br w:val="nil"/>
                    <w:tr2bl w:val="nil"/>
                  </w:tcBorders>
                  <w:vAlign w:val="center"/>
                </w:tcPr>
                <w:p w14:paraId="39AAD0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污染物种类</w:t>
                  </w:r>
                </w:p>
              </w:tc>
              <w:tc>
                <w:tcPr>
                  <w:tcW w:w="545" w:type="pct"/>
                  <w:tcBorders>
                    <w:tl2br w:val="nil"/>
                    <w:tr2bl w:val="nil"/>
                  </w:tcBorders>
                  <w:vAlign w:val="center"/>
                </w:tcPr>
                <w:p w14:paraId="4B478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排放去向</w:t>
                  </w:r>
                </w:p>
              </w:tc>
              <w:tc>
                <w:tcPr>
                  <w:tcW w:w="424" w:type="pct"/>
                  <w:tcBorders>
                    <w:tl2br w:val="nil"/>
                    <w:tr2bl w:val="nil"/>
                  </w:tcBorders>
                  <w:vAlign w:val="center"/>
                </w:tcPr>
                <w:p w14:paraId="242BDC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排放规律</w:t>
                  </w:r>
                </w:p>
              </w:tc>
              <w:tc>
                <w:tcPr>
                  <w:tcW w:w="631" w:type="pct"/>
                  <w:tcBorders>
                    <w:tl2br w:val="nil"/>
                    <w:tr2bl w:val="nil"/>
                  </w:tcBorders>
                  <w:vAlign w:val="center"/>
                </w:tcPr>
                <w:p w14:paraId="655426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治理设施</w:t>
                  </w:r>
                </w:p>
              </w:tc>
              <w:tc>
                <w:tcPr>
                  <w:tcW w:w="439" w:type="pct"/>
                  <w:tcBorders>
                    <w:tl2br w:val="nil"/>
                    <w:tr2bl w:val="nil"/>
                  </w:tcBorders>
                  <w:vAlign w:val="center"/>
                </w:tcPr>
                <w:p w14:paraId="56CD3B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排放口编号</w:t>
                  </w:r>
                </w:p>
              </w:tc>
              <w:tc>
                <w:tcPr>
                  <w:tcW w:w="673" w:type="pct"/>
                  <w:tcBorders>
                    <w:tl2br w:val="nil"/>
                    <w:tr2bl w:val="nil"/>
                  </w:tcBorders>
                  <w:vAlign w:val="center"/>
                </w:tcPr>
                <w:p w14:paraId="77687E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排放口设置是否符合要求</w:t>
                  </w:r>
                </w:p>
              </w:tc>
              <w:tc>
                <w:tcPr>
                  <w:tcW w:w="575" w:type="pct"/>
                  <w:tcBorders>
                    <w:tl2br w:val="nil"/>
                    <w:tr2bl w:val="nil"/>
                  </w:tcBorders>
                  <w:vAlign w:val="center"/>
                </w:tcPr>
                <w:p w14:paraId="033989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排放口类型</w:t>
                  </w:r>
                </w:p>
              </w:tc>
            </w:tr>
            <w:tr w14:paraId="6CE2A5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302" w:type="pct"/>
                  <w:tcBorders>
                    <w:tl2br w:val="nil"/>
                    <w:tr2bl w:val="nil"/>
                  </w:tcBorders>
                  <w:vAlign w:val="center"/>
                </w:tcPr>
                <w:p w14:paraId="45A635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w:t>
                  </w:r>
                </w:p>
              </w:tc>
              <w:tc>
                <w:tcPr>
                  <w:tcW w:w="578" w:type="pct"/>
                  <w:tcBorders>
                    <w:tl2br w:val="nil"/>
                    <w:tr2bl w:val="nil"/>
                  </w:tcBorders>
                  <w:vAlign w:val="center"/>
                </w:tcPr>
                <w:p w14:paraId="59571D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生活污水</w:t>
                  </w:r>
                </w:p>
              </w:tc>
              <w:tc>
                <w:tcPr>
                  <w:tcW w:w="828" w:type="pct"/>
                  <w:tcBorders>
                    <w:tl2br w:val="nil"/>
                    <w:tr2bl w:val="nil"/>
                  </w:tcBorders>
                  <w:vAlign w:val="center"/>
                </w:tcPr>
                <w:p w14:paraId="1FDBA0B2">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COD、SS、NH</w:t>
                  </w:r>
                  <w:r>
                    <w:rPr>
                      <w:rFonts w:hint="eastAsia" w:eastAsiaTheme="minorEastAsia"/>
                      <w:color w:val="auto"/>
                      <w:sz w:val="18"/>
                      <w:szCs w:val="18"/>
                      <w:vertAlign w:val="subscript"/>
                    </w:rPr>
                    <w:t>3</w:t>
                  </w:r>
                  <w:r>
                    <w:rPr>
                      <w:rFonts w:hint="eastAsia" w:eastAsiaTheme="minorEastAsia"/>
                      <w:color w:val="auto"/>
                      <w:sz w:val="18"/>
                      <w:szCs w:val="18"/>
                    </w:rPr>
                    <w:t>-N、TN、TP</w:t>
                  </w:r>
                </w:p>
              </w:tc>
              <w:tc>
                <w:tcPr>
                  <w:tcW w:w="545" w:type="pct"/>
                  <w:vMerge w:val="restart"/>
                  <w:tcBorders>
                    <w:tl2br w:val="nil"/>
                    <w:tr2bl w:val="nil"/>
                  </w:tcBorders>
                  <w:vAlign w:val="center"/>
                </w:tcPr>
                <w:p w14:paraId="509D1D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eastAsia" w:eastAsiaTheme="minorEastAsia"/>
                      <w:color w:val="auto"/>
                      <w:sz w:val="18"/>
                      <w:szCs w:val="18"/>
                      <w:lang w:eastAsia="zh-CN"/>
                    </w:rPr>
                    <w:t>涟水县污水处理厂</w:t>
                  </w:r>
                </w:p>
              </w:tc>
              <w:tc>
                <w:tcPr>
                  <w:tcW w:w="424" w:type="pct"/>
                  <w:vMerge w:val="restart"/>
                  <w:tcBorders>
                    <w:tl2br w:val="nil"/>
                    <w:tr2bl w:val="nil"/>
                  </w:tcBorders>
                  <w:vAlign w:val="center"/>
                </w:tcPr>
                <w:p w14:paraId="42E8D1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间接排放</w:t>
                  </w:r>
                </w:p>
              </w:tc>
              <w:tc>
                <w:tcPr>
                  <w:tcW w:w="631" w:type="pct"/>
                  <w:tcBorders>
                    <w:tl2br w:val="nil"/>
                    <w:tr2bl w:val="nil"/>
                  </w:tcBorders>
                  <w:vAlign w:val="center"/>
                </w:tcPr>
                <w:p w14:paraId="5CBC44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rPr>
                    <w:t>化粪池</w:t>
                  </w:r>
                </w:p>
              </w:tc>
              <w:tc>
                <w:tcPr>
                  <w:tcW w:w="439" w:type="pct"/>
                  <w:vMerge w:val="restart"/>
                  <w:tcBorders>
                    <w:tl2br w:val="nil"/>
                    <w:tr2bl w:val="nil"/>
                  </w:tcBorders>
                  <w:vAlign w:val="center"/>
                </w:tcPr>
                <w:p w14:paraId="0E87CF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rPr>
                    <w:t>D</w:t>
                  </w:r>
                  <w:r>
                    <w:rPr>
                      <w:rFonts w:hint="eastAsia" w:eastAsiaTheme="minorEastAsia"/>
                      <w:color w:val="auto"/>
                      <w:sz w:val="18"/>
                      <w:szCs w:val="18"/>
                      <w:lang w:val="en-US" w:eastAsia="zh-CN"/>
                    </w:rPr>
                    <w:t>W001</w:t>
                  </w:r>
                </w:p>
              </w:tc>
              <w:tc>
                <w:tcPr>
                  <w:tcW w:w="673" w:type="pct"/>
                  <w:vMerge w:val="restart"/>
                  <w:tcBorders>
                    <w:tl2br w:val="nil"/>
                    <w:tr2bl w:val="nil"/>
                  </w:tcBorders>
                  <w:vAlign w:val="center"/>
                </w:tcPr>
                <w:p w14:paraId="14BCB0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是</w:t>
                  </w:r>
                </w:p>
              </w:tc>
              <w:tc>
                <w:tcPr>
                  <w:tcW w:w="575" w:type="pct"/>
                  <w:vMerge w:val="restart"/>
                  <w:tcBorders>
                    <w:tl2br w:val="nil"/>
                    <w:tr2bl w:val="nil"/>
                  </w:tcBorders>
                  <w:vAlign w:val="center"/>
                </w:tcPr>
                <w:p w14:paraId="6332DD36">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☑企业总排</w:t>
                  </w:r>
                </w:p>
                <w:p w14:paraId="5961392F">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□雨水排口</w:t>
                  </w:r>
                </w:p>
                <w:p w14:paraId="1B074FC9">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□清净下水排口</w:t>
                  </w:r>
                </w:p>
                <w:p w14:paraId="5ABE3625">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□温排水排口</w:t>
                  </w:r>
                </w:p>
                <w:p w14:paraId="0653C6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□厂房或厂房处理设施排口</w:t>
                  </w:r>
                </w:p>
              </w:tc>
            </w:tr>
            <w:tr w14:paraId="255AD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302" w:type="pct"/>
                  <w:tcBorders>
                    <w:tl2br w:val="nil"/>
                    <w:tr2bl w:val="nil"/>
                  </w:tcBorders>
                  <w:vAlign w:val="center"/>
                </w:tcPr>
                <w:p w14:paraId="00C9A9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2</w:t>
                  </w:r>
                </w:p>
              </w:tc>
              <w:tc>
                <w:tcPr>
                  <w:tcW w:w="578" w:type="pct"/>
                  <w:tcBorders>
                    <w:tl2br w:val="nil"/>
                    <w:tr2bl w:val="nil"/>
                  </w:tcBorders>
                  <w:vAlign w:val="center"/>
                </w:tcPr>
                <w:p w14:paraId="4EF34F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eastAsia" w:eastAsiaTheme="minorEastAsia"/>
                      <w:color w:val="auto"/>
                      <w:sz w:val="18"/>
                      <w:szCs w:val="18"/>
                      <w:lang w:val="en-US" w:eastAsia="zh-CN"/>
                    </w:rPr>
                    <w:t>实验室检测仪器设备及器皿清洗废水、笼具清洗废水、纯水制备浓水</w:t>
                  </w:r>
                </w:p>
              </w:tc>
              <w:tc>
                <w:tcPr>
                  <w:tcW w:w="828" w:type="pct"/>
                  <w:tcBorders>
                    <w:tl2br w:val="nil"/>
                    <w:tr2bl w:val="nil"/>
                  </w:tcBorders>
                  <w:vAlign w:val="center"/>
                </w:tcPr>
                <w:p w14:paraId="6216476F">
                  <w:pPr>
                    <w:keepNext w:val="0"/>
                    <w:keepLines w:val="0"/>
                    <w:pageBreakBefore w:val="0"/>
                    <w:widowControl w:val="0"/>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pH、</w:t>
                  </w:r>
                  <w:r>
                    <w:rPr>
                      <w:rFonts w:hint="eastAsia" w:eastAsiaTheme="minorEastAsia"/>
                      <w:color w:val="auto"/>
                      <w:sz w:val="18"/>
                      <w:szCs w:val="18"/>
                    </w:rPr>
                    <w:t>COD、</w:t>
                  </w:r>
                  <w:r>
                    <w:rPr>
                      <w:rFonts w:hint="eastAsia" w:eastAsiaTheme="minorEastAsia"/>
                      <w:color w:val="auto"/>
                      <w:kern w:val="0"/>
                      <w:sz w:val="18"/>
                      <w:szCs w:val="18"/>
                    </w:rPr>
                    <w:t>BOD</w:t>
                  </w:r>
                  <w:r>
                    <w:rPr>
                      <w:rFonts w:hint="eastAsia" w:eastAsiaTheme="minorEastAsia"/>
                      <w:color w:val="auto"/>
                      <w:kern w:val="0"/>
                      <w:sz w:val="18"/>
                      <w:szCs w:val="18"/>
                      <w:vertAlign w:val="subscript"/>
                    </w:rPr>
                    <w:t>5</w:t>
                  </w:r>
                  <w:r>
                    <w:rPr>
                      <w:rFonts w:hint="eastAsia" w:eastAsiaTheme="minorEastAsia"/>
                      <w:color w:val="auto"/>
                      <w:kern w:val="0"/>
                      <w:sz w:val="18"/>
                      <w:szCs w:val="18"/>
                    </w:rPr>
                    <w:t>、</w:t>
                  </w:r>
                  <w:r>
                    <w:rPr>
                      <w:rFonts w:hint="eastAsia" w:eastAsiaTheme="minorEastAsia"/>
                      <w:color w:val="auto"/>
                      <w:sz w:val="18"/>
                      <w:szCs w:val="18"/>
                    </w:rPr>
                    <w:t>SS、NH</w:t>
                  </w:r>
                  <w:r>
                    <w:rPr>
                      <w:rFonts w:hint="eastAsia" w:eastAsiaTheme="minorEastAsia"/>
                      <w:color w:val="auto"/>
                      <w:sz w:val="18"/>
                      <w:szCs w:val="18"/>
                      <w:vertAlign w:val="subscript"/>
                    </w:rPr>
                    <w:t>3</w:t>
                  </w:r>
                  <w:r>
                    <w:rPr>
                      <w:rFonts w:hint="eastAsia" w:eastAsiaTheme="minorEastAsia"/>
                      <w:color w:val="auto"/>
                      <w:sz w:val="18"/>
                      <w:szCs w:val="18"/>
                    </w:rPr>
                    <w:t>-N、TN、TP、</w:t>
                  </w:r>
                  <w:r>
                    <w:rPr>
                      <w:rFonts w:hint="eastAsia" w:eastAsiaTheme="minorEastAsia"/>
                      <w:color w:val="auto"/>
                      <w:kern w:val="0"/>
                      <w:sz w:val="18"/>
                      <w:szCs w:val="18"/>
                    </w:rPr>
                    <w:t>粪大肠菌群、LAS</w:t>
                  </w:r>
                </w:p>
              </w:tc>
              <w:tc>
                <w:tcPr>
                  <w:tcW w:w="545" w:type="pct"/>
                  <w:vMerge w:val="continue"/>
                  <w:tcBorders>
                    <w:tl2br w:val="nil"/>
                    <w:tr2bl w:val="nil"/>
                  </w:tcBorders>
                  <w:vAlign w:val="center"/>
                </w:tcPr>
                <w:p w14:paraId="08766E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24" w:type="pct"/>
                  <w:vMerge w:val="continue"/>
                  <w:tcBorders>
                    <w:tl2br w:val="nil"/>
                    <w:tr2bl w:val="nil"/>
                  </w:tcBorders>
                  <w:vAlign w:val="center"/>
                </w:tcPr>
                <w:p w14:paraId="51BF92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631" w:type="pct"/>
                  <w:tcBorders>
                    <w:tl2br w:val="nil"/>
                    <w:tr2bl w:val="nil"/>
                  </w:tcBorders>
                  <w:vAlign w:val="center"/>
                </w:tcPr>
                <w:p w14:paraId="3FD0A5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eastAsia="zh-CN"/>
                    </w:rPr>
                    <w:t>消毒</w:t>
                  </w:r>
                  <w:r>
                    <w:rPr>
                      <w:rFonts w:hint="eastAsia" w:eastAsiaTheme="minorEastAsia"/>
                      <w:color w:val="auto"/>
                      <w:sz w:val="18"/>
                      <w:szCs w:val="18"/>
                      <w:lang w:val="en-US" w:eastAsia="zh-CN"/>
                    </w:rPr>
                    <w:t>+</w:t>
                  </w:r>
                  <w:r>
                    <w:rPr>
                      <w:rFonts w:hint="eastAsia" w:eastAsiaTheme="minorEastAsia"/>
                      <w:color w:val="auto"/>
                      <w:sz w:val="18"/>
                      <w:szCs w:val="18"/>
                    </w:rPr>
                    <w:t>调节池+接触氧化池+二沉池+消毒</w:t>
                  </w:r>
                </w:p>
              </w:tc>
              <w:tc>
                <w:tcPr>
                  <w:tcW w:w="439" w:type="pct"/>
                  <w:vMerge w:val="continue"/>
                  <w:tcBorders>
                    <w:tl2br w:val="nil"/>
                    <w:tr2bl w:val="nil"/>
                  </w:tcBorders>
                  <w:vAlign w:val="center"/>
                </w:tcPr>
                <w:p w14:paraId="586EF4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673" w:type="pct"/>
                  <w:vMerge w:val="continue"/>
                  <w:tcBorders>
                    <w:tl2br w:val="nil"/>
                    <w:tr2bl w:val="nil"/>
                  </w:tcBorders>
                  <w:vAlign w:val="center"/>
                </w:tcPr>
                <w:p w14:paraId="4FE7E8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575" w:type="pct"/>
                  <w:vMerge w:val="continue"/>
                  <w:tcBorders>
                    <w:tl2br w:val="nil"/>
                    <w:tr2bl w:val="nil"/>
                  </w:tcBorders>
                  <w:vAlign w:val="center"/>
                </w:tcPr>
                <w:p w14:paraId="6E0DAC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r>
          </w:tbl>
          <w:p w14:paraId="4B104D89">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2）废水间接排放口基本情况</w:t>
            </w:r>
          </w:p>
          <w:p w14:paraId="68C72501">
            <w:pPr>
              <w:keepNext w:val="0"/>
              <w:keepLines w:val="0"/>
              <w:suppressLineNumbers w:val="0"/>
              <w:spacing w:before="0" w:beforeAutospacing="0" w:after="0" w:afterAutospacing="0"/>
              <w:ind w:left="0" w:right="0"/>
              <w:jc w:val="center"/>
              <w:rPr>
                <w:rFonts w:hint="eastAsia" w:eastAsiaTheme="minorEastAsia"/>
                <w:b/>
                <w:color w:val="auto"/>
                <w:szCs w:val="21"/>
              </w:rPr>
            </w:pPr>
            <w:r>
              <w:rPr>
                <w:rFonts w:hint="eastAsia" w:eastAsiaTheme="minorEastAsia"/>
                <w:b/>
                <w:color w:val="auto"/>
                <w:szCs w:val="21"/>
              </w:rPr>
              <w:t>表4.</w:t>
            </w:r>
            <w:r>
              <w:rPr>
                <w:rFonts w:hint="eastAsia" w:eastAsiaTheme="minorEastAsia"/>
                <w:b/>
                <w:color w:val="auto"/>
                <w:szCs w:val="21"/>
                <w:lang w:val="en-US" w:eastAsia="zh-CN"/>
              </w:rPr>
              <w:t>2</w:t>
            </w:r>
            <w:r>
              <w:rPr>
                <w:rFonts w:hint="eastAsia" w:eastAsiaTheme="minorEastAsia"/>
                <w:b/>
                <w:color w:val="auto"/>
                <w:szCs w:val="21"/>
              </w:rPr>
              <w:t>-</w:t>
            </w:r>
            <w:r>
              <w:rPr>
                <w:rFonts w:hint="eastAsia" w:eastAsiaTheme="minorEastAsia"/>
                <w:b/>
                <w:color w:val="auto"/>
                <w:szCs w:val="21"/>
                <w:lang w:val="en-US" w:eastAsia="zh-CN"/>
              </w:rPr>
              <w:t>3</w:t>
            </w:r>
            <w:r>
              <w:rPr>
                <w:rFonts w:hint="eastAsia" w:eastAsiaTheme="minorEastAsia"/>
                <w:b/>
                <w:color w:val="auto"/>
                <w:szCs w:val="21"/>
              </w:rPr>
              <w:t xml:space="preserve"> 废水间接排放口基本情况</w:t>
            </w:r>
          </w:p>
          <w:tbl>
            <w:tblPr>
              <w:tblStyle w:val="24"/>
              <w:tblW w:w="498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75"/>
              <w:gridCol w:w="1114"/>
              <w:gridCol w:w="1062"/>
              <w:gridCol w:w="724"/>
              <w:gridCol w:w="637"/>
              <w:gridCol w:w="444"/>
              <w:gridCol w:w="499"/>
              <w:gridCol w:w="499"/>
              <w:gridCol w:w="1240"/>
              <w:gridCol w:w="1090"/>
            </w:tblGrid>
            <w:tr w14:paraId="14157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6" w:hRule="atLeast"/>
              </w:trPr>
              <w:tc>
                <w:tcPr>
                  <w:tcW w:w="356" w:type="pct"/>
                  <w:vMerge w:val="restart"/>
                  <w:tcBorders>
                    <w:tl2br w:val="nil"/>
                    <w:tr2bl w:val="nil"/>
                  </w:tcBorders>
                  <w:vAlign w:val="center"/>
                </w:tcPr>
                <w:p w14:paraId="4FCA328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排放口编号</w:t>
                  </w:r>
                </w:p>
              </w:tc>
              <w:tc>
                <w:tcPr>
                  <w:tcW w:w="1381" w:type="pct"/>
                  <w:gridSpan w:val="2"/>
                  <w:tcBorders>
                    <w:tl2br w:val="nil"/>
                    <w:tr2bl w:val="nil"/>
                  </w:tcBorders>
                  <w:vAlign w:val="center"/>
                </w:tcPr>
                <w:p w14:paraId="34FBE55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排放口地理坐标</w:t>
                  </w:r>
                </w:p>
              </w:tc>
              <w:tc>
                <w:tcPr>
                  <w:tcW w:w="460" w:type="pct"/>
                  <w:vMerge w:val="restart"/>
                  <w:tcBorders>
                    <w:tl2br w:val="nil"/>
                    <w:tr2bl w:val="nil"/>
                  </w:tcBorders>
                  <w:vAlign w:val="center"/>
                </w:tcPr>
                <w:p w14:paraId="5D7B288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废水排放量（t/a）</w:t>
                  </w:r>
                </w:p>
              </w:tc>
              <w:tc>
                <w:tcPr>
                  <w:tcW w:w="405" w:type="pct"/>
                  <w:vMerge w:val="restart"/>
                  <w:tcBorders>
                    <w:tl2br w:val="nil"/>
                    <w:tr2bl w:val="nil"/>
                  </w:tcBorders>
                  <w:vAlign w:val="center"/>
                </w:tcPr>
                <w:p w14:paraId="1C7968F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排放去向</w:t>
                  </w:r>
                </w:p>
              </w:tc>
              <w:tc>
                <w:tcPr>
                  <w:tcW w:w="282" w:type="pct"/>
                  <w:vMerge w:val="restart"/>
                  <w:tcBorders>
                    <w:tl2br w:val="nil"/>
                    <w:tr2bl w:val="nil"/>
                  </w:tcBorders>
                  <w:vAlign w:val="center"/>
                </w:tcPr>
                <w:p w14:paraId="7160C51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排放规律</w:t>
                  </w:r>
                </w:p>
              </w:tc>
              <w:tc>
                <w:tcPr>
                  <w:tcW w:w="317" w:type="pct"/>
                  <w:vMerge w:val="restart"/>
                  <w:tcBorders>
                    <w:tl2br w:val="nil"/>
                    <w:tr2bl w:val="nil"/>
                  </w:tcBorders>
                  <w:vAlign w:val="center"/>
                </w:tcPr>
                <w:p w14:paraId="67D7DD6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间接排放时段</w:t>
                  </w:r>
                </w:p>
              </w:tc>
              <w:tc>
                <w:tcPr>
                  <w:tcW w:w="1794" w:type="pct"/>
                  <w:gridSpan w:val="3"/>
                  <w:tcBorders>
                    <w:tl2br w:val="nil"/>
                    <w:tr2bl w:val="nil"/>
                  </w:tcBorders>
                  <w:vAlign w:val="center"/>
                </w:tcPr>
                <w:p w14:paraId="557F7BE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受纳污水系统信息</w:t>
                  </w:r>
                </w:p>
              </w:tc>
            </w:tr>
            <w:tr w14:paraId="25C8B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4" w:hRule="atLeast"/>
              </w:trPr>
              <w:tc>
                <w:tcPr>
                  <w:tcW w:w="356" w:type="pct"/>
                  <w:vMerge w:val="continue"/>
                  <w:tcBorders>
                    <w:tl2br w:val="nil"/>
                    <w:tr2bl w:val="nil"/>
                  </w:tcBorders>
                  <w:vAlign w:val="center"/>
                </w:tcPr>
                <w:p w14:paraId="34B7110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707" w:type="pct"/>
                  <w:tcBorders>
                    <w:tl2br w:val="nil"/>
                    <w:tr2bl w:val="nil"/>
                  </w:tcBorders>
                  <w:vAlign w:val="center"/>
                </w:tcPr>
                <w:p w14:paraId="656C972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经度</w:t>
                  </w:r>
                </w:p>
              </w:tc>
              <w:tc>
                <w:tcPr>
                  <w:tcW w:w="673" w:type="pct"/>
                  <w:tcBorders>
                    <w:tl2br w:val="nil"/>
                    <w:tr2bl w:val="nil"/>
                  </w:tcBorders>
                  <w:vAlign w:val="center"/>
                </w:tcPr>
                <w:p w14:paraId="53AED6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纬度</w:t>
                  </w:r>
                </w:p>
              </w:tc>
              <w:tc>
                <w:tcPr>
                  <w:tcW w:w="460" w:type="pct"/>
                  <w:vMerge w:val="continue"/>
                  <w:tcBorders>
                    <w:tl2br w:val="nil"/>
                    <w:tr2bl w:val="nil"/>
                  </w:tcBorders>
                  <w:vAlign w:val="center"/>
                </w:tcPr>
                <w:p w14:paraId="0628729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405" w:type="pct"/>
                  <w:vMerge w:val="continue"/>
                  <w:tcBorders>
                    <w:tl2br w:val="nil"/>
                    <w:tr2bl w:val="nil"/>
                  </w:tcBorders>
                  <w:vAlign w:val="center"/>
                </w:tcPr>
                <w:p w14:paraId="20D4B4A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282" w:type="pct"/>
                  <w:vMerge w:val="continue"/>
                  <w:tcBorders>
                    <w:tl2br w:val="nil"/>
                    <w:tr2bl w:val="nil"/>
                  </w:tcBorders>
                  <w:vAlign w:val="center"/>
                </w:tcPr>
                <w:p w14:paraId="00EA248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317" w:type="pct"/>
                  <w:vMerge w:val="continue"/>
                  <w:tcBorders>
                    <w:tl2br w:val="nil"/>
                    <w:tr2bl w:val="nil"/>
                  </w:tcBorders>
                  <w:vAlign w:val="center"/>
                </w:tcPr>
                <w:p w14:paraId="0771F0B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317" w:type="pct"/>
                  <w:tcBorders>
                    <w:tl2br w:val="nil"/>
                    <w:tr2bl w:val="nil"/>
                  </w:tcBorders>
                  <w:vAlign w:val="center"/>
                </w:tcPr>
                <w:p w14:paraId="5E62BA0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名称</w:t>
                  </w:r>
                </w:p>
              </w:tc>
              <w:tc>
                <w:tcPr>
                  <w:tcW w:w="786" w:type="pct"/>
                  <w:tcBorders>
                    <w:tl2br w:val="nil"/>
                    <w:tr2bl w:val="nil"/>
                  </w:tcBorders>
                  <w:vAlign w:val="center"/>
                </w:tcPr>
                <w:p w14:paraId="317CF9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污染物种类</w:t>
                  </w:r>
                </w:p>
              </w:tc>
              <w:tc>
                <w:tcPr>
                  <w:tcW w:w="691" w:type="pct"/>
                  <w:tcBorders>
                    <w:tl2br w:val="nil"/>
                    <w:tr2bl w:val="nil"/>
                  </w:tcBorders>
                  <w:vAlign w:val="center"/>
                </w:tcPr>
                <w:p w14:paraId="32B6E26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bCs/>
                      <w:color w:val="auto"/>
                      <w:sz w:val="18"/>
                      <w:szCs w:val="18"/>
                    </w:rPr>
                    <w:t>国家或地方污染物排放标准浓度限值（mg/L）</w:t>
                  </w:r>
                </w:p>
              </w:tc>
            </w:tr>
            <w:tr w14:paraId="13342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8" w:hRule="atLeast"/>
              </w:trPr>
              <w:tc>
                <w:tcPr>
                  <w:tcW w:w="356" w:type="pct"/>
                  <w:vMerge w:val="restart"/>
                  <w:tcBorders>
                    <w:tl2br w:val="nil"/>
                    <w:tr2bl w:val="nil"/>
                  </w:tcBorders>
                  <w:vAlign w:val="center"/>
                </w:tcPr>
                <w:p w14:paraId="54858C7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D</w:t>
                  </w:r>
                  <w:r>
                    <w:rPr>
                      <w:rFonts w:hint="eastAsia" w:eastAsiaTheme="minorEastAsia"/>
                      <w:color w:val="auto"/>
                      <w:sz w:val="18"/>
                      <w:szCs w:val="18"/>
                      <w:lang w:val="en-US" w:eastAsia="zh-CN"/>
                    </w:rPr>
                    <w:t>W001</w:t>
                  </w:r>
                </w:p>
              </w:tc>
              <w:tc>
                <w:tcPr>
                  <w:tcW w:w="707" w:type="pct"/>
                  <w:vMerge w:val="restart"/>
                  <w:tcBorders>
                    <w:tl2br w:val="nil"/>
                    <w:tr2bl w:val="nil"/>
                  </w:tcBorders>
                  <w:vAlign w:val="center"/>
                </w:tcPr>
                <w:p w14:paraId="707CCF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119.292383</w:t>
                  </w:r>
                </w:p>
              </w:tc>
              <w:tc>
                <w:tcPr>
                  <w:tcW w:w="673" w:type="pct"/>
                  <w:vMerge w:val="restart"/>
                  <w:tcBorders>
                    <w:tl2br w:val="nil"/>
                    <w:tr2bl w:val="nil"/>
                  </w:tcBorders>
                  <w:vAlign w:val="center"/>
                </w:tcPr>
                <w:p w14:paraId="0B65B2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33.781996</w:t>
                  </w:r>
                </w:p>
              </w:tc>
              <w:tc>
                <w:tcPr>
                  <w:tcW w:w="460" w:type="pct"/>
                  <w:vMerge w:val="restart"/>
                  <w:tcBorders>
                    <w:tl2br w:val="nil"/>
                    <w:tr2bl w:val="nil"/>
                  </w:tcBorders>
                  <w:vAlign w:val="center"/>
                </w:tcPr>
                <w:p w14:paraId="12E6D53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kern w:val="0"/>
                      <w:sz w:val="18"/>
                      <w:szCs w:val="18"/>
                      <w:lang w:val="en-US" w:eastAsia="zh-CN" w:bidi="ar"/>
                    </w:rPr>
                    <w:t>1383.3</w:t>
                  </w:r>
                </w:p>
              </w:tc>
              <w:tc>
                <w:tcPr>
                  <w:tcW w:w="405" w:type="pct"/>
                  <w:vMerge w:val="restart"/>
                  <w:tcBorders>
                    <w:tl2br w:val="nil"/>
                    <w:tr2bl w:val="nil"/>
                  </w:tcBorders>
                  <w:vAlign w:val="center"/>
                </w:tcPr>
                <w:p w14:paraId="4B74F04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eastAsia" w:eastAsiaTheme="minorEastAsia"/>
                      <w:color w:val="auto"/>
                      <w:sz w:val="18"/>
                      <w:szCs w:val="18"/>
                      <w:lang w:eastAsia="zh-CN"/>
                    </w:rPr>
                    <w:t>涟水县污水处理厂</w:t>
                  </w:r>
                </w:p>
              </w:tc>
              <w:tc>
                <w:tcPr>
                  <w:tcW w:w="282" w:type="pct"/>
                  <w:vMerge w:val="restart"/>
                  <w:tcBorders>
                    <w:tl2br w:val="nil"/>
                    <w:tr2bl w:val="nil"/>
                  </w:tcBorders>
                  <w:vAlign w:val="center"/>
                </w:tcPr>
                <w:p w14:paraId="199B715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间歇排放</w:t>
                  </w:r>
                </w:p>
              </w:tc>
              <w:tc>
                <w:tcPr>
                  <w:tcW w:w="317" w:type="pct"/>
                  <w:vMerge w:val="restart"/>
                  <w:tcBorders>
                    <w:tl2br w:val="nil"/>
                    <w:tr2bl w:val="nil"/>
                  </w:tcBorders>
                  <w:vAlign w:val="center"/>
                </w:tcPr>
                <w:p w14:paraId="1A6F197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w:t>
                  </w:r>
                </w:p>
              </w:tc>
              <w:tc>
                <w:tcPr>
                  <w:tcW w:w="317" w:type="pct"/>
                  <w:vMerge w:val="restart"/>
                  <w:tcBorders>
                    <w:tl2br w:val="nil"/>
                    <w:tr2bl w:val="nil"/>
                  </w:tcBorders>
                  <w:vAlign w:val="center"/>
                </w:tcPr>
                <w:p w14:paraId="4420176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eastAsia" w:eastAsiaTheme="minorEastAsia"/>
                      <w:color w:val="auto"/>
                      <w:sz w:val="18"/>
                      <w:szCs w:val="18"/>
                      <w:lang w:eastAsia="zh-CN"/>
                    </w:rPr>
                    <w:t>涟水县污水处理厂</w:t>
                  </w:r>
                </w:p>
              </w:tc>
              <w:tc>
                <w:tcPr>
                  <w:tcW w:w="786" w:type="pct"/>
                  <w:tcBorders>
                    <w:tl2br w:val="nil"/>
                    <w:tr2bl w:val="nil"/>
                  </w:tcBorders>
                  <w:vAlign w:val="center"/>
                </w:tcPr>
                <w:p w14:paraId="1C1EF4B6">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pH</w:t>
                  </w:r>
                </w:p>
              </w:tc>
              <w:tc>
                <w:tcPr>
                  <w:tcW w:w="691" w:type="pct"/>
                  <w:tcBorders>
                    <w:tl2br w:val="nil"/>
                    <w:tr2bl w:val="nil"/>
                  </w:tcBorders>
                  <w:vAlign w:val="center"/>
                </w:tcPr>
                <w:p w14:paraId="02C205D8">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6</w:t>
                  </w:r>
                  <w:r>
                    <w:rPr>
                      <w:rFonts w:hint="eastAsia" w:eastAsiaTheme="minorEastAsia"/>
                      <w:color w:val="auto"/>
                      <w:sz w:val="18"/>
                      <w:szCs w:val="18"/>
                      <w:lang w:eastAsia="zh-CN"/>
                    </w:rPr>
                    <w:t>~</w:t>
                  </w:r>
                  <w:r>
                    <w:rPr>
                      <w:rFonts w:hint="eastAsia" w:eastAsiaTheme="minorEastAsia"/>
                      <w:color w:val="auto"/>
                      <w:sz w:val="18"/>
                      <w:szCs w:val="18"/>
                    </w:rPr>
                    <w:t>9</w:t>
                  </w:r>
                </w:p>
              </w:tc>
            </w:tr>
            <w:tr w14:paraId="1F243F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trPr>
              <w:tc>
                <w:tcPr>
                  <w:tcW w:w="356" w:type="pct"/>
                  <w:vMerge w:val="continue"/>
                  <w:tcBorders>
                    <w:tl2br w:val="nil"/>
                    <w:tr2bl w:val="nil"/>
                  </w:tcBorders>
                  <w:vAlign w:val="center"/>
                </w:tcPr>
                <w:p w14:paraId="4333D4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07" w:type="pct"/>
                  <w:vMerge w:val="continue"/>
                  <w:tcBorders>
                    <w:tl2br w:val="nil"/>
                    <w:tr2bl w:val="nil"/>
                  </w:tcBorders>
                  <w:vAlign w:val="center"/>
                </w:tcPr>
                <w:p w14:paraId="6C5C282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673" w:type="pct"/>
                  <w:vMerge w:val="continue"/>
                  <w:tcBorders>
                    <w:tl2br w:val="nil"/>
                    <w:tr2bl w:val="nil"/>
                  </w:tcBorders>
                  <w:vAlign w:val="center"/>
                </w:tcPr>
                <w:p w14:paraId="75378D0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60" w:type="pct"/>
                  <w:vMerge w:val="continue"/>
                  <w:tcBorders>
                    <w:tl2br w:val="nil"/>
                    <w:tr2bl w:val="nil"/>
                  </w:tcBorders>
                  <w:vAlign w:val="center"/>
                </w:tcPr>
                <w:p w14:paraId="5CADA5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05" w:type="pct"/>
                  <w:vMerge w:val="continue"/>
                  <w:tcBorders>
                    <w:tl2br w:val="nil"/>
                    <w:tr2bl w:val="nil"/>
                  </w:tcBorders>
                  <w:vAlign w:val="center"/>
                </w:tcPr>
                <w:p w14:paraId="33BDCA8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82" w:type="pct"/>
                  <w:vMerge w:val="continue"/>
                  <w:tcBorders>
                    <w:tl2br w:val="nil"/>
                    <w:tr2bl w:val="nil"/>
                  </w:tcBorders>
                  <w:vAlign w:val="center"/>
                </w:tcPr>
                <w:p w14:paraId="731A9D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6E0240F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13A3542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86" w:type="pct"/>
                  <w:tcBorders>
                    <w:tl2br w:val="nil"/>
                    <w:tr2bl w:val="nil"/>
                  </w:tcBorders>
                  <w:vAlign w:val="center"/>
                </w:tcPr>
                <w:p w14:paraId="7F62B4BE">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COD</w:t>
                  </w:r>
                </w:p>
              </w:tc>
              <w:tc>
                <w:tcPr>
                  <w:tcW w:w="691" w:type="pct"/>
                  <w:tcBorders>
                    <w:tl2br w:val="nil"/>
                    <w:tr2bl w:val="nil"/>
                  </w:tcBorders>
                  <w:vAlign w:val="center"/>
                </w:tcPr>
                <w:p w14:paraId="0054F26C">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50</w:t>
                  </w:r>
                </w:p>
              </w:tc>
            </w:tr>
            <w:tr w14:paraId="00358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trPr>
              <w:tc>
                <w:tcPr>
                  <w:tcW w:w="356" w:type="pct"/>
                  <w:vMerge w:val="continue"/>
                  <w:tcBorders>
                    <w:tl2br w:val="nil"/>
                    <w:tr2bl w:val="nil"/>
                  </w:tcBorders>
                  <w:vAlign w:val="center"/>
                </w:tcPr>
                <w:p w14:paraId="4E1A2CB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07" w:type="pct"/>
                  <w:vMerge w:val="continue"/>
                  <w:tcBorders>
                    <w:tl2br w:val="nil"/>
                    <w:tr2bl w:val="nil"/>
                  </w:tcBorders>
                  <w:vAlign w:val="center"/>
                </w:tcPr>
                <w:p w14:paraId="454DE6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673" w:type="pct"/>
                  <w:vMerge w:val="continue"/>
                  <w:tcBorders>
                    <w:tl2br w:val="nil"/>
                    <w:tr2bl w:val="nil"/>
                  </w:tcBorders>
                  <w:vAlign w:val="center"/>
                </w:tcPr>
                <w:p w14:paraId="16E6264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60" w:type="pct"/>
                  <w:vMerge w:val="continue"/>
                  <w:tcBorders>
                    <w:tl2br w:val="nil"/>
                    <w:tr2bl w:val="nil"/>
                  </w:tcBorders>
                  <w:vAlign w:val="center"/>
                </w:tcPr>
                <w:p w14:paraId="177E54B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05" w:type="pct"/>
                  <w:vMerge w:val="continue"/>
                  <w:tcBorders>
                    <w:tl2br w:val="nil"/>
                    <w:tr2bl w:val="nil"/>
                  </w:tcBorders>
                  <w:vAlign w:val="center"/>
                </w:tcPr>
                <w:p w14:paraId="06C9511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82" w:type="pct"/>
                  <w:vMerge w:val="continue"/>
                  <w:tcBorders>
                    <w:tl2br w:val="nil"/>
                    <w:tr2bl w:val="nil"/>
                  </w:tcBorders>
                  <w:vAlign w:val="center"/>
                </w:tcPr>
                <w:p w14:paraId="224F28C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7246ED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1932165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86" w:type="pct"/>
                  <w:tcBorders>
                    <w:tl2br w:val="nil"/>
                    <w:tr2bl w:val="nil"/>
                  </w:tcBorders>
                  <w:vAlign w:val="center"/>
                </w:tcPr>
                <w:p w14:paraId="4A7F92B5">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BOD</w:t>
                  </w:r>
                  <w:r>
                    <w:rPr>
                      <w:rFonts w:hint="eastAsia" w:eastAsiaTheme="minorEastAsia"/>
                      <w:color w:val="auto"/>
                      <w:sz w:val="18"/>
                      <w:szCs w:val="18"/>
                      <w:vertAlign w:val="subscript"/>
                    </w:rPr>
                    <w:t>5</w:t>
                  </w:r>
                </w:p>
              </w:tc>
              <w:tc>
                <w:tcPr>
                  <w:tcW w:w="691" w:type="pct"/>
                  <w:tcBorders>
                    <w:tl2br w:val="nil"/>
                    <w:tr2bl w:val="nil"/>
                  </w:tcBorders>
                  <w:vAlign w:val="center"/>
                </w:tcPr>
                <w:p w14:paraId="56CEF645">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10</w:t>
                  </w:r>
                </w:p>
              </w:tc>
            </w:tr>
            <w:tr w14:paraId="1751B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trPr>
              <w:tc>
                <w:tcPr>
                  <w:tcW w:w="356" w:type="pct"/>
                  <w:vMerge w:val="continue"/>
                  <w:tcBorders>
                    <w:tl2br w:val="nil"/>
                    <w:tr2bl w:val="nil"/>
                  </w:tcBorders>
                  <w:vAlign w:val="center"/>
                </w:tcPr>
                <w:p w14:paraId="62537A9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07" w:type="pct"/>
                  <w:vMerge w:val="continue"/>
                  <w:tcBorders>
                    <w:tl2br w:val="nil"/>
                    <w:tr2bl w:val="nil"/>
                  </w:tcBorders>
                  <w:vAlign w:val="center"/>
                </w:tcPr>
                <w:p w14:paraId="28F898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673" w:type="pct"/>
                  <w:vMerge w:val="continue"/>
                  <w:tcBorders>
                    <w:tl2br w:val="nil"/>
                    <w:tr2bl w:val="nil"/>
                  </w:tcBorders>
                  <w:vAlign w:val="center"/>
                </w:tcPr>
                <w:p w14:paraId="6C9BE4F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60" w:type="pct"/>
                  <w:vMerge w:val="continue"/>
                  <w:tcBorders>
                    <w:tl2br w:val="nil"/>
                    <w:tr2bl w:val="nil"/>
                  </w:tcBorders>
                  <w:vAlign w:val="center"/>
                </w:tcPr>
                <w:p w14:paraId="5ABD04E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05" w:type="pct"/>
                  <w:vMerge w:val="continue"/>
                  <w:tcBorders>
                    <w:tl2br w:val="nil"/>
                    <w:tr2bl w:val="nil"/>
                  </w:tcBorders>
                  <w:vAlign w:val="center"/>
                </w:tcPr>
                <w:p w14:paraId="4B4EF17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82" w:type="pct"/>
                  <w:vMerge w:val="continue"/>
                  <w:tcBorders>
                    <w:tl2br w:val="nil"/>
                    <w:tr2bl w:val="nil"/>
                  </w:tcBorders>
                  <w:vAlign w:val="center"/>
                </w:tcPr>
                <w:p w14:paraId="12E623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4F5CCB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3FF567A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86" w:type="pct"/>
                  <w:tcBorders>
                    <w:tl2br w:val="nil"/>
                    <w:tr2bl w:val="nil"/>
                  </w:tcBorders>
                  <w:vAlign w:val="center"/>
                </w:tcPr>
                <w:p w14:paraId="4D9EE042">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SS</w:t>
                  </w:r>
                </w:p>
              </w:tc>
              <w:tc>
                <w:tcPr>
                  <w:tcW w:w="691" w:type="pct"/>
                  <w:tcBorders>
                    <w:tl2br w:val="nil"/>
                    <w:tr2bl w:val="nil"/>
                  </w:tcBorders>
                  <w:vAlign w:val="center"/>
                </w:tcPr>
                <w:p w14:paraId="48ADD7C1">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10</w:t>
                  </w:r>
                </w:p>
              </w:tc>
            </w:tr>
            <w:tr w14:paraId="1840E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8" w:hRule="atLeast"/>
              </w:trPr>
              <w:tc>
                <w:tcPr>
                  <w:tcW w:w="356" w:type="pct"/>
                  <w:vMerge w:val="continue"/>
                  <w:tcBorders>
                    <w:tl2br w:val="nil"/>
                    <w:tr2bl w:val="nil"/>
                  </w:tcBorders>
                  <w:vAlign w:val="center"/>
                </w:tcPr>
                <w:p w14:paraId="4DBBC45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07" w:type="pct"/>
                  <w:vMerge w:val="continue"/>
                  <w:tcBorders>
                    <w:tl2br w:val="nil"/>
                    <w:tr2bl w:val="nil"/>
                  </w:tcBorders>
                  <w:vAlign w:val="center"/>
                </w:tcPr>
                <w:p w14:paraId="1B9C466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673" w:type="pct"/>
                  <w:vMerge w:val="continue"/>
                  <w:tcBorders>
                    <w:tl2br w:val="nil"/>
                    <w:tr2bl w:val="nil"/>
                  </w:tcBorders>
                  <w:vAlign w:val="center"/>
                </w:tcPr>
                <w:p w14:paraId="0D6176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60" w:type="pct"/>
                  <w:vMerge w:val="continue"/>
                  <w:tcBorders>
                    <w:tl2br w:val="nil"/>
                    <w:tr2bl w:val="nil"/>
                  </w:tcBorders>
                  <w:vAlign w:val="center"/>
                </w:tcPr>
                <w:p w14:paraId="6AFD8AF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05" w:type="pct"/>
                  <w:vMerge w:val="continue"/>
                  <w:tcBorders>
                    <w:tl2br w:val="nil"/>
                    <w:tr2bl w:val="nil"/>
                  </w:tcBorders>
                  <w:vAlign w:val="center"/>
                </w:tcPr>
                <w:p w14:paraId="4D37C3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82" w:type="pct"/>
                  <w:vMerge w:val="continue"/>
                  <w:tcBorders>
                    <w:tl2br w:val="nil"/>
                    <w:tr2bl w:val="nil"/>
                  </w:tcBorders>
                  <w:vAlign w:val="center"/>
                </w:tcPr>
                <w:p w14:paraId="799EAA6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37FD071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6AB68BF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86" w:type="pct"/>
                  <w:tcBorders>
                    <w:tl2br w:val="nil"/>
                    <w:tr2bl w:val="nil"/>
                  </w:tcBorders>
                  <w:vAlign w:val="center"/>
                </w:tcPr>
                <w:p w14:paraId="74726511">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NH</w:t>
                  </w:r>
                  <w:r>
                    <w:rPr>
                      <w:rFonts w:hint="eastAsia" w:eastAsiaTheme="minorEastAsia"/>
                      <w:color w:val="auto"/>
                      <w:sz w:val="18"/>
                      <w:szCs w:val="18"/>
                      <w:vertAlign w:val="subscript"/>
                    </w:rPr>
                    <w:t>3</w:t>
                  </w:r>
                  <w:r>
                    <w:rPr>
                      <w:rFonts w:hint="eastAsia" w:eastAsiaTheme="minorEastAsia"/>
                      <w:color w:val="auto"/>
                      <w:sz w:val="18"/>
                      <w:szCs w:val="18"/>
                    </w:rPr>
                    <w:t>-N</w:t>
                  </w:r>
                </w:p>
              </w:tc>
              <w:tc>
                <w:tcPr>
                  <w:tcW w:w="691" w:type="pct"/>
                  <w:tcBorders>
                    <w:tl2br w:val="nil"/>
                    <w:tr2bl w:val="nil"/>
                  </w:tcBorders>
                  <w:vAlign w:val="center"/>
                </w:tcPr>
                <w:p w14:paraId="137F7BDD">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5</w:t>
                  </w:r>
                  <w:r>
                    <w:rPr>
                      <w:rFonts w:hint="eastAsia" w:eastAsiaTheme="minorEastAsia"/>
                      <w:color w:val="auto"/>
                      <w:sz w:val="18"/>
                      <w:szCs w:val="18"/>
                      <w:lang w:eastAsia="zh-CN"/>
                    </w:rPr>
                    <w:t>(</w:t>
                  </w:r>
                  <w:r>
                    <w:rPr>
                      <w:rFonts w:hint="eastAsia" w:eastAsiaTheme="minorEastAsia"/>
                      <w:color w:val="auto"/>
                      <w:sz w:val="18"/>
                      <w:szCs w:val="18"/>
                    </w:rPr>
                    <w:t>8</w:t>
                  </w:r>
                  <w:r>
                    <w:rPr>
                      <w:rFonts w:hint="eastAsia" w:eastAsiaTheme="minorEastAsia"/>
                      <w:color w:val="auto"/>
                      <w:sz w:val="18"/>
                      <w:szCs w:val="18"/>
                      <w:lang w:eastAsia="zh-CN"/>
                    </w:rPr>
                    <w:t>)</w:t>
                  </w:r>
                </w:p>
              </w:tc>
            </w:tr>
            <w:tr w14:paraId="521CE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2" w:hRule="atLeast"/>
              </w:trPr>
              <w:tc>
                <w:tcPr>
                  <w:tcW w:w="356" w:type="pct"/>
                  <w:vMerge w:val="continue"/>
                  <w:tcBorders>
                    <w:tl2br w:val="nil"/>
                    <w:tr2bl w:val="nil"/>
                  </w:tcBorders>
                  <w:vAlign w:val="center"/>
                </w:tcPr>
                <w:p w14:paraId="6EC764D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07" w:type="pct"/>
                  <w:vMerge w:val="continue"/>
                  <w:tcBorders>
                    <w:tl2br w:val="nil"/>
                    <w:tr2bl w:val="nil"/>
                  </w:tcBorders>
                  <w:vAlign w:val="center"/>
                </w:tcPr>
                <w:p w14:paraId="1158FEC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673" w:type="pct"/>
                  <w:vMerge w:val="continue"/>
                  <w:tcBorders>
                    <w:tl2br w:val="nil"/>
                    <w:tr2bl w:val="nil"/>
                  </w:tcBorders>
                  <w:vAlign w:val="center"/>
                </w:tcPr>
                <w:p w14:paraId="71CE6D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60" w:type="pct"/>
                  <w:vMerge w:val="continue"/>
                  <w:tcBorders>
                    <w:tl2br w:val="nil"/>
                    <w:tr2bl w:val="nil"/>
                  </w:tcBorders>
                  <w:vAlign w:val="center"/>
                </w:tcPr>
                <w:p w14:paraId="6DD64BB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05" w:type="pct"/>
                  <w:vMerge w:val="continue"/>
                  <w:tcBorders>
                    <w:tl2br w:val="nil"/>
                    <w:tr2bl w:val="nil"/>
                  </w:tcBorders>
                  <w:vAlign w:val="center"/>
                </w:tcPr>
                <w:p w14:paraId="5FACDDD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82" w:type="pct"/>
                  <w:vMerge w:val="continue"/>
                  <w:tcBorders>
                    <w:tl2br w:val="nil"/>
                    <w:tr2bl w:val="nil"/>
                  </w:tcBorders>
                  <w:vAlign w:val="center"/>
                </w:tcPr>
                <w:p w14:paraId="0CB645D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35097B3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63DC347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86" w:type="pct"/>
                  <w:tcBorders>
                    <w:tl2br w:val="nil"/>
                    <w:tr2bl w:val="nil"/>
                  </w:tcBorders>
                  <w:vAlign w:val="center"/>
                </w:tcPr>
                <w:p w14:paraId="24386E32">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TP</w:t>
                  </w:r>
                </w:p>
              </w:tc>
              <w:tc>
                <w:tcPr>
                  <w:tcW w:w="691" w:type="pct"/>
                  <w:tcBorders>
                    <w:tl2br w:val="nil"/>
                    <w:tr2bl w:val="nil"/>
                  </w:tcBorders>
                  <w:vAlign w:val="center"/>
                </w:tcPr>
                <w:p w14:paraId="6ACB078C">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0.5</w:t>
                  </w:r>
                </w:p>
              </w:tc>
            </w:tr>
            <w:tr w14:paraId="388CD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trPr>
              <w:tc>
                <w:tcPr>
                  <w:tcW w:w="356" w:type="pct"/>
                  <w:vMerge w:val="continue"/>
                  <w:tcBorders>
                    <w:tl2br w:val="nil"/>
                    <w:tr2bl w:val="nil"/>
                  </w:tcBorders>
                  <w:vAlign w:val="center"/>
                </w:tcPr>
                <w:p w14:paraId="70CE94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07" w:type="pct"/>
                  <w:vMerge w:val="continue"/>
                  <w:tcBorders>
                    <w:tl2br w:val="nil"/>
                    <w:tr2bl w:val="nil"/>
                  </w:tcBorders>
                  <w:vAlign w:val="center"/>
                </w:tcPr>
                <w:p w14:paraId="095CD1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673" w:type="pct"/>
                  <w:vMerge w:val="continue"/>
                  <w:tcBorders>
                    <w:tl2br w:val="nil"/>
                    <w:tr2bl w:val="nil"/>
                  </w:tcBorders>
                  <w:vAlign w:val="center"/>
                </w:tcPr>
                <w:p w14:paraId="5416C5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60" w:type="pct"/>
                  <w:vMerge w:val="continue"/>
                  <w:tcBorders>
                    <w:tl2br w:val="nil"/>
                    <w:tr2bl w:val="nil"/>
                  </w:tcBorders>
                  <w:vAlign w:val="center"/>
                </w:tcPr>
                <w:p w14:paraId="0073A9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05" w:type="pct"/>
                  <w:vMerge w:val="continue"/>
                  <w:tcBorders>
                    <w:tl2br w:val="nil"/>
                    <w:tr2bl w:val="nil"/>
                  </w:tcBorders>
                  <w:vAlign w:val="center"/>
                </w:tcPr>
                <w:p w14:paraId="0D6DE2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82" w:type="pct"/>
                  <w:vMerge w:val="continue"/>
                  <w:tcBorders>
                    <w:tl2br w:val="nil"/>
                    <w:tr2bl w:val="nil"/>
                  </w:tcBorders>
                  <w:vAlign w:val="center"/>
                </w:tcPr>
                <w:p w14:paraId="3BB554A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4FE4FF1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1173FA4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86" w:type="pct"/>
                  <w:tcBorders>
                    <w:tl2br w:val="nil"/>
                    <w:tr2bl w:val="nil"/>
                  </w:tcBorders>
                  <w:vAlign w:val="center"/>
                </w:tcPr>
                <w:p w14:paraId="59801160">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TN</w:t>
                  </w:r>
                </w:p>
              </w:tc>
              <w:tc>
                <w:tcPr>
                  <w:tcW w:w="691" w:type="pct"/>
                  <w:tcBorders>
                    <w:tl2br w:val="nil"/>
                    <w:tr2bl w:val="nil"/>
                  </w:tcBorders>
                  <w:vAlign w:val="center"/>
                </w:tcPr>
                <w:p w14:paraId="6644D30D">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15</w:t>
                  </w:r>
                </w:p>
              </w:tc>
            </w:tr>
            <w:tr w14:paraId="2454A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8" w:hRule="atLeast"/>
              </w:trPr>
              <w:tc>
                <w:tcPr>
                  <w:tcW w:w="356" w:type="pct"/>
                  <w:vMerge w:val="continue"/>
                  <w:tcBorders>
                    <w:tl2br w:val="nil"/>
                    <w:tr2bl w:val="nil"/>
                  </w:tcBorders>
                  <w:vAlign w:val="center"/>
                </w:tcPr>
                <w:p w14:paraId="4DA4916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07" w:type="pct"/>
                  <w:vMerge w:val="continue"/>
                  <w:tcBorders>
                    <w:tl2br w:val="nil"/>
                    <w:tr2bl w:val="nil"/>
                  </w:tcBorders>
                  <w:vAlign w:val="center"/>
                </w:tcPr>
                <w:p w14:paraId="15B46B5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673" w:type="pct"/>
                  <w:vMerge w:val="continue"/>
                  <w:tcBorders>
                    <w:tl2br w:val="nil"/>
                    <w:tr2bl w:val="nil"/>
                  </w:tcBorders>
                  <w:vAlign w:val="center"/>
                </w:tcPr>
                <w:p w14:paraId="25DEC12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60" w:type="pct"/>
                  <w:vMerge w:val="continue"/>
                  <w:tcBorders>
                    <w:tl2br w:val="nil"/>
                    <w:tr2bl w:val="nil"/>
                  </w:tcBorders>
                  <w:vAlign w:val="center"/>
                </w:tcPr>
                <w:p w14:paraId="5B5CB5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05" w:type="pct"/>
                  <w:vMerge w:val="continue"/>
                  <w:tcBorders>
                    <w:tl2br w:val="nil"/>
                    <w:tr2bl w:val="nil"/>
                  </w:tcBorders>
                  <w:vAlign w:val="center"/>
                </w:tcPr>
                <w:p w14:paraId="3760F4A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82" w:type="pct"/>
                  <w:vMerge w:val="continue"/>
                  <w:tcBorders>
                    <w:tl2br w:val="nil"/>
                    <w:tr2bl w:val="nil"/>
                  </w:tcBorders>
                  <w:vAlign w:val="center"/>
                </w:tcPr>
                <w:p w14:paraId="51370AD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42CC2B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4619C92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86" w:type="pct"/>
                  <w:tcBorders>
                    <w:tl2br w:val="nil"/>
                    <w:tr2bl w:val="nil"/>
                  </w:tcBorders>
                  <w:vAlign w:val="center"/>
                </w:tcPr>
                <w:p w14:paraId="72209658">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粪大肠菌群数</w:t>
                  </w:r>
                </w:p>
              </w:tc>
              <w:tc>
                <w:tcPr>
                  <w:tcW w:w="691" w:type="pct"/>
                  <w:tcBorders>
                    <w:tl2br w:val="nil"/>
                    <w:tr2bl w:val="nil"/>
                  </w:tcBorders>
                  <w:vAlign w:val="center"/>
                </w:tcPr>
                <w:p w14:paraId="19500936">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1000MPN</w:t>
                  </w:r>
                  <w:r>
                    <w:rPr>
                      <w:rFonts w:hint="eastAsia" w:eastAsiaTheme="minorEastAsia"/>
                      <w:color w:val="auto"/>
                      <w:sz w:val="18"/>
                      <w:szCs w:val="18"/>
                    </w:rPr>
                    <w:t>/L</w:t>
                  </w:r>
                </w:p>
              </w:tc>
            </w:tr>
            <w:tr w14:paraId="7A1C6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1" w:hRule="atLeast"/>
              </w:trPr>
              <w:tc>
                <w:tcPr>
                  <w:tcW w:w="356" w:type="pct"/>
                  <w:vMerge w:val="continue"/>
                  <w:tcBorders>
                    <w:tl2br w:val="nil"/>
                    <w:tr2bl w:val="nil"/>
                  </w:tcBorders>
                  <w:vAlign w:val="center"/>
                </w:tcPr>
                <w:p w14:paraId="0F1873E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07" w:type="pct"/>
                  <w:vMerge w:val="continue"/>
                  <w:tcBorders>
                    <w:tl2br w:val="nil"/>
                    <w:tr2bl w:val="nil"/>
                  </w:tcBorders>
                  <w:vAlign w:val="center"/>
                </w:tcPr>
                <w:p w14:paraId="6333B25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673" w:type="pct"/>
                  <w:vMerge w:val="continue"/>
                  <w:tcBorders>
                    <w:tl2br w:val="nil"/>
                    <w:tr2bl w:val="nil"/>
                  </w:tcBorders>
                  <w:vAlign w:val="center"/>
                </w:tcPr>
                <w:p w14:paraId="67210A1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60" w:type="pct"/>
                  <w:vMerge w:val="continue"/>
                  <w:tcBorders>
                    <w:tl2br w:val="nil"/>
                    <w:tr2bl w:val="nil"/>
                  </w:tcBorders>
                  <w:vAlign w:val="center"/>
                </w:tcPr>
                <w:p w14:paraId="77136F7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05" w:type="pct"/>
                  <w:vMerge w:val="continue"/>
                  <w:tcBorders>
                    <w:tl2br w:val="nil"/>
                    <w:tr2bl w:val="nil"/>
                  </w:tcBorders>
                  <w:vAlign w:val="center"/>
                </w:tcPr>
                <w:p w14:paraId="405ADEA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82" w:type="pct"/>
                  <w:vMerge w:val="continue"/>
                  <w:tcBorders>
                    <w:tl2br w:val="nil"/>
                    <w:tr2bl w:val="nil"/>
                  </w:tcBorders>
                  <w:vAlign w:val="center"/>
                </w:tcPr>
                <w:p w14:paraId="46AFAB4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3C417D3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17" w:type="pct"/>
                  <w:vMerge w:val="continue"/>
                  <w:tcBorders>
                    <w:tl2br w:val="nil"/>
                    <w:tr2bl w:val="nil"/>
                  </w:tcBorders>
                  <w:vAlign w:val="center"/>
                </w:tcPr>
                <w:p w14:paraId="5C97589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786" w:type="pct"/>
                  <w:tcBorders>
                    <w:tl2br w:val="nil"/>
                    <w:tr2bl w:val="nil"/>
                  </w:tcBorders>
                  <w:vAlign w:val="center"/>
                </w:tcPr>
                <w:p w14:paraId="20154CBE">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LAS</w:t>
                  </w:r>
                </w:p>
              </w:tc>
              <w:tc>
                <w:tcPr>
                  <w:tcW w:w="691" w:type="pct"/>
                  <w:tcBorders>
                    <w:tl2br w:val="nil"/>
                    <w:tr2bl w:val="nil"/>
                  </w:tcBorders>
                  <w:vAlign w:val="center"/>
                </w:tcPr>
                <w:p w14:paraId="108CB698">
                  <w:pPr>
                    <w:keepNext w:val="0"/>
                    <w:keepLines w:val="0"/>
                    <w:pageBreakBefore w:val="0"/>
                    <w:widowControl w:val="0"/>
                    <w:suppressLineNumbers w:val="0"/>
                    <w:tabs>
                      <w:tab w:val="left" w:pos="0"/>
                    </w:tabs>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0.5</w:t>
                  </w:r>
                </w:p>
              </w:tc>
            </w:tr>
          </w:tbl>
          <w:p w14:paraId="5109D906">
            <w:pPr>
              <w:keepNext w:val="0"/>
              <w:keepLines w:val="0"/>
              <w:suppressLineNumbers w:val="0"/>
              <w:spacing w:before="0" w:beforeAutospacing="0" w:after="0" w:afterAutospacing="0" w:line="360" w:lineRule="auto"/>
              <w:ind w:left="0" w:right="0"/>
              <w:rPr>
                <w:rFonts w:hint="eastAsia" w:eastAsiaTheme="minorEastAsia"/>
                <w:b/>
                <w:bCs/>
                <w:color w:val="auto"/>
                <w:kern w:val="0"/>
                <w:szCs w:val="21"/>
                <w:lang w:eastAsia="zh-CN"/>
              </w:rPr>
            </w:pPr>
            <w:r>
              <w:rPr>
                <w:rFonts w:hint="eastAsia" w:eastAsiaTheme="minorEastAsia"/>
                <w:b/>
                <w:bCs/>
                <w:color w:val="auto"/>
                <w:kern w:val="0"/>
                <w:szCs w:val="21"/>
                <w:lang w:val="en-US" w:eastAsia="zh-CN"/>
              </w:rPr>
              <w:t>2.7</w:t>
            </w:r>
            <w:r>
              <w:rPr>
                <w:rFonts w:hint="eastAsia" w:eastAsiaTheme="minorEastAsia"/>
                <w:b/>
                <w:bCs/>
                <w:color w:val="auto"/>
                <w:kern w:val="0"/>
                <w:szCs w:val="21"/>
              </w:rPr>
              <w:t>废水污染源</w:t>
            </w:r>
            <w:r>
              <w:rPr>
                <w:rFonts w:hint="eastAsia" w:eastAsiaTheme="minorEastAsia"/>
                <w:b/>
                <w:bCs/>
                <w:color w:val="auto"/>
                <w:kern w:val="0"/>
                <w:szCs w:val="21"/>
                <w:lang w:eastAsia="zh-CN"/>
              </w:rPr>
              <w:t>环境监测计划</w:t>
            </w:r>
          </w:p>
          <w:p w14:paraId="38238B97">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Theme="minorEastAsia"/>
                <w:color w:val="auto"/>
                <w:szCs w:val="21"/>
                <w:shd w:val="clear" w:color="auto" w:fill="FFFFFF"/>
              </w:rPr>
            </w:pPr>
            <w:r>
              <w:rPr>
                <w:rFonts w:hint="eastAsia" w:eastAsiaTheme="minorEastAsia"/>
                <w:color w:val="auto"/>
                <w:szCs w:val="21"/>
                <w:shd w:val="clear" w:color="auto" w:fill="FFFFFF"/>
              </w:rPr>
              <w:t>根据《排污单位自行监测技术指南</w:t>
            </w:r>
            <w:r>
              <w:rPr>
                <w:rFonts w:hint="eastAsia" w:eastAsiaTheme="minorEastAsia"/>
                <w:color w:val="auto"/>
                <w:szCs w:val="21"/>
                <w:shd w:val="clear" w:color="auto" w:fill="FFFFFF"/>
                <w:lang w:val="en-US" w:eastAsia="zh-CN"/>
              </w:rPr>
              <w:t xml:space="preserve"> </w:t>
            </w:r>
            <w:r>
              <w:rPr>
                <w:rFonts w:hint="eastAsia" w:eastAsiaTheme="minorEastAsia"/>
                <w:color w:val="auto"/>
                <w:szCs w:val="21"/>
                <w:shd w:val="clear" w:color="auto" w:fill="FFFFFF"/>
              </w:rPr>
              <w:t>总则》（HJ819-2017）和《排污许可证申请与核发技术规范 医疗机构》（HJ1105-2020）相关要求制定监测计划，废水监测要求如下表4.</w:t>
            </w:r>
            <w:r>
              <w:rPr>
                <w:rFonts w:hint="eastAsia" w:eastAsiaTheme="minorEastAsia"/>
                <w:color w:val="auto"/>
                <w:szCs w:val="21"/>
                <w:shd w:val="clear" w:color="auto" w:fill="FFFFFF"/>
                <w:lang w:val="en-US" w:eastAsia="zh-CN"/>
              </w:rPr>
              <w:t>2</w:t>
            </w:r>
            <w:r>
              <w:rPr>
                <w:rFonts w:hint="eastAsia" w:eastAsiaTheme="minorEastAsia"/>
                <w:color w:val="auto"/>
                <w:szCs w:val="21"/>
                <w:shd w:val="clear" w:color="auto" w:fill="FFFFFF"/>
              </w:rPr>
              <w:t>-</w:t>
            </w:r>
            <w:r>
              <w:rPr>
                <w:rFonts w:hint="eastAsia" w:eastAsiaTheme="minorEastAsia"/>
                <w:color w:val="auto"/>
                <w:szCs w:val="21"/>
                <w:shd w:val="clear" w:color="auto" w:fill="FFFFFF"/>
                <w:lang w:val="en-US" w:eastAsia="zh-CN"/>
              </w:rPr>
              <w:t>4</w:t>
            </w:r>
            <w:r>
              <w:rPr>
                <w:rFonts w:hint="eastAsia" w:eastAsiaTheme="minorEastAsia"/>
                <w:color w:val="auto"/>
                <w:szCs w:val="21"/>
                <w:shd w:val="clear" w:color="auto" w:fill="FFFFFF"/>
              </w:rPr>
              <w:t>。</w:t>
            </w:r>
          </w:p>
          <w:p w14:paraId="3689322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eastAsia" w:eastAsiaTheme="minorEastAsia"/>
                <w:b/>
                <w:color w:val="auto"/>
                <w:szCs w:val="21"/>
              </w:rPr>
            </w:pPr>
            <w:r>
              <w:rPr>
                <w:rFonts w:hint="eastAsia" w:eastAsiaTheme="minorEastAsia"/>
                <w:b/>
                <w:color w:val="auto"/>
                <w:szCs w:val="21"/>
              </w:rPr>
              <w:t>表</w:t>
            </w:r>
            <w:r>
              <w:rPr>
                <w:rFonts w:hint="eastAsia" w:eastAsiaTheme="minorEastAsia"/>
                <w:b/>
                <w:bCs/>
                <w:color w:val="auto"/>
                <w:szCs w:val="21"/>
                <w:shd w:val="clear" w:color="auto" w:fill="FFFFFF"/>
              </w:rPr>
              <w:t>4.</w:t>
            </w:r>
            <w:r>
              <w:rPr>
                <w:rFonts w:hint="eastAsia" w:eastAsiaTheme="minorEastAsia"/>
                <w:b/>
                <w:bCs/>
                <w:color w:val="auto"/>
                <w:szCs w:val="21"/>
                <w:shd w:val="clear" w:color="auto" w:fill="FFFFFF"/>
                <w:lang w:val="en-US" w:eastAsia="zh-CN"/>
              </w:rPr>
              <w:t>2</w:t>
            </w:r>
            <w:r>
              <w:rPr>
                <w:rFonts w:hint="eastAsia" w:eastAsiaTheme="minorEastAsia"/>
                <w:b/>
                <w:bCs/>
                <w:color w:val="auto"/>
                <w:szCs w:val="21"/>
                <w:shd w:val="clear" w:color="auto" w:fill="FFFFFF"/>
              </w:rPr>
              <w:t>-</w:t>
            </w:r>
            <w:r>
              <w:rPr>
                <w:rFonts w:hint="eastAsia" w:eastAsiaTheme="minorEastAsia"/>
                <w:b/>
                <w:bCs/>
                <w:color w:val="auto"/>
                <w:szCs w:val="21"/>
                <w:shd w:val="clear" w:color="auto" w:fill="FFFFFF"/>
                <w:lang w:val="en-US" w:eastAsia="zh-CN"/>
              </w:rPr>
              <w:t>4</w:t>
            </w:r>
            <w:r>
              <w:rPr>
                <w:rFonts w:hint="eastAsia" w:eastAsiaTheme="minorEastAsia"/>
                <w:b/>
                <w:color w:val="auto"/>
                <w:szCs w:val="21"/>
              </w:rPr>
              <w:t>项目废水监测要求一览表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1407"/>
              <w:gridCol w:w="3489"/>
              <w:gridCol w:w="3013"/>
            </w:tblGrid>
            <w:tr w14:paraId="7E1AC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889" w:type="pct"/>
                  <w:vAlign w:val="center"/>
                </w:tcPr>
                <w:p w14:paraId="0636C2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监测点位</w:t>
                  </w:r>
                </w:p>
              </w:tc>
              <w:tc>
                <w:tcPr>
                  <w:tcW w:w="2205" w:type="pct"/>
                  <w:vAlign w:val="center"/>
                </w:tcPr>
                <w:p w14:paraId="5FA062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监测指标</w:t>
                  </w:r>
                </w:p>
              </w:tc>
              <w:tc>
                <w:tcPr>
                  <w:tcW w:w="1904" w:type="pct"/>
                  <w:vAlign w:val="center"/>
                </w:tcPr>
                <w:p w14:paraId="2FD9D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监测频次</w:t>
                  </w:r>
                </w:p>
              </w:tc>
            </w:tr>
            <w:tr w14:paraId="2D862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68" w:hRule="atLeast"/>
                <w:jc w:val="center"/>
              </w:trPr>
              <w:tc>
                <w:tcPr>
                  <w:tcW w:w="889" w:type="pct"/>
                  <w:vMerge w:val="restart"/>
                  <w:vAlign w:val="center"/>
                </w:tcPr>
                <w:p w14:paraId="5A0F9D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废水总排放口</w:t>
                  </w:r>
                </w:p>
              </w:tc>
              <w:tc>
                <w:tcPr>
                  <w:tcW w:w="2205" w:type="pct"/>
                  <w:vAlign w:val="center"/>
                </w:tcPr>
                <w:p w14:paraId="77C3EC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流量</w:t>
                  </w:r>
                </w:p>
              </w:tc>
              <w:tc>
                <w:tcPr>
                  <w:tcW w:w="1904" w:type="pct"/>
                  <w:vAlign w:val="center"/>
                </w:tcPr>
                <w:p w14:paraId="57E63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自动监测</w:t>
                  </w:r>
                </w:p>
              </w:tc>
            </w:tr>
            <w:tr w14:paraId="5988B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68" w:hRule="atLeast"/>
                <w:jc w:val="center"/>
              </w:trPr>
              <w:tc>
                <w:tcPr>
                  <w:tcW w:w="889" w:type="pct"/>
                  <w:vMerge w:val="continue"/>
                  <w:vAlign w:val="center"/>
                </w:tcPr>
                <w:p w14:paraId="4D9EC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205" w:type="pct"/>
                  <w:vAlign w:val="center"/>
                </w:tcPr>
                <w:p w14:paraId="7B57CC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pH值</w:t>
                  </w:r>
                </w:p>
              </w:tc>
              <w:tc>
                <w:tcPr>
                  <w:tcW w:w="1904" w:type="pct"/>
                  <w:vAlign w:val="center"/>
                </w:tcPr>
                <w:p w14:paraId="2978B3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12小时</w:t>
                  </w:r>
                </w:p>
              </w:tc>
            </w:tr>
            <w:tr w14:paraId="12289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68" w:hRule="atLeast"/>
                <w:jc w:val="center"/>
              </w:trPr>
              <w:tc>
                <w:tcPr>
                  <w:tcW w:w="889" w:type="pct"/>
                  <w:vMerge w:val="continue"/>
                  <w:vAlign w:val="center"/>
                </w:tcPr>
                <w:p w14:paraId="53CBFF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205" w:type="pct"/>
                  <w:vAlign w:val="center"/>
                </w:tcPr>
                <w:p w14:paraId="0C7611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COD、SS</w:t>
                  </w:r>
                </w:p>
              </w:tc>
              <w:tc>
                <w:tcPr>
                  <w:tcW w:w="1904" w:type="pct"/>
                  <w:vAlign w:val="center"/>
                </w:tcPr>
                <w:p w14:paraId="7AE9E8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周</w:t>
                  </w:r>
                </w:p>
              </w:tc>
            </w:tr>
            <w:tr w14:paraId="17DC8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68" w:hRule="atLeast"/>
                <w:jc w:val="center"/>
              </w:trPr>
              <w:tc>
                <w:tcPr>
                  <w:tcW w:w="889" w:type="pct"/>
                  <w:vMerge w:val="continue"/>
                  <w:vAlign w:val="center"/>
                </w:tcPr>
                <w:p w14:paraId="379C1F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205" w:type="pct"/>
                  <w:vAlign w:val="center"/>
                </w:tcPr>
                <w:p w14:paraId="34AC6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粪大肠菌群</w:t>
                  </w:r>
                </w:p>
              </w:tc>
              <w:tc>
                <w:tcPr>
                  <w:tcW w:w="1904" w:type="pct"/>
                  <w:vAlign w:val="center"/>
                </w:tcPr>
                <w:p w14:paraId="44FE8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月</w:t>
                  </w:r>
                </w:p>
              </w:tc>
            </w:tr>
            <w:tr w14:paraId="6EF41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68" w:hRule="atLeast"/>
                <w:jc w:val="center"/>
              </w:trPr>
              <w:tc>
                <w:tcPr>
                  <w:tcW w:w="889" w:type="pct"/>
                  <w:vMerge w:val="continue"/>
                  <w:vAlign w:val="center"/>
                </w:tcPr>
                <w:p w14:paraId="7CAB63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205" w:type="pct"/>
                  <w:vAlign w:val="center"/>
                </w:tcPr>
                <w:p w14:paraId="1D9FD4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BOD</w:t>
                  </w:r>
                  <w:r>
                    <w:rPr>
                      <w:rFonts w:hint="eastAsia" w:eastAsiaTheme="minorEastAsia"/>
                      <w:color w:val="auto"/>
                      <w:sz w:val="18"/>
                      <w:szCs w:val="18"/>
                      <w:vertAlign w:val="subscript"/>
                    </w:rPr>
                    <w:t>5</w:t>
                  </w:r>
                  <w:r>
                    <w:rPr>
                      <w:rFonts w:hint="eastAsia" w:eastAsiaTheme="minorEastAsia"/>
                      <w:color w:val="auto"/>
                      <w:sz w:val="18"/>
                      <w:szCs w:val="18"/>
                    </w:rPr>
                    <w:t>、LAS</w:t>
                  </w:r>
                </w:p>
              </w:tc>
              <w:tc>
                <w:tcPr>
                  <w:tcW w:w="1904" w:type="pct"/>
                  <w:vAlign w:val="center"/>
                </w:tcPr>
                <w:p w14:paraId="167E6E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季度</w:t>
                  </w:r>
                </w:p>
              </w:tc>
            </w:tr>
            <w:tr w14:paraId="0C9E4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80" w:hRule="atLeast"/>
                <w:jc w:val="center"/>
              </w:trPr>
              <w:tc>
                <w:tcPr>
                  <w:tcW w:w="889" w:type="pct"/>
                  <w:vMerge w:val="continue"/>
                  <w:vAlign w:val="center"/>
                </w:tcPr>
                <w:p w14:paraId="691C4A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205" w:type="pct"/>
                  <w:vAlign w:val="center"/>
                </w:tcPr>
                <w:p w14:paraId="6E38C0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eastAsia" w:eastAsiaTheme="minorEastAsia"/>
                      <w:color w:val="auto"/>
                      <w:sz w:val="18"/>
                      <w:szCs w:val="18"/>
                    </w:rPr>
                    <w:t>氨氮</w:t>
                  </w:r>
                  <w:r>
                    <w:rPr>
                      <w:rFonts w:hint="eastAsia" w:eastAsiaTheme="minorEastAsia"/>
                      <w:color w:val="auto"/>
                      <w:sz w:val="18"/>
                      <w:szCs w:val="18"/>
                      <w:lang w:eastAsia="zh-CN"/>
                    </w:rPr>
                    <w:t>、总磷、总氮</w:t>
                  </w:r>
                </w:p>
              </w:tc>
              <w:tc>
                <w:tcPr>
                  <w:tcW w:w="1904" w:type="pct"/>
                  <w:vAlign w:val="center"/>
                </w:tcPr>
                <w:p w14:paraId="4837B8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w:t>
                  </w:r>
                </w:p>
              </w:tc>
            </w:tr>
          </w:tbl>
          <w:p w14:paraId="125C24CD">
            <w:pPr>
              <w:keepNext w:val="0"/>
              <w:keepLines w:val="0"/>
              <w:suppressLineNumbers w:val="0"/>
              <w:bidi w:val="0"/>
              <w:spacing w:before="0" w:beforeAutospacing="0" w:after="0" w:afterAutospacing="0"/>
              <w:ind w:left="0" w:right="0"/>
              <w:rPr>
                <w:rFonts w:hint="default"/>
                <w:color w:val="auto"/>
                <w:lang w:val="en-US" w:eastAsia="zh-CN"/>
              </w:rPr>
            </w:pPr>
          </w:p>
        </w:tc>
      </w:tr>
    </w:tbl>
    <w:p w14:paraId="7E7CC4AE">
      <w:pPr>
        <w:pStyle w:val="23"/>
        <w:ind w:left="0" w:leftChars="0" w:firstLine="0" w:firstLineChars="0"/>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13661"/>
      </w:tblGrid>
      <w:tr w14:paraId="4C2F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dxa"/>
          </w:tcPr>
          <w:p w14:paraId="6F041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vertAlign w:val="baseline"/>
                <w:lang w:val="en-US" w:eastAsia="zh-CN"/>
              </w:rPr>
            </w:pPr>
          </w:p>
        </w:tc>
        <w:tc>
          <w:tcPr>
            <w:tcW w:w="13661" w:type="dxa"/>
          </w:tcPr>
          <w:p w14:paraId="4043DCA2">
            <w:pPr>
              <w:keepNext w:val="0"/>
              <w:keepLines w:val="0"/>
              <w:numPr>
                <w:ilvl w:val="0"/>
                <w:numId w:val="11"/>
              </w:numPr>
              <w:suppressLineNumbers w:val="0"/>
              <w:bidi w:val="0"/>
              <w:spacing w:before="0" w:beforeAutospacing="0" w:after="0" w:afterAutospacing="0"/>
              <w:ind w:left="0" w:leftChars="0" w:right="0" w:firstLine="482" w:firstLineChars="200"/>
              <w:rPr>
                <w:rFonts w:hint="default"/>
                <w:b/>
                <w:bCs/>
                <w:color w:val="auto"/>
                <w:lang w:val="en-US" w:eastAsia="zh-CN"/>
              </w:rPr>
            </w:pPr>
            <w:r>
              <w:rPr>
                <w:rFonts w:hint="eastAsia"/>
                <w:b/>
                <w:bCs/>
                <w:color w:val="auto"/>
                <w:lang w:val="en-US" w:eastAsia="zh-CN"/>
              </w:rPr>
              <w:t>噪声</w:t>
            </w:r>
          </w:p>
          <w:p w14:paraId="4F0C96C6">
            <w:pPr>
              <w:keepNext w:val="0"/>
              <w:keepLines w:val="0"/>
              <w:pageBreakBefore w:val="0"/>
              <w:widowControl w:val="0"/>
              <w:numPr>
                <w:ilvl w:val="1"/>
                <w:numId w:val="11"/>
              </w:numPr>
              <w:suppressLineNumbers w:val="0"/>
              <w:kinsoku/>
              <w:wordWrap/>
              <w:overflowPunct/>
              <w:topLinePunct w:val="0"/>
              <w:autoSpaceDE/>
              <w:autoSpaceDN/>
              <w:bidi w:val="0"/>
              <w:adjustRightInd/>
              <w:snapToGrid/>
              <w:spacing w:before="0" w:beforeAutospacing="0" w:after="0" w:afterAutospacing="0"/>
              <w:ind w:right="0" w:firstLine="482" w:firstLineChars="200"/>
              <w:textAlignment w:val="auto"/>
              <w:rPr>
                <w:rFonts w:hint="eastAsia"/>
                <w:b/>
                <w:bCs/>
                <w:color w:val="auto"/>
                <w:lang w:val="en-US" w:eastAsia="zh-CN"/>
              </w:rPr>
            </w:pPr>
            <w:r>
              <w:rPr>
                <w:rFonts w:hint="eastAsia"/>
                <w:b/>
                <w:bCs/>
                <w:color w:val="auto"/>
                <w:lang w:val="en-US" w:eastAsia="zh-CN"/>
              </w:rPr>
              <w:t>噪声产生环节及源强分析</w:t>
            </w:r>
          </w:p>
          <w:p w14:paraId="6B1D67B1">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eastAsiaTheme="minorEastAsia"/>
                <w:b/>
                <w:snapToGrid w:val="0"/>
                <w:color w:val="auto"/>
                <w:kern w:val="0"/>
                <w:sz w:val="24"/>
              </w:rPr>
            </w:pPr>
            <w:r>
              <w:rPr>
                <w:rFonts w:hint="eastAsia" w:ascii="宋体" w:hAnsi="宋体" w:cs="宋体"/>
                <w:color w:val="auto"/>
                <w:kern w:val="0"/>
                <w:sz w:val="24"/>
                <w:highlight w:val="none"/>
                <w:lang w:bidi="ar"/>
              </w:rPr>
              <w:t>本项目噪声主要来源于</w:t>
            </w:r>
            <w:r>
              <w:rPr>
                <w:rFonts w:hint="eastAsia" w:ascii="宋体" w:hAnsi="宋体" w:cs="宋体"/>
                <w:color w:val="auto"/>
                <w:kern w:val="0"/>
                <w:sz w:val="24"/>
                <w:highlight w:val="none"/>
                <w:lang w:eastAsia="zh-CN" w:bidi="ar"/>
              </w:rPr>
              <w:t>实验仪器设备，如</w:t>
            </w:r>
            <w:r>
              <w:rPr>
                <w:rFonts w:hint="eastAsia" w:ascii="宋体" w:hAnsi="宋体" w:cs="宋体"/>
                <w:color w:val="auto"/>
                <w:kern w:val="0"/>
                <w:sz w:val="24"/>
                <w:highlight w:val="none"/>
                <w:lang w:val="en-US" w:eastAsia="zh-CN" w:bidi="ar"/>
              </w:rPr>
              <w:t>离心机</w:t>
            </w:r>
            <w:r>
              <w:rPr>
                <w:rFonts w:hint="eastAsia" w:ascii="宋体" w:hAnsi="宋体" w:cs="宋体"/>
                <w:color w:val="auto"/>
                <w:kern w:val="0"/>
                <w:sz w:val="24"/>
                <w:highlight w:val="none"/>
                <w:lang w:bidi="ar"/>
              </w:rPr>
              <w:t>、</w:t>
            </w:r>
            <w:r>
              <w:rPr>
                <w:rFonts w:hint="eastAsia" w:ascii="宋体" w:hAnsi="宋体" w:cs="宋体"/>
                <w:color w:val="auto"/>
                <w:kern w:val="0"/>
                <w:sz w:val="24"/>
                <w:highlight w:val="none"/>
                <w:lang w:val="en-US" w:eastAsia="zh-CN" w:bidi="ar"/>
              </w:rPr>
              <w:t>纯水机、磁力搅拌机、蒸汽灭菌器、生物安全柜以及</w:t>
            </w:r>
            <w:r>
              <w:rPr>
                <w:rFonts w:hint="eastAsia" w:ascii="宋体" w:hAnsi="宋体" w:cs="宋体"/>
                <w:color w:val="auto"/>
                <w:kern w:val="0"/>
                <w:sz w:val="24"/>
                <w:highlight w:val="none"/>
                <w:lang w:bidi="ar"/>
              </w:rPr>
              <w:t>风机等设备运行时产生的噪声</w:t>
            </w:r>
            <w:r>
              <w:rPr>
                <w:rFonts w:hint="eastAsia" w:eastAsiaTheme="minorEastAsia"/>
                <w:color w:val="auto"/>
                <w:kern w:val="0"/>
                <w:sz w:val="24"/>
                <w:lang w:bidi="en-US"/>
              </w:rPr>
              <w:t>，噪声源强</w:t>
            </w:r>
            <w:r>
              <w:rPr>
                <w:rFonts w:hint="eastAsia" w:eastAsiaTheme="minorEastAsia"/>
                <w:color w:val="auto"/>
                <w:kern w:val="0"/>
                <w:sz w:val="24"/>
                <w:lang w:val="en-US" w:eastAsia="zh-CN" w:bidi="en-US"/>
              </w:rPr>
              <w:t>范围</w:t>
            </w:r>
            <w:r>
              <w:rPr>
                <w:rFonts w:hint="eastAsia" w:eastAsiaTheme="minorEastAsia"/>
                <w:color w:val="auto"/>
                <w:kern w:val="0"/>
                <w:sz w:val="24"/>
                <w:lang w:bidi="en-US"/>
              </w:rPr>
              <w:t>为7</w:t>
            </w:r>
            <w:r>
              <w:rPr>
                <w:rFonts w:hint="eastAsia" w:eastAsiaTheme="minorEastAsia"/>
                <w:color w:val="auto"/>
                <w:kern w:val="0"/>
                <w:sz w:val="24"/>
                <w:lang w:val="en-US" w:eastAsia="zh-CN" w:bidi="en-US"/>
              </w:rPr>
              <w:t>5</w:t>
            </w:r>
            <w:r>
              <w:rPr>
                <w:rFonts w:hint="eastAsia" w:eastAsiaTheme="minorEastAsia"/>
                <w:color w:val="auto"/>
                <w:kern w:val="0"/>
                <w:sz w:val="24"/>
                <w:lang w:bidi="en-US"/>
              </w:rPr>
              <w:t>~</w:t>
            </w:r>
            <w:r>
              <w:rPr>
                <w:rFonts w:hint="eastAsia" w:eastAsiaTheme="minorEastAsia"/>
                <w:color w:val="auto"/>
                <w:kern w:val="0"/>
                <w:sz w:val="24"/>
                <w:lang w:val="en-US" w:eastAsia="zh-CN" w:bidi="en-US"/>
              </w:rPr>
              <w:t>90</w:t>
            </w:r>
            <w:r>
              <w:rPr>
                <w:rFonts w:hint="eastAsia" w:eastAsiaTheme="minorEastAsia"/>
                <w:color w:val="auto"/>
                <w:kern w:val="0"/>
                <w:sz w:val="24"/>
                <w:lang w:bidi="en-US"/>
              </w:rPr>
              <w:t>dB(A</w:t>
            </w:r>
            <w:r>
              <w:rPr>
                <w:rFonts w:hint="eastAsia" w:eastAsiaTheme="minorEastAsia"/>
                <w:color w:val="auto"/>
                <w:kern w:val="0"/>
                <w:sz w:val="24"/>
                <w:lang w:eastAsia="zh-CN" w:bidi="en-US"/>
              </w:rPr>
              <w:t>）</w:t>
            </w:r>
            <w:r>
              <w:rPr>
                <w:rFonts w:hint="eastAsia" w:eastAsiaTheme="minorEastAsia"/>
                <w:color w:val="auto"/>
                <w:kern w:val="0"/>
                <w:sz w:val="24"/>
                <w:lang w:bidi="en-US"/>
              </w:rPr>
              <w:t>之间，主要噪声设备及排放情况见表4.3-1。</w:t>
            </w:r>
          </w:p>
          <w:p w14:paraId="48179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b/>
                <w:bCs/>
                <w:color w:val="auto"/>
                <w:lang w:val="en-US" w:eastAsia="zh-CN"/>
              </w:rPr>
            </w:pPr>
            <w:r>
              <w:rPr>
                <w:rFonts w:hint="eastAsia"/>
                <w:b/>
                <w:bCs/>
                <w:color w:val="auto"/>
                <w:lang w:val="en-US" w:eastAsia="zh-CN"/>
              </w:rPr>
              <w:t>表4.3-1  建设项目噪声源强调查清单（室内声源）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263"/>
              <w:gridCol w:w="2145"/>
              <w:gridCol w:w="705"/>
              <w:gridCol w:w="1139"/>
              <w:gridCol w:w="1408"/>
              <w:gridCol w:w="584"/>
              <w:gridCol w:w="614"/>
              <w:gridCol w:w="649"/>
              <w:gridCol w:w="1034"/>
              <w:gridCol w:w="1351"/>
              <w:gridCol w:w="1001"/>
              <w:gridCol w:w="799"/>
              <w:gridCol w:w="859"/>
              <w:gridCol w:w="894"/>
            </w:tblGrid>
            <w:tr w14:paraId="0FFA4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98" w:type="pct"/>
                  <w:vMerge w:val="restart"/>
                  <w:shd w:val="clear" w:color="auto" w:fill="auto"/>
                  <w:vAlign w:val="center"/>
                </w:tcPr>
                <w:p w14:paraId="5596650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序号</w:t>
                  </w:r>
                </w:p>
              </w:tc>
              <w:tc>
                <w:tcPr>
                  <w:tcW w:w="797" w:type="pct"/>
                  <w:vMerge w:val="restart"/>
                  <w:shd w:val="clear" w:color="auto" w:fill="auto"/>
                  <w:vAlign w:val="center"/>
                </w:tcPr>
                <w:p w14:paraId="402A299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声源名称</w:t>
                  </w:r>
                </w:p>
              </w:tc>
              <w:tc>
                <w:tcPr>
                  <w:tcW w:w="262" w:type="pct"/>
                  <w:vMerge w:val="restart"/>
                  <w:shd w:val="clear" w:color="auto" w:fill="auto"/>
                  <w:vAlign w:val="center"/>
                </w:tcPr>
                <w:p w14:paraId="4175CA3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数量</w:t>
                  </w:r>
                </w:p>
                <w:p w14:paraId="0D28F0E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（台/套）</w:t>
                  </w:r>
                </w:p>
              </w:tc>
              <w:tc>
                <w:tcPr>
                  <w:tcW w:w="423" w:type="pct"/>
                  <w:vMerge w:val="restart"/>
                  <w:shd w:val="clear" w:color="auto" w:fill="auto"/>
                  <w:vAlign w:val="center"/>
                </w:tcPr>
                <w:p w14:paraId="6B605EA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（声压级）/（dB(A)）</w:t>
                  </w:r>
                </w:p>
              </w:tc>
              <w:tc>
                <w:tcPr>
                  <w:tcW w:w="523" w:type="pct"/>
                  <w:vMerge w:val="restart"/>
                  <w:shd w:val="clear" w:color="auto" w:fill="auto"/>
                  <w:vAlign w:val="center"/>
                </w:tcPr>
                <w:p w14:paraId="08F764E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声源控制措施</w:t>
                  </w:r>
                </w:p>
              </w:tc>
              <w:tc>
                <w:tcPr>
                  <w:tcW w:w="686" w:type="pct"/>
                  <w:gridSpan w:val="3"/>
                  <w:shd w:val="clear" w:color="auto" w:fill="auto"/>
                  <w:vAlign w:val="center"/>
                </w:tcPr>
                <w:p w14:paraId="12CD694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空间相对位置/m</w:t>
                  </w:r>
                </w:p>
              </w:tc>
              <w:tc>
                <w:tcPr>
                  <w:tcW w:w="384" w:type="pct"/>
                  <w:vMerge w:val="restart"/>
                  <w:shd w:val="clear" w:color="auto" w:fill="auto"/>
                  <w:vAlign w:val="center"/>
                </w:tcPr>
                <w:p w14:paraId="74FE73A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*距室内边界距离/m</w:t>
                  </w:r>
                </w:p>
              </w:tc>
              <w:tc>
                <w:tcPr>
                  <w:tcW w:w="502" w:type="pct"/>
                  <w:vMerge w:val="restart"/>
                  <w:shd w:val="clear" w:color="auto" w:fill="auto"/>
                  <w:vAlign w:val="center"/>
                </w:tcPr>
                <w:p w14:paraId="12BDC3C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*室内边界声级/dB(A)（多台设备叠加）</w:t>
                  </w:r>
                </w:p>
              </w:tc>
              <w:tc>
                <w:tcPr>
                  <w:tcW w:w="372" w:type="pct"/>
                  <w:vMerge w:val="restart"/>
                  <w:shd w:val="clear" w:color="auto" w:fill="auto"/>
                  <w:vAlign w:val="center"/>
                </w:tcPr>
                <w:p w14:paraId="2B76717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运行时段（h）</w:t>
                  </w:r>
                </w:p>
              </w:tc>
              <w:tc>
                <w:tcPr>
                  <w:tcW w:w="297" w:type="pct"/>
                  <w:vMerge w:val="restart"/>
                  <w:shd w:val="clear" w:color="auto" w:fill="auto"/>
                  <w:vAlign w:val="center"/>
                </w:tcPr>
                <w:p w14:paraId="5534CB3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建筑物插入损失/dB(A)</w:t>
                  </w:r>
                </w:p>
              </w:tc>
              <w:tc>
                <w:tcPr>
                  <w:tcW w:w="651" w:type="pct"/>
                  <w:gridSpan w:val="2"/>
                  <w:shd w:val="clear" w:color="auto" w:fill="auto"/>
                  <w:vAlign w:val="center"/>
                </w:tcPr>
                <w:p w14:paraId="46DC008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建筑物外噪声</w:t>
                  </w:r>
                </w:p>
              </w:tc>
            </w:tr>
            <w:tr w14:paraId="0D5C0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98" w:type="pct"/>
                  <w:vMerge w:val="continue"/>
                  <w:shd w:val="clear" w:color="auto" w:fill="auto"/>
                  <w:vAlign w:val="center"/>
                </w:tcPr>
                <w:p w14:paraId="6EA1935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797" w:type="pct"/>
                  <w:vMerge w:val="continue"/>
                  <w:shd w:val="clear" w:color="auto" w:fill="auto"/>
                  <w:vAlign w:val="center"/>
                </w:tcPr>
                <w:p w14:paraId="1F44300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262" w:type="pct"/>
                  <w:vMerge w:val="continue"/>
                  <w:shd w:val="clear" w:color="auto" w:fill="auto"/>
                  <w:vAlign w:val="center"/>
                </w:tcPr>
                <w:p w14:paraId="1A52D98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423" w:type="pct"/>
                  <w:vMerge w:val="continue"/>
                  <w:shd w:val="clear" w:color="auto" w:fill="auto"/>
                  <w:vAlign w:val="center"/>
                </w:tcPr>
                <w:p w14:paraId="763F3EA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523" w:type="pct"/>
                  <w:vMerge w:val="continue"/>
                  <w:tcBorders>
                    <w:bottom w:val="single" w:color="auto" w:sz="4" w:space="0"/>
                  </w:tcBorders>
                  <w:shd w:val="clear" w:color="auto" w:fill="auto"/>
                  <w:vAlign w:val="center"/>
                </w:tcPr>
                <w:p w14:paraId="7E9EDCC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217" w:type="pct"/>
                  <w:shd w:val="clear" w:color="auto" w:fill="auto"/>
                  <w:vAlign w:val="center"/>
                </w:tcPr>
                <w:p w14:paraId="1C8CA63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X</w:t>
                  </w:r>
                </w:p>
              </w:tc>
              <w:tc>
                <w:tcPr>
                  <w:tcW w:w="228" w:type="pct"/>
                  <w:shd w:val="clear" w:color="auto" w:fill="auto"/>
                  <w:vAlign w:val="center"/>
                </w:tcPr>
                <w:p w14:paraId="7113C92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Y</w:t>
                  </w:r>
                </w:p>
              </w:tc>
              <w:tc>
                <w:tcPr>
                  <w:tcW w:w="239" w:type="pct"/>
                  <w:shd w:val="clear" w:color="auto" w:fill="auto"/>
                  <w:vAlign w:val="center"/>
                </w:tcPr>
                <w:p w14:paraId="388A70D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rPr>
                    <w:t>Z</w:t>
                  </w:r>
                  <w:r>
                    <w:rPr>
                      <w:rFonts w:hint="default" w:ascii="Times New Roman" w:hAnsi="Times New Roman" w:cs="Times New Roman"/>
                      <w:b/>
                      <w:color w:val="auto"/>
                      <w:sz w:val="18"/>
                      <w:szCs w:val="18"/>
                      <w:lang w:val="en-US" w:eastAsia="zh-CN"/>
                    </w:rPr>
                    <w:t>*</w:t>
                  </w:r>
                </w:p>
              </w:tc>
              <w:tc>
                <w:tcPr>
                  <w:tcW w:w="384" w:type="pct"/>
                  <w:vMerge w:val="continue"/>
                  <w:shd w:val="clear" w:color="auto" w:fill="auto"/>
                  <w:vAlign w:val="center"/>
                </w:tcPr>
                <w:p w14:paraId="1088C12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502" w:type="pct"/>
                  <w:vMerge w:val="continue"/>
                  <w:tcBorders>
                    <w:bottom w:val="single" w:color="auto" w:sz="4" w:space="0"/>
                  </w:tcBorders>
                  <w:shd w:val="clear" w:color="auto" w:fill="auto"/>
                  <w:vAlign w:val="center"/>
                </w:tcPr>
                <w:p w14:paraId="4C3D98D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372" w:type="pct"/>
                  <w:vMerge w:val="continue"/>
                  <w:tcBorders>
                    <w:bottom w:val="single" w:color="auto" w:sz="4" w:space="0"/>
                  </w:tcBorders>
                  <w:shd w:val="clear" w:color="auto" w:fill="auto"/>
                  <w:vAlign w:val="center"/>
                </w:tcPr>
                <w:p w14:paraId="2C3EA07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297" w:type="pct"/>
                  <w:vMerge w:val="continue"/>
                  <w:shd w:val="clear" w:color="auto" w:fill="auto"/>
                  <w:vAlign w:val="center"/>
                </w:tcPr>
                <w:p w14:paraId="5FACF3D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319" w:type="pct"/>
                  <w:shd w:val="clear" w:color="auto" w:fill="auto"/>
                  <w:vAlign w:val="center"/>
                </w:tcPr>
                <w:p w14:paraId="0A63720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声压级/dB(A)</w:t>
                  </w:r>
                </w:p>
              </w:tc>
              <w:tc>
                <w:tcPr>
                  <w:tcW w:w="331" w:type="pct"/>
                  <w:shd w:val="clear" w:color="auto" w:fill="auto"/>
                  <w:vAlign w:val="center"/>
                </w:tcPr>
                <w:p w14:paraId="4C622F4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建筑物外距离</w:t>
                  </w:r>
                </w:p>
              </w:tc>
            </w:tr>
            <w:tr w14:paraId="0B068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8" w:type="pct"/>
                  <w:shd w:val="clear" w:color="auto" w:fill="auto"/>
                  <w:vAlign w:val="center"/>
                </w:tcPr>
                <w:p w14:paraId="5BB49E6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797" w:type="pct"/>
                  <w:shd w:val="clear" w:color="auto" w:fill="auto"/>
                  <w:vAlign w:val="center"/>
                </w:tcPr>
                <w:p w14:paraId="473752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bidi="ar"/>
                    </w:rPr>
                    <w:t>离心机</w:t>
                  </w:r>
                </w:p>
              </w:tc>
              <w:tc>
                <w:tcPr>
                  <w:tcW w:w="262" w:type="pct"/>
                  <w:shd w:val="clear" w:color="auto" w:fill="auto"/>
                  <w:vAlign w:val="center"/>
                </w:tcPr>
                <w:p w14:paraId="455195C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6</w:t>
                  </w:r>
                </w:p>
              </w:tc>
              <w:tc>
                <w:tcPr>
                  <w:tcW w:w="423" w:type="pct"/>
                  <w:shd w:val="clear" w:color="auto" w:fill="auto"/>
                  <w:vAlign w:val="center"/>
                </w:tcPr>
                <w:p w14:paraId="593C108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80~90</w:t>
                  </w:r>
                </w:p>
              </w:tc>
              <w:tc>
                <w:tcPr>
                  <w:tcW w:w="523" w:type="pct"/>
                  <w:vMerge w:val="restart"/>
                  <w:tcBorders>
                    <w:top w:val="single" w:color="auto" w:sz="4" w:space="0"/>
                  </w:tcBorders>
                  <w:shd w:val="clear" w:color="auto" w:fill="auto"/>
                  <w:vAlign w:val="center"/>
                </w:tcPr>
                <w:p w14:paraId="0B0EF83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隔声、减振</w:t>
                  </w:r>
                </w:p>
              </w:tc>
              <w:tc>
                <w:tcPr>
                  <w:tcW w:w="217" w:type="pct"/>
                  <w:shd w:val="clear" w:color="auto" w:fill="auto"/>
                  <w:vAlign w:val="center"/>
                </w:tcPr>
                <w:p w14:paraId="753FA6E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282</w:t>
                  </w:r>
                </w:p>
              </w:tc>
              <w:tc>
                <w:tcPr>
                  <w:tcW w:w="228" w:type="pct"/>
                  <w:shd w:val="clear" w:color="auto" w:fill="auto"/>
                  <w:vAlign w:val="center"/>
                </w:tcPr>
                <w:p w14:paraId="4C83BC6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55</w:t>
                  </w:r>
                </w:p>
              </w:tc>
              <w:tc>
                <w:tcPr>
                  <w:tcW w:w="239" w:type="pct"/>
                  <w:shd w:val="clear" w:color="auto" w:fill="auto"/>
                  <w:vAlign w:val="center"/>
                </w:tcPr>
                <w:p w14:paraId="6925DCF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rPr>
                    <w:t>.2</w:t>
                  </w:r>
                </w:p>
              </w:tc>
              <w:tc>
                <w:tcPr>
                  <w:tcW w:w="384" w:type="pct"/>
                  <w:shd w:val="clear" w:color="auto" w:fill="auto"/>
                  <w:vAlign w:val="center"/>
                </w:tcPr>
                <w:p w14:paraId="13FB271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北</w:t>
                  </w:r>
                  <w:r>
                    <w:rPr>
                      <w:rFonts w:hint="eastAsia" w:cs="Times New Roman"/>
                      <w:color w:val="auto"/>
                      <w:sz w:val="18"/>
                      <w:szCs w:val="18"/>
                      <w:lang w:val="en-US" w:eastAsia="zh-CN"/>
                    </w:rPr>
                    <w:t>30</w:t>
                  </w:r>
                </w:p>
              </w:tc>
              <w:tc>
                <w:tcPr>
                  <w:tcW w:w="502" w:type="pct"/>
                  <w:shd w:val="clear" w:color="auto" w:fill="auto"/>
                  <w:vAlign w:val="center"/>
                </w:tcPr>
                <w:p w14:paraId="1BC32A1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61.5</w:t>
                  </w:r>
                </w:p>
              </w:tc>
              <w:tc>
                <w:tcPr>
                  <w:tcW w:w="372" w:type="pct"/>
                  <w:vMerge w:val="restart"/>
                  <w:shd w:val="clear" w:color="auto" w:fill="auto"/>
                  <w:vAlign w:val="center"/>
                </w:tcPr>
                <w:p w14:paraId="3E1BFF4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9</w:t>
                  </w:r>
                  <w:r>
                    <w:rPr>
                      <w:rFonts w:hint="default" w:ascii="Times New Roman" w:hAnsi="Times New Roman" w:cs="Times New Roman"/>
                      <w:color w:val="auto"/>
                      <w:sz w:val="18"/>
                      <w:szCs w:val="18"/>
                      <w:lang w:val="en-US" w:eastAsia="zh-CN"/>
                    </w:rPr>
                    <w:t>:00-</w:t>
                  </w:r>
                  <w:r>
                    <w:rPr>
                      <w:rFonts w:hint="eastAsia" w:cs="Times New Roman"/>
                      <w:color w:val="auto"/>
                      <w:sz w:val="18"/>
                      <w:szCs w:val="18"/>
                      <w:lang w:val="en-US" w:eastAsia="zh-CN"/>
                    </w:rPr>
                    <w:t>17</w:t>
                  </w:r>
                  <w:r>
                    <w:rPr>
                      <w:rFonts w:hint="default" w:ascii="Times New Roman" w:hAnsi="Times New Roman" w:cs="Times New Roman"/>
                      <w:color w:val="auto"/>
                      <w:sz w:val="18"/>
                      <w:szCs w:val="18"/>
                      <w:lang w:val="en-US" w:eastAsia="zh-CN"/>
                    </w:rPr>
                    <w:t>:00</w:t>
                  </w:r>
                </w:p>
              </w:tc>
              <w:tc>
                <w:tcPr>
                  <w:tcW w:w="297" w:type="pct"/>
                  <w:shd w:val="clear" w:color="auto" w:fill="auto"/>
                  <w:vAlign w:val="center"/>
                </w:tcPr>
                <w:p w14:paraId="2B7005A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319" w:type="pct"/>
                  <w:shd w:val="clear" w:color="auto" w:fill="auto"/>
                  <w:vAlign w:val="center"/>
                </w:tcPr>
                <w:p w14:paraId="04D17BC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36.5</w:t>
                  </w:r>
                </w:p>
              </w:tc>
              <w:tc>
                <w:tcPr>
                  <w:tcW w:w="331" w:type="pct"/>
                  <w:vMerge w:val="restart"/>
                  <w:shd w:val="clear" w:color="auto" w:fill="auto"/>
                  <w:vAlign w:val="center"/>
                </w:tcPr>
                <w:p w14:paraId="6646482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1m</w:t>
                  </w:r>
                </w:p>
              </w:tc>
            </w:tr>
            <w:tr w14:paraId="64F87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98" w:type="pct"/>
                  <w:shd w:val="clear" w:color="auto" w:fill="auto"/>
                  <w:vAlign w:val="center"/>
                </w:tcPr>
                <w:p w14:paraId="1BCB3AD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797" w:type="pct"/>
                  <w:shd w:val="clear" w:color="auto" w:fill="auto"/>
                  <w:vAlign w:val="center"/>
                </w:tcPr>
                <w:p w14:paraId="02E583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纯水机</w:t>
                  </w:r>
                </w:p>
              </w:tc>
              <w:tc>
                <w:tcPr>
                  <w:tcW w:w="262" w:type="pct"/>
                  <w:shd w:val="clear" w:color="auto" w:fill="auto"/>
                  <w:vAlign w:val="center"/>
                </w:tcPr>
                <w:p w14:paraId="799824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cs="Times New Roman"/>
                      <w:b w:val="0"/>
                      <w:bCs w:val="0"/>
                      <w:color w:val="auto"/>
                      <w:sz w:val="18"/>
                      <w:szCs w:val="18"/>
                      <w:lang w:val="en-US" w:eastAsia="zh-CN"/>
                    </w:rPr>
                    <w:t>1</w:t>
                  </w:r>
                </w:p>
              </w:tc>
              <w:tc>
                <w:tcPr>
                  <w:tcW w:w="423" w:type="pct"/>
                  <w:shd w:val="clear" w:color="auto" w:fill="auto"/>
                  <w:vAlign w:val="center"/>
                </w:tcPr>
                <w:p w14:paraId="6C16859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80~90</w:t>
                  </w:r>
                </w:p>
              </w:tc>
              <w:tc>
                <w:tcPr>
                  <w:tcW w:w="523" w:type="pct"/>
                  <w:vMerge w:val="continue"/>
                  <w:shd w:val="clear" w:color="auto" w:fill="auto"/>
                  <w:vAlign w:val="center"/>
                </w:tcPr>
                <w:p w14:paraId="6E70A67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217" w:type="pct"/>
                  <w:shd w:val="clear" w:color="auto" w:fill="auto"/>
                  <w:vAlign w:val="center"/>
                </w:tcPr>
                <w:p w14:paraId="061CF45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257</w:t>
                  </w:r>
                </w:p>
              </w:tc>
              <w:tc>
                <w:tcPr>
                  <w:tcW w:w="228" w:type="pct"/>
                  <w:shd w:val="clear" w:color="auto" w:fill="auto"/>
                  <w:vAlign w:val="center"/>
                </w:tcPr>
                <w:p w14:paraId="6E67C1B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65</w:t>
                  </w:r>
                </w:p>
              </w:tc>
              <w:tc>
                <w:tcPr>
                  <w:tcW w:w="239" w:type="pct"/>
                  <w:shd w:val="clear" w:color="auto" w:fill="auto"/>
                  <w:vAlign w:val="center"/>
                </w:tcPr>
                <w:p w14:paraId="36C4F1B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rPr>
                    <w:t>.2</w:t>
                  </w:r>
                </w:p>
              </w:tc>
              <w:tc>
                <w:tcPr>
                  <w:tcW w:w="384" w:type="pct"/>
                  <w:shd w:val="clear" w:color="auto" w:fill="auto"/>
                  <w:vAlign w:val="center"/>
                </w:tcPr>
                <w:p w14:paraId="57914B0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cs="Times New Roman"/>
                      <w:color w:val="auto"/>
                      <w:sz w:val="18"/>
                      <w:szCs w:val="18"/>
                      <w:lang w:val="en-US" w:eastAsia="zh-CN"/>
                    </w:rPr>
                    <w:t>北</w:t>
                  </w:r>
                  <w:r>
                    <w:rPr>
                      <w:rFonts w:hint="eastAsia" w:cs="Times New Roman"/>
                      <w:color w:val="auto"/>
                      <w:sz w:val="18"/>
                      <w:szCs w:val="18"/>
                      <w:lang w:val="en-US" w:eastAsia="zh-CN"/>
                    </w:rPr>
                    <w:t>3</w:t>
                  </w:r>
                  <w:r>
                    <w:rPr>
                      <w:rFonts w:hint="default" w:ascii="Times New Roman" w:hAnsi="Times New Roman" w:cs="Times New Roman"/>
                      <w:color w:val="auto"/>
                      <w:sz w:val="18"/>
                      <w:szCs w:val="18"/>
                      <w:lang w:val="en-US" w:eastAsia="zh-CN"/>
                    </w:rPr>
                    <w:t>5</w:t>
                  </w:r>
                </w:p>
              </w:tc>
              <w:tc>
                <w:tcPr>
                  <w:tcW w:w="502" w:type="pct"/>
                  <w:shd w:val="clear" w:color="auto" w:fill="auto"/>
                  <w:vAlign w:val="center"/>
                </w:tcPr>
                <w:p w14:paraId="23C3E2E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61.5</w:t>
                  </w:r>
                </w:p>
              </w:tc>
              <w:tc>
                <w:tcPr>
                  <w:tcW w:w="372" w:type="pct"/>
                  <w:vMerge w:val="continue"/>
                  <w:shd w:val="clear" w:color="auto" w:fill="auto"/>
                  <w:vAlign w:val="center"/>
                </w:tcPr>
                <w:p w14:paraId="55EBDCF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p>
              </w:tc>
              <w:tc>
                <w:tcPr>
                  <w:tcW w:w="297" w:type="pct"/>
                  <w:shd w:val="clear" w:color="auto" w:fill="auto"/>
                  <w:vAlign w:val="center"/>
                </w:tcPr>
                <w:p w14:paraId="1E722FE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319" w:type="pct"/>
                  <w:shd w:val="clear" w:color="auto" w:fill="auto"/>
                  <w:vAlign w:val="center"/>
                </w:tcPr>
                <w:p w14:paraId="5D25959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36.5</w:t>
                  </w:r>
                </w:p>
              </w:tc>
              <w:tc>
                <w:tcPr>
                  <w:tcW w:w="331" w:type="pct"/>
                  <w:vMerge w:val="continue"/>
                  <w:shd w:val="clear" w:color="auto" w:fill="auto"/>
                  <w:vAlign w:val="center"/>
                </w:tcPr>
                <w:p w14:paraId="201E939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124DD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5" w:hRule="atLeast"/>
                <w:jc w:val="center"/>
              </w:trPr>
              <w:tc>
                <w:tcPr>
                  <w:tcW w:w="98" w:type="pct"/>
                  <w:shd w:val="clear" w:color="auto" w:fill="auto"/>
                  <w:vAlign w:val="center"/>
                </w:tcPr>
                <w:p w14:paraId="60F48CE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797" w:type="pct"/>
                  <w:shd w:val="clear" w:color="auto" w:fill="auto"/>
                  <w:vAlign w:val="center"/>
                </w:tcPr>
                <w:p w14:paraId="2514CB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磁力搅拌机</w:t>
                  </w:r>
                </w:p>
              </w:tc>
              <w:tc>
                <w:tcPr>
                  <w:tcW w:w="262" w:type="pct"/>
                  <w:shd w:val="clear" w:color="auto" w:fill="auto"/>
                  <w:vAlign w:val="center"/>
                </w:tcPr>
                <w:p w14:paraId="171D3D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24</w:t>
                  </w:r>
                </w:p>
              </w:tc>
              <w:tc>
                <w:tcPr>
                  <w:tcW w:w="423" w:type="pct"/>
                  <w:shd w:val="clear" w:color="auto" w:fill="auto"/>
                  <w:vAlign w:val="center"/>
                </w:tcPr>
                <w:p w14:paraId="5FF02E9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80~90</w:t>
                  </w:r>
                </w:p>
              </w:tc>
              <w:tc>
                <w:tcPr>
                  <w:tcW w:w="523" w:type="pct"/>
                  <w:vMerge w:val="continue"/>
                  <w:shd w:val="clear" w:color="auto" w:fill="auto"/>
                  <w:vAlign w:val="center"/>
                </w:tcPr>
                <w:p w14:paraId="25D15AE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217" w:type="pct"/>
                  <w:shd w:val="clear" w:color="auto" w:fill="auto"/>
                  <w:vAlign w:val="center"/>
                </w:tcPr>
                <w:p w14:paraId="4473977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60</w:t>
                  </w:r>
                </w:p>
              </w:tc>
              <w:tc>
                <w:tcPr>
                  <w:tcW w:w="228" w:type="pct"/>
                  <w:shd w:val="clear" w:color="auto" w:fill="auto"/>
                  <w:vAlign w:val="center"/>
                </w:tcPr>
                <w:p w14:paraId="441F58A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239" w:type="pct"/>
                  <w:shd w:val="clear" w:color="auto" w:fill="auto"/>
                  <w:vAlign w:val="center"/>
                </w:tcPr>
                <w:p w14:paraId="7D80A9C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1.</w:t>
                  </w:r>
                  <w:r>
                    <w:rPr>
                      <w:rFonts w:hint="default" w:ascii="Times New Roman" w:hAnsi="Times New Roman" w:cs="Times New Roman"/>
                      <w:color w:val="auto"/>
                      <w:sz w:val="18"/>
                      <w:szCs w:val="18"/>
                      <w:lang w:val="en-US" w:eastAsia="zh-CN"/>
                    </w:rPr>
                    <w:t>5</w:t>
                  </w:r>
                </w:p>
              </w:tc>
              <w:tc>
                <w:tcPr>
                  <w:tcW w:w="384" w:type="pct"/>
                  <w:shd w:val="clear" w:color="auto" w:fill="auto"/>
                  <w:vAlign w:val="center"/>
                </w:tcPr>
                <w:p w14:paraId="3A1810A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北</w:t>
                  </w:r>
                  <w:r>
                    <w:rPr>
                      <w:rFonts w:hint="eastAsia" w:cs="Times New Roman"/>
                      <w:color w:val="auto"/>
                      <w:sz w:val="18"/>
                      <w:szCs w:val="18"/>
                      <w:lang w:val="en-US" w:eastAsia="zh-CN"/>
                    </w:rPr>
                    <w:t>30</w:t>
                  </w:r>
                </w:p>
              </w:tc>
              <w:tc>
                <w:tcPr>
                  <w:tcW w:w="502" w:type="pct"/>
                  <w:shd w:val="clear" w:color="auto" w:fill="auto"/>
                  <w:vAlign w:val="center"/>
                </w:tcPr>
                <w:p w14:paraId="6331189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64.5</w:t>
                  </w:r>
                </w:p>
              </w:tc>
              <w:tc>
                <w:tcPr>
                  <w:tcW w:w="372" w:type="pct"/>
                  <w:vMerge w:val="continue"/>
                  <w:shd w:val="clear" w:color="auto" w:fill="auto"/>
                  <w:vAlign w:val="center"/>
                </w:tcPr>
                <w:p w14:paraId="2839BEF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p>
              </w:tc>
              <w:tc>
                <w:tcPr>
                  <w:tcW w:w="297" w:type="pct"/>
                  <w:shd w:val="clear" w:color="auto" w:fill="auto"/>
                  <w:vAlign w:val="center"/>
                </w:tcPr>
                <w:p w14:paraId="7ECCA02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319" w:type="pct"/>
                  <w:shd w:val="clear" w:color="auto" w:fill="auto"/>
                  <w:vAlign w:val="center"/>
                </w:tcPr>
                <w:p w14:paraId="4FD2A64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39.5</w:t>
                  </w:r>
                </w:p>
              </w:tc>
              <w:tc>
                <w:tcPr>
                  <w:tcW w:w="331" w:type="pct"/>
                  <w:vMerge w:val="continue"/>
                  <w:shd w:val="clear" w:color="auto" w:fill="auto"/>
                  <w:vAlign w:val="center"/>
                </w:tcPr>
                <w:p w14:paraId="06E67EA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2242A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5" w:hRule="atLeast"/>
                <w:jc w:val="center"/>
              </w:trPr>
              <w:tc>
                <w:tcPr>
                  <w:tcW w:w="98" w:type="pct"/>
                  <w:shd w:val="clear" w:color="auto" w:fill="auto"/>
                  <w:vAlign w:val="center"/>
                </w:tcPr>
                <w:p w14:paraId="34DED90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797" w:type="pct"/>
                  <w:shd w:val="clear" w:color="auto" w:fill="auto"/>
                  <w:vAlign w:val="center"/>
                </w:tcPr>
                <w:p w14:paraId="71948E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bidi="ar"/>
                    </w:rPr>
                    <w:t>蒸汽灭菌器</w:t>
                  </w:r>
                </w:p>
              </w:tc>
              <w:tc>
                <w:tcPr>
                  <w:tcW w:w="262" w:type="pct"/>
                  <w:shd w:val="clear" w:color="auto" w:fill="auto"/>
                  <w:vAlign w:val="center"/>
                </w:tcPr>
                <w:p w14:paraId="4650CC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18"/>
                      <w:szCs w:val="18"/>
                    </w:rPr>
                  </w:pPr>
                  <w:r>
                    <w:rPr>
                      <w:rFonts w:hint="eastAsia" w:cs="Times New Roman"/>
                      <w:b w:val="0"/>
                      <w:bCs w:val="0"/>
                      <w:color w:val="auto"/>
                      <w:sz w:val="18"/>
                      <w:szCs w:val="18"/>
                      <w:lang w:val="en-US" w:eastAsia="zh-CN"/>
                    </w:rPr>
                    <w:t>2</w:t>
                  </w:r>
                </w:p>
              </w:tc>
              <w:tc>
                <w:tcPr>
                  <w:tcW w:w="423" w:type="pct"/>
                  <w:shd w:val="clear" w:color="auto" w:fill="auto"/>
                  <w:vAlign w:val="center"/>
                </w:tcPr>
                <w:p w14:paraId="36B411C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80~90</w:t>
                  </w:r>
                </w:p>
              </w:tc>
              <w:tc>
                <w:tcPr>
                  <w:tcW w:w="523" w:type="pct"/>
                  <w:vMerge w:val="continue"/>
                  <w:shd w:val="clear" w:color="auto" w:fill="auto"/>
                  <w:vAlign w:val="center"/>
                </w:tcPr>
                <w:p w14:paraId="13482B6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217" w:type="pct"/>
                  <w:shd w:val="clear" w:color="auto" w:fill="auto"/>
                  <w:vAlign w:val="center"/>
                </w:tcPr>
                <w:p w14:paraId="7F6DC79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40</w:t>
                  </w:r>
                </w:p>
              </w:tc>
              <w:tc>
                <w:tcPr>
                  <w:tcW w:w="228" w:type="pct"/>
                  <w:shd w:val="clear" w:color="auto" w:fill="auto"/>
                  <w:vAlign w:val="center"/>
                </w:tcPr>
                <w:p w14:paraId="3C6FED2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239" w:type="pct"/>
                  <w:shd w:val="clear" w:color="auto" w:fill="auto"/>
                  <w:vAlign w:val="center"/>
                </w:tcPr>
                <w:p w14:paraId="7611071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r>
                    <w:rPr>
                      <w:rFonts w:hint="default" w:ascii="Times New Roman" w:hAnsi="Times New Roman" w:cs="Times New Roman"/>
                      <w:color w:val="auto"/>
                      <w:sz w:val="18"/>
                      <w:szCs w:val="18"/>
                      <w:lang w:val="en-US" w:eastAsia="zh-CN"/>
                    </w:rPr>
                    <w:t>5</w:t>
                  </w:r>
                </w:p>
              </w:tc>
              <w:tc>
                <w:tcPr>
                  <w:tcW w:w="384" w:type="pct"/>
                  <w:shd w:val="clear" w:color="auto" w:fill="auto"/>
                  <w:vAlign w:val="center"/>
                </w:tcPr>
                <w:p w14:paraId="4521833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北</w:t>
                  </w:r>
                  <w:r>
                    <w:rPr>
                      <w:rFonts w:hint="eastAsia" w:cs="Times New Roman"/>
                      <w:color w:val="auto"/>
                      <w:sz w:val="18"/>
                      <w:szCs w:val="18"/>
                      <w:lang w:val="en-US" w:eastAsia="zh-CN"/>
                    </w:rPr>
                    <w:t>30</w:t>
                  </w:r>
                </w:p>
              </w:tc>
              <w:tc>
                <w:tcPr>
                  <w:tcW w:w="502" w:type="pct"/>
                  <w:shd w:val="clear" w:color="auto" w:fill="auto"/>
                  <w:vAlign w:val="center"/>
                </w:tcPr>
                <w:p w14:paraId="20F02D7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61.5</w:t>
                  </w:r>
                </w:p>
              </w:tc>
              <w:tc>
                <w:tcPr>
                  <w:tcW w:w="372" w:type="pct"/>
                  <w:vMerge w:val="continue"/>
                  <w:shd w:val="clear" w:color="auto" w:fill="auto"/>
                  <w:vAlign w:val="center"/>
                </w:tcPr>
                <w:p w14:paraId="7C184D7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p>
              </w:tc>
              <w:tc>
                <w:tcPr>
                  <w:tcW w:w="297" w:type="pct"/>
                  <w:shd w:val="clear" w:color="auto" w:fill="auto"/>
                  <w:vAlign w:val="center"/>
                </w:tcPr>
                <w:p w14:paraId="7C08648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319" w:type="pct"/>
                  <w:shd w:val="clear" w:color="auto" w:fill="auto"/>
                  <w:vAlign w:val="center"/>
                </w:tcPr>
                <w:p w14:paraId="54A6343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36.5</w:t>
                  </w:r>
                </w:p>
              </w:tc>
              <w:tc>
                <w:tcPr>
                  <w:tcW w:w="331" w:type="pct"/>
                  <w:vMerge w:val="continue"/>
                  <w:shd w:val="clear" w:color="auto" w:fill="auto"/>
                  <w:vAlign w:val="center"/>
                </w:tcPr>
                <w:p w14:paraId="1D4C0FB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0E685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98" w:type="pct"/>
                  <w:shd w:val="clear" w:color="auto" w:fill="auto"/>
                  <w:vAlign w:val="center"/>
                </w:tcPr>
                <w:p w14:paraId="5DF5BEB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797" w:type="pct"/>
                  <w:shd w:val="clear" w:color="auto" w:fill="auto"/>
                  <w:vAlign w:val="center"/>
                </w:tcPr>
                <w:p w14:paraId="5A744A9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生物安全柜</w:t>
                  </w:r>
                </w:p>
              </w:tc>
              <w:tc>
                <w:tcPr>
                  <w:tcW w:w="262" w:type="pct"/>
                  <w:shd w:val="clear" w:color="auto" w:fill="auto"/>
                  <w:vAlign w:val="center"/>
                </w:tcPr>
                <w:p w14:paraId="7F4F6D3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w:t>
                  </w:r>
                </w:p>
              </w:tc>
              <w:tc>
                <w:tcPr>
                  <w:tcW w:w="423" w:type="pct"/>
                  <w:shd w:val="clear" w:color="auto" w:fill="auto"/>
                  <w:vAlign w:val="center"/>
                </w:tcPr>
                <w:p w14:paraId="04C45C5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7</w:t>
                  </w: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rPr>
                    <w:t>~</w:t>
                  </w:r>
                  <w:r>
                    <w:rPr>
                      <w:rFonts w:hint="default" w:ascii="Times New Roman" w:hAnsi="Times New Roman" w:cs="Times New Roman"/>
                      <w:color w:val="auto"/>
                      <w:sz w:val="18"/>
                      <w:szCs w:val="18"/>
                      <w:lang w:val="en-US" w:eastAsia="zh-CN"/>
                    </w:rPr>
                    <w:t>85</w:t>
                  </w:r>
                </w:p>
              </w:tc>
              <w:tc>
                <w:tcPr>
                  <w:tcW w:w="523" w:type="pct"/>
                  <w:vMerge w:val="continue"/>
                  <w:shd w:val="clear" w:color="auto" w:fill="auto"/>
                  <w:vAlign w:val="center"/>
                </w:tcPr>
                <w:p w14:paraId="6CA260F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217" w:type="pct"/>
                  <w:shd w:val="clear" w:color="auto" w:fill="auto"/>
                  <w:vAlign w:val="center"/>
                </w:tcPr>
                <w:p w14:paraId="280524A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20</w:t>
                  </w:r>
                </w:p>
              </w:tc>
              <w:tc>
                <w:tcPr>
                  <w:tcW w:w="228" w:type="pct"/>
                  <w:shd w:val="clear" w:color="auto" w:fill="auto"/>
                  <w:vAlign w:val="center"/>
                </w:tcPr>
                <w:p w14:paraId="28441E1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60</w:t>
                  </w:r>
                </w:p>
              </w:tc>
              <w:tc>
                <w:tcPr>
                  <w:tcW w:w="239" w:type="pct"/>
                  <w:shd w:val="clear" w:color="auto" w:fill="auto"/>
                  <w:vAlign w:val="center"/>
                </w:tcPr>
                <w:p w14:paraId="3A0D845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r>
                    <w:rPr>
                      <w:rFonts w:hint="default" w:ascii="Times New Roman" w:hAnsi="Times New Roman" w:cs="Times New Roman"/>
                      <w:color w:val="auto"/>
                      <w:sz w:val="18"/>
                      <w:szCs w:val="18"/>
                      <w:lang w:val="en-US" w:eastAsia="zh-CN"/>
                    </w:rPr>
                    <w:t>5</w:t>
                  </w:r>
                </w:p>
              </w:tc>
              <w:tc>
                <w:tcPr>
                  <w:tcW w:w="384" w:type="pct"/>
                  <w:shd w:val="clear" w:color="auto" w:fill="auto"/>
                  <w:vAlign w:val="center"/>
                </w:tcPr>
                <w:p w14:paraId="7772367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北</w:t>
                  </w:r>
                  <w:r>
                    <w:rPr>
                      <w:rFonts w:hint="eastAsia" w:cs="Times New Roman"/>
                      <w:color w:val="auto"/>
                      <w:sz w:val="18"/>
                      <w:szCs w:val="18"/>
                      <w:lang w:val="en-US" w:eastAsia="zh-CN"/>
                    </w:rPr>
                    <w:t>25</w:t>
                  </w:r>
                </w:p>
              </w:tc>
              <w:tc>
                <w:tcPr>
                  <w:tcW w:w="502" w:type="pct"/>
                  <w:shd w:val="clear" w:color="auto" w:fill="auto"/>
                  <w:vAlign w:val="center"/>
                </w:tcPr>
                <w:p w14:paraId="4B5BC70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60.0</w:t>
                  </w:r>
                </w:p>
              </w:tc>
              <w:tc>
                <w:tcPr>
                  <w:tcW w:w="372" w:type="pct"/>
                  <w:vMerge w:val="continue"/>
                  <w:shd w:val="clear" w:color="auto" w:fill="auto"/>
                  <w:vAlign w:val="center"/>
                </w:tcPr>
                <w:p w14:paraId="585FB0F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p>
              </w:tc>
              <w:tc>
                <w:tcPr>
                  <w:tcW w:w="297" w:type="pct"/>
                  <w:shd w:val="clear" w:color="auto" w:fill="auto"/>
                  <w:vAlign w:val="center"/>
                </w:tcPr>
                <w:p w14:paraId="2AC18A0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25</w:t>
                  </w:r>
                </w:p>
              </w:tc>
              <w:tc>
                <w:tcPr>
                  <w:tcW w:w="319" w:type="pct"/>
                  <w:shd w:val="clear" w:color="auto" w:fill="auto"/>
                  <w:vAlign w:val="center"/>
                </w:tcPr>
                <w:p w14:paraId="157525F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35.0</w:t>
                  </w:r>
                </w:p>
              </w:tc>
              <w:tc>
                <w:tcPr>
                  <w:tcW w:w="331" w:type="pct"/>
                  <w:vMerge w:val="continue"/>
                  <w:shd w:val="clear" w:color="auto" w:fill="auto"/>
                  <w:vAlign w:val="center"/>
                </w:tcPr>
                <w:p w14:paraId="270EF36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bl>
          <w:p w14:paraId="449407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auto"/>
              <w:rPr>
                <w:rFonts w:hint="eastAsia" w:eastAsiaTheme="minorEastAsia"/>
                <w:b/>
                <w:bCs/>
                <w:color w:val="auto"/>
                <w:sz w:val="18"/>
                <w:szCs w:val="18"/>
                <w:lang w:val="en-US" w:eastAsia="zh-CN"/>
              </w:rPr>
            </w:pPr>
            <w:r>
              <w:rPr>
                <w:rFonts w:hint="eastAsia" w:eastAsiaTheme="minorEastAsia"/>
                <w:color w:val="auto"/>
                <w:sz w:val="18"/>
                <w:szCs w:val="18"/>
              </w:rPr>
              <w:t>注：以</w:t>
            </w:r>
            <w:r>
              <w:rPr>
                <w:rFonts w:hint="eastAsia" w:eastAsiaTheme="minorEastAsia"/>
                <w:color w:val="auto"/>
                <w:sz w:val="18"/>
                <w:szCs w:val="18"/>
                <w:lang w:val="en-US" w:eastAsia="zh-CN"/>
              </w:rPr>
              <w:t>厂区</w:t>
            </w:r>
            <w:r>
              <w:rPr>
                <w:rFonts w:hint="eastAsia" w:eastAsiaTheme="minorEastAsia"/>
                <w:color w:val="auto"/>
                <w:sz w:val="18"/>
                <w:szCs w:val="18"/>
              </w:rPr>
              <w:t>西南角为（0，0，0）点</w:t>
            </w:r>
            <w:r>
              <w:rPr>
                <w:rFonts w:hint="eastAsia" w:eastAsiaTheme="minorEastAsia"/>
                <w:color w:val="auto"/>
                <w:sz w:val="18"/>
                <w:szCs w:val="18"/>
                <w:lang w:eastAsia="zh-CN"/>
              </w:rPr>
              <w:t>。</w:t>
            </w:r>
          </w:p>
          <w:p w14:paraId="09B68E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eastAsiaTheme="minorEastAsia"/>
                <w:color w:val="auto"/>
              </w:rPr>
            </w:pPr>
            <w:r>
              <w:rPr>
                <w:rFonts w:hint="eastAsia" w:eastAsiaTheme="minorEastAsia"/>
                <w:b/>
                <w:snapToGrid w:val="0"/>
                <w:color w:val="auto"/>
                <w:kern w:val="0"/>
                <w:sz w:val="24"/>
              </w:rPr>
              <w:t xml:space="preserve">表4.3-2  </w:t>
            </w:r>
            <w:r>
              <w:rPr>
                <w:rFonts w:hint="eastAsia" w:eastAsiaTheme="minorEastAsia"/>
                <w:b/>
                <w:snapToGrid w:val="0"/>
                <w:color w:val="auto"/>
                <w:kern w:val="0"/>
                <w:sz w:val="24"/>
                <w:lang w:val="en-US" w:eastAsia="zh-CN"/>
              </w:rPr>
              <w:t>建设项目</w:t>
            </w:r>
            <w:r>
              <w:rPr>
                <w:rFonts w:hint="eastAsia" w:eastAsiaTheme="minorEastAsia"/>
                <w:b/>
                <w:snapToGrid w:val="0"/>
                <w:color w:val="auto"/>
                <w:kern w:val="0"/>
                <w:sz w:val="24"/>
              </w:rPr>
              <w:t>噪声源强调查清单（室外声源）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19"/>
              <w:gridCol w:w="1967"/>
              <w:gridCol w:w="1130"/>
              <w:gridCol w:w="1222"/>
              <w:gridCol w:w="877"/>
              <w:gridCol w:w="926"/>
              <w:gridCol w:w="2002"/>
              <w:gridCol w:w="1542"/>
              <w:gridCol w:w="1846"/>
              <w:gridCol w:w="1314"/>
            </w:tblGrid>
            <w:tr w14:paraId="58A96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0" w:type="pct"/>
                  <w:vMerge w:val="restart"/>
                  <w:vAlign w:val="center"/>
                </w:tcPr>
                <w:p w14:paraId="18DDB3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序号</w:t>
                  </w:r>
                </w:p>
              </w:tc>
              <w:tc>
                <w:tcPr>
                  <w:tcW w:w="731" w:type="pct"/>
                  <w:vMerge w:val="restart"/>
                  <w:vAlign w:val="center"/>
                </w:tcPr>
                <w:p w14:paraId="4CA4E9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声源名称</w:t>
                  </w:r>
                </w:p>
              </w:tc>
              <w:tc>
                <w:tcPr>
                  <w:tcW w:w="420" w:type="pct"/>
                  <w:vMerge w:val="restart"/>
                  <w:vAlign w:val="center"/>
                </w:tcPr>
                <w:p w14:paraId="6A3315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lang w:eastAsia="zh-CN"/>
                    </w:rPr>
                  </w:pPr>
                  <w:r>
                    <w:rPr>
                      <w:rFonts w:hint="eastAsia" w:eastAsiaTheme="minorEastAsia"/>
                      <w:b/>
                      <w:color w:val="auto"/>
                      <w:sz w:val="18"/>
                      <w:szCs w:val="18"/>
                      <w:lang w:val="en-US" w:eastAsia="zh-CN"/>
                    </w:rPr>
                    <w:t>数量（台/套）</w:t>
                  </w:r>
                </w:p>
              </w:tc>
              <w:tc>
                <w:tcPr>
                  <w:tcW w:w="1124" w:type="pct"/>
                  <w:gridSpan w:val="3"/>
                  <w:vAlign w:val="center"/>
                </w:tcPr>
                <w:p w14:paraId="2A9F45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lang w:val="en-US" w:eastAsia="zh-CN"/>
                    </w:rPr>
                  </w:pPr>
                  <w:r>
                    <w:rPr>
                      <w:rFonts w:hint="eastAsia" w:eastAsiaTheme="minorEastAsia"/>
                      <w:b/>
                      <w:color w:val="auto"/>
                      <w:sz w:val="18"/>
                      <w:szCs w:val="18"/>
                    </w:rPr>
                    <w:t>空间相对位置/m</w:t>
                  </w:r>
                  <w:r>
                    <w:rPr>
                      <w:rFonts w:hint="eastAsia" w:eastAsiaTheme="minorEastAsia"/>
                      <w:b/>
                      <w:color w:val="auto"/>
                      <w:sz w:val="18"/>
                      <w:szCs w:val="18"/>
                      <w:lang w:val="en-US" w:eastAsia="zh-CN"/>
                    </w:rPr>
                    <w:t>*</w:t>
                  </w:r>
                </w:p>
              </w:tc>
              <w:tc>
                <w:tcPr>
                  <w:tcW w:w="1317" w:type="pct"/>
                  <w:gridSpan w:val="2"/>
                  <w:vAlign w:val="center"/>
                </w:tcPr>
                <w:p w14:paraId="22443E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声</w:t>
                  </w:r>
                  <w:r>
                    <w:rPr>
                      <w:rFonts w:hint="eastAsia" w:eastAsiaTheme="minorEastAsia"/>
                      <w:b/>
                      <w:color w:val="auto"/>
                      <w:sz w:val="18"/>
                      <w:szCs w:val="18"/>
                      <w:lang w:eastAsia="zh-CN"/>
                    </w:rPr>
                    <w:t>源</w:t>
                  </w:r>
                  <w:r>
                    <w:rPr>
                      <w:rFonts w:hint="eastAsia" w:eastAsiaTheme="minorEastAsia"/>
                      <w:b/>
                      <w:color w:val="auto"/>
                      <w:sz w:val="18"/>
                      <w:szCs w:val="18"/>
                    </w:rPr>
                    <w:t>强</w:t>
                  </w:r>
                </w:p>
              </w:tc>
              <w:tc>
                <w:tcPr>
                  <w:tcW w:w="686" w:type="pct"/>
                  <w:vMerge w:val="restart"/>
                  <w:vAlign w:val="center"/>
                </w:tcPr>
                <w:p w14:paraId="14DF67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声源控制措施</w:t>
                  </w:r>
                </w:p>
              </w:tc>
              <w:tc>
                <w:tcPr>
                  <w:tcW w:w="488" w:type="pct"/>
                  <w:vMerge w:val="restart"/>
                  <w:vAlign w:val="center"/>
                </w:tcPr>
                <w:p w14:paraId="18478F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运行时段</w:t>
                  </w:r>
                </w:p>
              </w:tc>
            </w:tr>
            <w:tr w14:paraId="25CDA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30" w:type="pct"/>
                  <w:vMerge w:val="continue"/>
                  <w:vAlign w:val="center"/>
                </w:tcPr>
                <w:p w14:paraId="4A9ED2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731" w:type="pct"/>
                  <w:vMerge w:val="continue"/>
                  <w:vAlign w:val="center"/>
                </w:tcPr>
                <w:p w14:paraId="78129F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420" w:type="pct"/>
                  <w:vMerge w:val="continue"/>
                  <w:vAlign w:val="center"/>
                </w:tcPr>
                <w:p w14:paraId="38A77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454" w:type="pct"/>
                  <w:vAlign w:val="center"/>
                </w:tcPr>
                <w:p w14:paraId="25003A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X</w:t>
                  </w:r>
                </w:p>
              </w:tc>
              <w:tc>
                <w:tcPr>
                  <w:tcW w:w="326" w:type="pct"/>
                  <w:vAlign w:val="center"/>
                </w:tcPr>
                <w:p w14:paraId="571188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Y</w:t>
                  </w:r>
                </w:p>
              </w:tc>
              <w:tc>
                <w:tcPr>
                  <w:tcW w:w="344" w:type="pct"/>
                  <w:vAlign w:val="center"/>
                </w:tcPr>
                <w:p w14:paraId="2CF3A2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Z</w:t>
                  </w:r>
                </w:p>
              </w:tc>
              <w:tc>
                <w:tcPr>
                  <w:tcW w:w="744" w:type="pct"/>
                  <w:vAlign w:val="center"/>
                </w:tcPr>
                <w:p w14:paraId="2F10E4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声压级/dB（A）</w:t>
                  </w:r>
                </w:p>
              </w:tc>
              <w:tc>
                <w:tcPr>
                  <w:tcW w:w="573" w:type="pct"/>
                  <w:vAlign w:val="center"/>
                </w:tcPr>
                <w:p w14:paraId="79BD42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距声源距离/m</w:t>
                  </w:r>
                </w:p>
              </w:tc>
              <w:tc>
                <w:tcPr>
                  <w:tcW w:w="686" w:type="pct"/>
                  <w:vMerge w:val="continue"/>
                  <w:vAlign w:val="center"/>
                </w:tcPr>
                <w:p w14:paraId="4CE574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488" w:type="pct"/>
                  <w:vMerge w:val="continue"/>
                  <w:vAlign w:val="center"/>
                </w:tcPr>
                <w:p w14:paraId="448EFC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r>
            <w:tr w14:paraId="1FB4D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12" w:hRule="atLeast"/>
                <w:jc w:val="center"/>
              </w:trPr>
              <w:tc>
                <w:tcPr>
                  <w:tcW w:w="230" w:type="pct"/>
                  <w:vAlign w:val="center"/>
                </w:tcPr>
                <w:p w14:paraId="44EA27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w:t>
                  </w:r>
                </w:p>
              </w:tc>
              <w:tc>
                <w:tcPr>
                  <w:tcW w:w="731" w:type="pct"/>
                  <w:vAlign w:val="center"/>
                </w:tcPr>
                <w:p w14:paraId="7FB3C4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风机（DA00</w:t>
                  </w:r>
                  <w:r>
                    <w:rPr>
                      <w:rFonts w:hint="eastAsia" w:eastAsiaTheme="minorEastAsia"/>
                      <w:color w:val="auto"/>
                      <w:sz w:val="18"/>
                      <w:szCs w:val="18"/>
                      <w:lang w:val="en-US" w:eastAsia="zh-CN"/>
                    </w:rPr>
                    <w:t>1</w:t>
                  </w:r>
                  <w:r>
                    <w:rPr>
                      <w:rFonts w:hint="eastAsia" w:eastAsiaTheme="minorEastAsia"/>
                      <w:color w:val="auto"/>
                      <w:sz w:val="18"/>
                      <w:szCs w:val="18"/>
                    </w:rPr>
                    <w:t>）</w:t>
                  </w:r>
                </w:p>
              </w:tc>
              <w:tc>
                <w:tcPr>
                  <w:tcW w:w="420" w:type="pct"/>
                  <w:vAlign w:val="center"/>
                </w:tcPr>
                <w:p w14:paraId="4117D1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1</w:t>
                  </w:r>
                </w:p>
              </w:tc>
              <w:tc>
                <w:tcPr>
                  <w:tcW w:w="454" w:type="pct"/>
                  <w:vAlign w:val="center"/>
                </w:tcPr>
                <w:p w14:paraId="2D81F1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220</w:t>
                  </w:r>
                </w:p>
              </w:tc>
              <w:tc>
                <w:tcPr>
                  <w:tcW w:w="326" w:type="pct"/>
                  <w:vAlign w:val="center"/>
                </w:tcPr>
                <w:p w14:paraId="06A795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25</w:t>
                  </w:r>
                </w:p>
              </w:tc>
              <w:tc>
                <w:tcPr>
                  <w:tcW w:w="344" w:type="pct"/>
                  <w:vAlign w:val="center"/>
                </w:tcPr>
                <w:p w14:paraId="33D23A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val="en-US" w:eastAsia="zh-CN"/>
                    </w:rPr>
                  </w:pPr>
                  <w:r>
                    <w:rPr>
                      <w:rFonts w:hint="eastAsia" w:eastAsiaTheme="minorEastAsia"/>
                      <w:color w:val="auto"/>
                      <w:sz w:val="18"/>
                      <w:szCs w:val="18"/>
                      <w:lang w:val="en-US" w:eastAsia="zh-CN"/>
                    </w:rPr>
                    <w:t>1</w:t>
                  </w:r>
                </w:p>
              </w:tc>
              <w:tc>
                <w:tcPr>
                  <w:tcW w:w="744" w:type="pct"/>
                  <w:vAlign w:val="center"/>
                </w:tcPr>
                <w:p w14:paraId="559F73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80</w:t>
                  </w:r>
                  <w:r>
                    <w:rPr>
                      <w:rFonts w:hint="eastAsia" w:eastAsiaTheme="minorEastAsia"/>
                      <w:color w:val="auto"/>
                      <w:sz w:val="18"/>
                      <w:szCs w:val="18"/>
                    </w:rPr>
                    <w:t>~</w:t>
                  </w:r>
                  <w:r>
                    <w:rPr>
                      <w:rFonts w:hint="eastAsia" w:eastAsiaTheme="minorEastAsia"/>
                      <w:color w:val="auto"/>
                      <w:sz w:val="18"/>
                      <w:szCs w:val="18"/>
                      <w:lang w:val="en-US" w:eastAsia="zh-CN"/>
                    </w:rPr>
                    <w:t>90</w:t>
                  </w:r>
                </w:p>
              </w:tc>
              <w:tc>
                <w:tcPr>
                  <w:tcW w:w="573" w:type="pct"/>
                  <w:vAlign w:val="center"/>
                </w:tcPr>
                <w:p w14:paraId="664543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w:t>
                  </w:r>
                </w:p>
              </w:tc>
              <w:tc>
                <w:tcPr>
                  <w:tcW w:w="686" w:type="pct"/>
                  <w:vMerge w:val="restart"/>
                  <w:vAlign w:val="center"/>
                </w:tcPr>
                <w:p w14:paraId="0CF029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基础减振，柔性连接，消声器</w:t>
                  </w:r>
                </w:p>
              </w:tc>
              <w:tc>
                <w:tcPr>
                  <w:tcW w:w="488" w:type="pct"/>
                  <w:vMerge w:val="restart"/>
                  <w:vAlign w:val="center"/>
                </w:tcPr>
                <w:p w14:paraId="28006E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cs="Times New Roman"/>
                      <w:color w:val="auto"/>
                      <w:sz w:val="18"/>
                      <w:szCs w:val="18"/>
                      <w:lang w:val="en-US" w:eastAsia="zh-CN"/>
                    </w:rPr>
                    <w:t>9</w:t>
                  </w:r>
                  <w:r>
                    <w:rPr>
                      <w:rFonts w:hint="default" w:ascii="Times New Roman" w:hAnsi="Times New Roman" w:cs="Times New Roman"/>
                      <w:color w:val="auto"/>
                      <w:sz w:val="18"/>
                      <w:szCs w:val="18"/>
                      <w:lang w:val="en-US" w:eastAsia="zh-CN"/>
                    </w:rPr>
                    <w:t>:00-</w:t>
                  </w:r>
                  <w:r>
                    <w:rPr>
                      <w:rFonts w:hint="eastAsia" w:cs="Times New Roman"/>
                      <w:color w:val="auto"/>
                      <w:sz w:val="18"/>
                      <w:szCs w:val="18"/>
                      <w:lang w:val="en-US" w:eastAsia="zh-CN"/>
                    </w:rPr>
                    <w:t>17</w:t>
                  </w:r>
                  <w:r>
                    <w:rPr>
                      <w:rFonts w:hint="default" w:ascii="Times New Roman" w:hAnsi="Times New Roman" w:cs="Times New Roman"/>
                      <w:color w:val="auto"/>
                      <w:sz w:val="18"/>
                      <w:szCs w:val="18"/>
                      <w:lang w:val="en-US" w:eastAsia="zh-CN"/>
                    </w:rPr>
                    <w:t>:00</w:t>
                  </w:r>
                </w:p>
              </w:tc>
            </w:tr>
            <w:tr w14:paraId="383CA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230" w:type="pct"/>
                  <w:vAlign w:val="center"/>
                </w:tcPr>
                <w:p w14:paraId="67F804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2</w:t>
                  </w:r>
                </w:p>
              </w:tc>
              <w:tc>
                <w:tcPr>
                  <w:tcW w:w="731" w:type="pct"/>
                  <w:vAlign w:val="center"/>
                </w:tcPr>
                <w:p w14:paraId="1B3A97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Bidi"/>
                      <w:color w:val="auto"/>
                      <w:kern w:val="2"/>
                      <w:sz w:val="18"/>
                      <w:szCs w:val="18"/>
                      <w:lang w:val="en-US" w:eastAsia="zh-CN" w:bidi="ar-SA"/>
                    </w:rPr>
                  </w:pPr>
                  <w:r>
                    <w:rPr>
                      <w:rFonts w:hint="eastAsia" w:eastAsiaTheme="minorEastAsia"/>
                      <w:color w:val="auto"/>
                      <w:sz w:val="18"/>
                      <w:szCs w:val="18"/>
                    </w:rPr>
                    <w:t>风机（</w:t>
                  </w:r>
                  <w:r>
                    <w:rPr>
                      <w:rFonts w:hint="eastAsia" w:eastAsiaTheme="minorEastAsia"/>
                      <w:color w:val="auto"/>
                      <w:sz w:val="18"/>
                      <w:szCs w:val="18"/>
                      <w:lang w:eastAsia="zh-CN"/>
                    </w:rPr>
                    <w:t>实验室</w:t>
                  </w:r>
                  <w:r>
                    <w:rPr>
                      <w:rFonts w:hint="eastAsia" w:eastAsiaTheme="minorEastAsia"/>
                      <w:color w:val="auto"/>
                      <w:sz w:val="18"/>
                      <w:szCs w:val="18"/>
                    </w:rPr>
                    <w:t>）</w:t>
                  </w:r>
                </w:p>
              </w:tc>
              <w:tc>
                <w:tcPr>
                  <w:tcW w:w="420" w:type="pct"/>
                  <w:vAlign w:val="center"/>
                </w:tcPr>
                <w:p w14:paraId="64BEEC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1</w:t>
                  </w:r>
                </w:p>
              </w:tc>
              <w:tc>
                <w:tcPr>
                  <w:tcW w:w="454" w:type="pct"/>
                  <w:vAlign w:val="center"/>
                </w:tcPr>
                <w:p w14:paraId="54F6E7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255</w:t>
                  </w:r>
                </w:p>
              </w:tc>
              <w:tc>
                <w:tcPr>
                  <w:tcW w:w="326" w:type="pct"/>
                  <w:vAlign w:val="center"/>
                </w:tcPr>
                <w:p w14:paraId="0C9883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80</w:t>
                  </w:r>
                </w:p>
              </w:tc>
              <w:tc>
                <w:tcPr>
                  <w:tcW w:w="344" w:type="pct"/>
                  <w:vAlign w:val="center"/>
                </w:tcPr>
                <w:p w14:paraId="3E0D01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val="en-US" w:eastAsia="zh-CN"/>
                    </w:rPr>
                  </w:pPr>
                  <w:r>
                    <w:rPr>
                      <w:rFonts w:hint="eastAsia" w:eastAsiaTheme="minorEastAsia"/>
                      <w:color w:val="auto"/>
                      <w:sz w:val="18"/>
                      <w:szCs w:val="18"/>
                      <w:lang w:val="en-US" w:eastAsia="zh-CN"/>
                    </w:rPr>
                    <w:t>1</w:t>
                  </w:r>
                </w:p>
              </w:tc>
              <w:tc>
                <w:tcPr>
                  <w:tcW w:w="744" w:type="pct"/>
                  <w:vAlign w:val="center"/>
                </w:tcPr>
                <w:p w14:paraId="4C7DF5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80</w:t>
                  </w:r>
                  <w:r>
                    <w:rPr>
                      <w:rFonts w:hint="eastAsia" w:eastAsiaTheme="minorEastAsia"/>
                      <w:color w:val="auto"/>
                      <w:sz w:val="18"/>
                      <w:szCs w:val="18"/>
                    </w:rPr>
                    <w:t>~</w:t>
                  </w:r>
                  <w:r>
                    <w:rPr>
                      <w:rFonts w:hint="eastAsia" w:eastAsiaTheme="minorEastAsia"/>
                      <w:color w:val="auto"/>
                      <w:sz w:val="18"/>
                      <w:szCs w:val="18"/>
                      <w:lang w:val="en-US" w:eastAsia="zh-CN"/>
                    </w:rPr>
                    <w:t>90</w:t>
                  </w:r>
                </w:p>
              </w:tc>
              <w:tc>
                <w:tcPr>
                  <w:tcW w:w="573" w:type="pct"/>
                  <w:vAlign w:val="center"/>
                </w:tcPr>
                <w:p w14:paraId="3676B6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w:t>
                  </w:r>
                </w:p>
              </w:tc>
              <w:tc>
                <w:tcPr>
                  <w:tcW w:w="686" w:type="pct"/>
                  <w:vMerge w:val="continue"/>
                  <w:vAlign w:val="center"/>
                </w:tcPr>
                <w:p w14:paraId="131203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488" w:type="pct"/>
                  <w:vMerge w:val="continue"/>
                  <w:vAlign w:val="center"/>
                </w:tcPr>
                <w:p w14:paraId="6ECE94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r>
          </w:tbl>
          <w:p w14:paraId="3FD3B195">
            <w:pPr>
              <w:keepNext w:val="0"/>
              <w:keepLines w:val="0"/>
              <w:widowControl/>
              <w:suppressLineNumbers w:val="0"/>
              <w:adjustRightInd w:val="0"/>
              <w:snapToGrid w:val="0"/>
              <w:spacing w:before="0" w:beforeAutospacing="0" w:after="0" w:afterAutospacing="0" w:line="360" w:lineRule="auto"/>
              <w:ind w:left="0" w:right="0"/>
              <w:jc w:val="left"/>
              <w:rPr>
                <w:rFonts w:hint="eastAsia" w:eastAsiaTheme="minorEastAsia"/>
                <w:color w:val="auto"/>
                <w:sz w:val="21"/>
                <w:szCs w:val="21"/>
              </w:rPr>
            </w:pPr>
            <w:r>
              <w:rPr>
                <w:rFonts w:hint="eastAsia" w:eastAsiaTheme="minorEastAsia"/>
                <w:color w:val="auto"/>
                <w:sz w:val="21"/>
                <w:szCs w:val="21"/>
              </w:rPr>
              <w:t>注：以</w:t>
            </w:r>
            <w:r>
              <w:rPr>
                <w:rFonts w:hint="eastAsia" w:eastAsiaTheme="minorEastAsia"/>
                <w:color w:val="auto"/>
                <w:sz w:val="21"/>
                <w:szCs w:val="21"/>
                <w:lang w:val="en-US" w:eastAsia="zh-CN"/>
              </w:rPr>
              <w:t>项目用地红线</w:t>
            </w:r>
            <w:r>
              <w:rPr>
                <w:rFonts w:hint="eastAsia" w:eastAsiaTheme="minorEastAsia"/>
                <w:color w:val="auto"/>
                <w:sz w:val="21"/>
                <w:szCs w:val="21"/>
              </w:rPr>
              <w:t>西南角为（0，0，0）点。</w:t>
            </w:r>
          </w:p>
          <w:p w14:paraId="32B28496">
            <w:pPr>
              <w:keepNext w:val="0"/>
              <w:keepLines w:val="0"/>
              <w:widowControl/>
              <w:numPr>
                <w:ilvl w:val="1"/>
                <w:numId w:val="11"/>
              </w:numPr>
              <w:suppressLineNumbers w:val="0"/>
              <w:adjustRightInd w:val="0"/>
              <w:snapToGrid w:val="0"/>
              <w:spacing w:before="0" w:beforeAutospacing="0" w:after="0" w:afterAutospacing="0" w:line="360" w:lineRule="auto"/>
              <w:ind w:left="0" w:leftChars="0" w:right="0" w:firstLine="482" w:firstLineChars="200"/>
              <w:jc w:val="left"/>
              <w:rPr>
                <w:rFonts w:hint="eastAsia"/>
                <w:b/>
                <w:bCs/>
                <w:color w:val="auto"/>
              </w:rPr>
            </w:pPr>
            <w:r>
              <w:rPr>
                <w:rFonts w:hint="eastAsia"/>
                <w:b/>
                <w:bCs/>
                <w:color w:val="auto"/>
              </w:rPr>
              <w:t>噪声预测</w:t>
            </w:r>
          </w:p>
          <w:p w14:paraId="2A2B692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eastAsia"/>
                <w:color w:val="auto"/>
              </w:rPr>
            </w:pPr>
            <w:r>
              <w:rPr>
                <w:rFonts w:hint="eastAsia"/>
                <w:color w:val="auto"/>
              </w:rPr>
              <w:t>根据项目建设内容及《环境影响评价技术导则 声环境》（HJ2.4-2021）的要求，项目采用的</w:t>
            </w:r>
            <w:r>
              <w:rPr>
                <w:rFonts w:hint="eastAsia"/>
                <w:color w:val="auto"/>
                <w:lang w:eastAsia="zh-CN"/>
              </w:rPr>
              <w:t>预测</w:t>
            </w:r>
            <w:r>
              <w:rPr>
                <w:rFonts w:hint="eastAsia"/>
                <w:color w:val="auto"/>
              </w:rPr>
              <w:t>模型为《环境影响评价技术导则声环境》（HJ2.4-2021）附录A（规范性附录）户外声传播的衰减和附录B（规范性附录）中“B.1工业噪声预测计算模型”。</w:t>
            </w:r>
            <w:r>
              <w:rPr>
                <w:rFonts w:hint="eastAsia"/>
                <w:color w:val="auto"/>
                <w:lang w:val="en-US" w:eastAsia="zh-CN"/>
              </w:rPr>
              <w:t>本项目夜间不生产</w:t>
            </w:r>
            <w:r>
              <w:rPr>
                <w:rFonts w:hint="eastAsia"/>
                <w:color w:val="auto"/>
              </w:rPr>
              <w:t>，厂界</w:t>
            </w:r>
            <w:r>
              <w:rPr>
                <w:rFonts w:hint="eastAsia"/>
                <w:color w:val="auto"/>
                <w:lang w:eastAsia="zh-CN"/>
              </w:rPr>
              <w:t>及评价范围内敏感点</w:t>
            </w:r>
            <w:r>
              <w:rPr>
                <w:rFonts w:hint="eastAsia"/>
                <w:color w:val="auto"/>
              </w:rPr>
              <w:t>噪声预测结果见表4.3-3。</w:t>
            </w:r>
          </w:p>
          <w:p w14:paraId="5C42A8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kern w:val="0"/>
                <w:sz w:val="24"/>
              </w:rPr>
            </w:pPr>
            <w:bookmarkStart w:id="24" w:name="_Hlk364239474"/>
            <w:bookmarkStart w:id="25" w:name="OLE_LINK9"/>
            <w:r>
              <w:rPr>
                <w:rFonts w:hint="eastAsia" w:eastAsiaTheme="minorEastAsia"/>
                <w:b/>
                <w:color w:val="auto"/>
                <w:kern w:val="0"/>
                <w:sz w:val="24"/>
              </w:rPr>
              <w:t>表4.3-3  厂界</w:t>
            </w:r>
            <w:r>
              <w:rPr>
                <w:rFonts w:hint="eastAsia" w:eastAsiaTheme="minorEastAsia"/>
                <w:b/>
                <w:color w:val="auto"/>
                <w:spacing w:val="-3"/>
                <w:kern w:val="0"/>
                <w:sz w:val="24"/>
              </w:rPr>
              <w:t>噪</w:t>
            </w:r>
            <w:r>
              <w:rPr>
                <w:rFonts w:hint="eastAsia" w:eastAsiaTheme="minorEastAsia"/>
                <w:b/>
                <w:color w:val="auto"/>
                <w:kern w:val="0"/>
                <w:sz w:val="24"/>
              </w:rPr>
              <w:t>声</w:t>
            </w:r>
            <w:r>
              <w:rPr>
                <w:rFonts w:hint="eastAsia" w:eastAsiaTheme="minorEastAsia"/>
                <w:b/>
                <w:color w:val="auto"/>
                <w:spacing w:val="-3"/>
                <w:kern w:val="0"/>
                <w:sz w:val="24"/>
              </w:rPr>
              <w:t>预</w:t>
            </w:r>
            <w:r>
              <w:rPr>
                <w:rFonts w:hint="eastAsia" w:eastAsiaTheme="minorEastAsia"/>
                <w:b/>
                <w:color w:val="auto"/>
                <w:kern w:val="0"/>
                <w:sz w:val="24"/>
              </w:rPr>
              <w:t>测</w:t>
            </w:r>
            <w:r>
              <w:rPr>
                <w:rFonts w:hint="eastAsia" w:eastAsiaTheme="minorEastAsia"/>
                <w:b/>
                <w:color w:val="auto"/>
                <w:spacing w:val="-3"/>
                <w:kern w:val="0"/>
                <w:sz w:val="24"/>
              </w:rPr>
              <w:t>结</w:t>
            </w:r>
            <w:r>
              <w:rPr>
                <w:rFonts w:hint="eastAsia" w:eastAsiaTheme="minorEastAsia"/>
                <w:b/>
                <w:color w:val="auto"/>
                <w:kern w:val="0"/>
                <w:sz w:val="24"/>
              </w:rPr>
              <w:t>果</w:t>
            </w:r>
            <w:r>
              <w:rPr>
                <w:rFonts w:hint="eastAsia" w:eastAsiaTheme="minorEastAsia"/>
                <w:b/>
                <w:color w:val="auto"/>
                <w:spacing w:val="-3"/>
                <w:kern w:val="0"/>
                <w:sz w:val="24"/>
              </w:rPr>
              <w:t>与</w:t>
            </w:r>
            <w:r>
              <w:rPr>
                <w:rFonts w:hint="eastAsia" w:eastAsiaTheme="minorEastAsia"/>
                <w:b/>
                <w:color w:val="auto"/>
                <w:kern w:val="0"/>
                <w:sz w:val="24"/>
              </w:rPr>
              <w:t>达标</w:t>
            </w:r>
            <w:r>
              <w:rPr>
                <w:rFonts w:hint="eastAsia" w:eastAsiaTheme="minorEastAsia"/>
                <w:b/>
                <w:color w:val="auto"/>
                <w:spacing w:val="-3"/>
                <w:kern w:val="0"/>
                <w:sz w:val="24"/>
              </w:rPr>
              <w:t>分</w:t>
            </w:r>
            <w:r>
              <w:rPr>
                <w:rFonts w:hint="eastAsia" w:eastAsiaTheme="minorEastAsia"/>
                <w:b/>
                <w:color w:val="auto"/>
                <w:kern w:val="0"/>
                <w:sz w:val="24"/>
              </w:rPr>
              <w:t>析表</w:t>
            </w:r>
          </w:p>
          <w:tbl>
            <w:tblPr>
              <w:tblStyle w:val="25"/>
              <w:tblW w:w="133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725"/>
              <w:gridCol w:w="788"/>
              <w:gridCol w:w="712"/>
              <w:gridCol w:w="853"/>
              <w:gridCol w:w="1710"/>
              <w:gridCol w:w="1850"/>
              <w:gridCol w:w="1862"/>
              <w:gridCol w:w="1982"/>
              <w:gridCol w:w="1180"/>
            </w:tblGrid>
            <w:tr w14:paraId="23E46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4" w:hRule="atLeast"/>
              </w:trPr>
              <w:tc>
                <w:tcPr>
                  <w:tcW w:w="647" w:type="pct"/>
                  <w:vMerge w:val="restart"/>
                  <w:vAlign w:val="center"/>
                </w:tcPr>
                <w:p w14:paraId="48D507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预测</w:t>
                  </w:r>
                  <w:r>
                    <w:rPr>
                      <w:rFonts w:hint="eastAsia" w:eastAsiaTheme="minorEastAsia"/>
                      <w:b/>
                      <w:color w:val="auto"/>
                      <w:sz w:val="18"/>
                      <w:szCs w:val="18"/>
                      <w:lang w:eastAsia="zh-CN"/>
                    </w:rPr>
                    <w:t>点位</w:t>
                  </w:r>
                  <w:r>
                    <w:rPr>
                      <w:rFonts w:hint="eastAsia" w:ascii="宋体" w:hAnsi="宋体" w:cs="宋体"/>
                      <w:b/>
                      <w:color w:val="auto"/>
                      <w:sz w:val="18"/>
                      <w:szCs w:val="18"/>
                      <w:vertAlign w:val="superscript"/>
                    </w:rPr>
                    <w:t>①</w:t>
                  </w:r>
                </w:p>
              </w:tc>
              <w:tc>
                <w:tcPr>
                  <w:tcW w:w="830" w:type="pct"/>
                  <w:gridSpan w:val="3"/>
                  <w:vAlign w:val="center"/>
                </w:tcPr>
                <w:p w14:paraId="4D57E1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空间相对位置/m</w:t>
                  </w:r>
                </w:p>
              </w:tc>
              <w:tc>
                <w:tcPr>
                  <w:tcW w:w="318" w:type="pct"/>
                  <w:vMerge w:val="restart"/>
                  <w:vAlign w:val="center"/>
                </w:tcPr>
                <w:p w14:paraId="0B0E31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时段</w:t>
                  </w:r>
                </w:p>
              </w:tc>
              <w:tc>
                <w:tcPr>
                  <w:tcW w:w="638" w:type="pct"/>
                  <w:vMerge w:val="restart"/>
                  <w:vAlign w:val="center"/>
                </w:tcPr>
                <w:p w14:paraId="4DB37D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lang w:eastAsia="zh-CN"/>
                    </w:rPr>
                  </w:pPr>
                  <w:r>
                    <w:rPr>
                      <w:rFonts w:hint="eastAsia" w:eastAsiaTheme="minorEastAsia"/>
                      <w:b/>
                      <w:color w:val="auto"/>
                      <w:sz w:val="18"/>
                      <w:szCs w:val="18"/>
                      <w:lang w:eastAsia="zh-CN"/>
                    </w:rPr>
                    <w:t>现状值</w:t>
                  </w:r>
                  <w:r>
                    <w:rPr>
                      <w:rFonts w:hint="eastAsia" w:eastAsiaTheme="minorEastAsia"/>
                      <w:b/>
                      <w:color w:val="auto"/>
                      <w:sz w:val="18"/>
                      <w:szCs w:val="18"/>
                    </w:rPr>
                    <w:t>（dB（A））</w:t>
                  </w:r>
                </w:p>
              </w:tc>
              <w:tc>
                <w:tcPr>
                  <w:tcW w:w="690" w:type="pct"/>
                  <w:vMerge w:val="restart"/>
                  <w:vAlign w:val="center"/>
                </w:tcPr>
                <w:p w14:paraId="5A9600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贡献值（dB（A））</w:t>
                  </w:r>
                </w:p>
              </w:tc>
              <w:tc>
                <w:tcPr>
                  <w:tcW w:w="694" w:type="pct"/>
                  <w:vMerge w:val="restart"/>
                  <w:vAlign w:val="center"/>
                </w:tcPr>
                <w:p w14:paraId="3BD2BC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lang w:eastAsia="zh-CN"/>
                    </w:rPr>
                  </w:pPr>
                  <w:r>
                    <w:rPr>
                      <w:rFonts w:hint="eastAsia" w:eastAsiaTheme="minorEastAsia"/>
                      <w:b/>
                      <w:color w:val="auto"/>
                      <w:sz w:val="18"/>
                      <w:szCs w:val="18"/>
                      <w:lang w:eastAsia="zh-CN"/>
                    </w:rPr>
                    <w:t>预测值</w:t>
                  </w:r>
                  <w:r>
                    <w:rPr>
                      <w:rFonts w:hint="eastAsia" w:eastAsiaTheme="minorEastAsia"/>
                      <w:b/>
                      <w:color w:val="auto"/>
                      <w:sz w:val="18"/>
                      <w:szCs w:val="18"/>
                    </w:rPr>
                    <w:t>（dB（A））</w:t>
                  </w:r>
                </w:p>
              </w:tc>
              <w:tc>
                <w:tcPr>
                  <w:tcW w:w="739" w:type="pct"/>
                  <w:vMerge w:val="restart"/>
                  <w:vAlign w:val="center"/>
                </w:tcPr>
                <w:p w14:paraId="262B88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标准限值（dB（A））</w:t>
                  </w:r>
                </w:p>
              </w:tc>
              <w:tc>
                <w:tcPr>
                  <w:tcW w:w="440" w:type="pct"/>
                  <w:vMerge w:val="restart"/>
                  <w:vAlign w:val="center"/>
                </w:tcPr>
                <w:p w14:paraId="3C416D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达标情况</w:t>
                  </w:r>
                </w:p>
              </w:tc>
            </w:tr>
            <w:tr w14:paraId="63534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47" w:type="pct"/>
                  <w:vMerge w:val="continue"/>
                  <w:vAlign w:val="center"/>
                </w:tcPr>
                <w:p w14:paraId="6006C3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270" w:type="pct"/>
                  <w:vAlign w:val="center"/>
                </w:tcPr>
                <w:p w14:paraId="48542E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X</w:t>
                  </w:r>
                </w:p>
              </w:tc>
              <w:tc>
                <w:tcPr>
                  <w:tcW w:w="294" w:type="pct"/>
                  <w:vAlign w:val="center"/>
                </w:tcPr>
                <w:p w14:paraId="2847B4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Y</w:t>
                  </w:r>
                </w:p>
              </w:tc>
              <w:tc>
                <w:tcPr>
                  <w:tcW w:w="265" w:type="pct"/>
                  <w:vAlign w:val="center"/>
                </w:tcPr>
                <w:p w14:paraId="406ED6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r>
                    <w:rPr>
                      <w:rFonts w:hint="eastAsia" w:eastAsiaTheme="minorEastAsia"/>
                      <w:b/>
                      <w:color w:val="auto"/>
                      <w:sz w:val="18"/>
                      <w:szCs w:val="18"/>
                    </w:rPr>
                    <w:t>Z</w:t>
                  </w:r>
                </w:p>
              </w:tc>
              <w:tc>
                <w:tcPr>
                  <w:tcW w:w="318" w:type="pct"/>
                  <w:vMerge w:val="continue"/>
                  <w:vAlign w:val="center"/>
                </w:tcPr>
                <w:p w14:paraId="61909B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638" w:type="pct"/>
                  <w:vMerge w:val="continue"/>
                  <w:vAlign w:val="center"/>
                </w:tcPr>
                <w:p w14:paraId="7C9937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690" w:type="pct"/>
                  <w:vMerge w:val="continue"/>
                  <w:vAlign w:val="center"/>
                </w:tcPr>
                <w:p w14:paraId="6B2016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694" w:type="pct"/>
                  <w:vMerge w:val="continue"/>
                  <w:vAlign w:val="center"/>
                </w:tcPr>
                <w:p w14:paraId="082189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739" w:type="pct"/>
                  <w:vMerge w:val="continue"/>
                  <w:vAlign w:val="center"/>
                </w:tcPr>
                <w:p w14:paraId="60FE1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c>
                <w:tcPr>
                  <w:tcW w:w="440" w:type="pct"/>
                  <w:vMerge w:val="continue"/>
                  <w:vAlign w:val="center"/>
                </w:tcPr>
                <w:p w14:paraId="273CCE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 w:val="18"/>
                      <w:szCs w:val="18"/>
                    </w:rPr>
                  </w:pPr>
                </w:p>
              </w:tc>
            </w:tr>
            <w:tr w14:paraId="4D052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6" w:hRule="atLeast"/>
              </w:trPr>
              <w:tc>
                <w:tcPr>
                  <w:tcW w:w="647" w:type="pct"/>
                  <w:vAlign w:val="center"/>
                </w:tcPr>
                <w:p w14:paraId="47D2AE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N1厂界东</w:t>
                  </w:r>
                </w:p>
              </w:tc>
              <w:tc>
                <w:tcPr>
                  <w:tcW w:w="270" w:type="pct"/>
                  <w:vAlign w:val="center"/>
                </w:tcPr>
                <w:p w14:paraId="0C7149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260</w:t>
                  </w:r>
                </w:p>
              </w:tc>
              <w:tc>
                <w:tcPr>
                  <w:tcW w:w="294" w:type="pct"/>
                  <w:vAlign w:val="center"/>
                </w:tcPr>
                <w:p w14:paraId="6CE345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70</w:t>
                  </w:r>
                </w:p>
              </w:tc>
              <w:tc>
                <w:tcPr>
                  <w:tcW w:w="265" w:type="pct"/>
                  <w:vAlign w:val="center"/>
                </w:tcPr>
                <w:p w14:paraId="465EB5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1.5</w:t>
                  </w:r>
                </w:p>
              </w:tc>
              <w:tc>
                <w:tcPr>
                  <w:tcW w:w="318" w:type="pct"/>
                  <w:vAlign w:val="center"/>
                </w:tcPr>
                <w:p w14:paraId="623B78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昼间</w:t>
                  </w:r>
                </w:p>
              </w:tc>
              <w:tc>
                <w:tcPr>
                  <w:tcW w:w="638" w:type="pct"/>
                  <w:vAlign w:val="center"/>
                </w:tcPr>
                <w:p w14:paraId="368D8E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56.3</w:t>
                  </w:r>
                </w:p>
              </w:tc>
              <w:tc>
                <w:tcPr>
                  <w:tcW w:w="690" w:type="pct"/>
                  <w:vAlign w:val="center"/>
                </w:tcPr>
                <w:p w14:paraId="48718D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46.8</w:t>
                  </w:r>
                </w:p>
              </w:tc>
              <w:tc>
                <w:tcPr>
                  <w:tcW w:w="694" w:type="pct"/>
                  <w:vAlign w:val="center"/>
                </w:tcPr>
                <w:p w14:paraId="44AF98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57.7</w:t>
                  </w:r>
                </w:p>
              </w:tc>
              <w:tc>
                <w:tcPr>
                  <w:tcW w:w="739" w:type="pct"/>
                  <w:vAlign w:val="center"/>
                </w:tcPr>
                <w:p w14:paraId="1D9AB0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60</w:t>
                  </w:r>
                </w:p>
              </w:tc>
              <w:tc>
                <w:tcPr>
                  <w:tcW w:w="440" w:type="pct"/>
                  <w:vAlign w:val="center"/>
                </w:tcPr>
                <w:p w14:paraId="609277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达标</w:t>
                  </w:r>
                </w:p>
              </w:tc>
            </w:tr>
            <w:tr w14:paraId="1F5CCE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47" w:type="pct"/>
                  <w:vAlign w:val="center"/>
                </w:tcPr>
                <w:p w14:paraId="0B4DA6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N2厂界南</w:t>
                  </w:r>
                </w:p>
              </w:tc>
              <w:tc>
                <w:tcPr>
                  <w:tcW w:w="270" w:type="pct"/>
                  <w:vAlign w:val="center"/>
                </w:tcPr>
                <w:p w14:paraId="499552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118</w:t>
                  </w:r>
                </w:p>
              </w:tc>
              <w:tc>
                <w:tcPr>
                  <w:tcW w:w="294" w:type="pct"/>
                  <w:vAlign w:val="center"/>
                </w:tcPr>
                <w:p w14:paraId="7F1329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55</w:t>
                  </w:r>
                </w:p>
              </w:tc>
              <w:tc>
                <w:tcPr>
                  <w:tcW w:w="265" w:type="pct"/>
                  <w:vAlign w:val="center"/>
                </w:tcPr>
                <w:p w14:paraId="27BF0F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1.5</w:t>
                  </w:r>
                </w:p>
              </w:tc>
              <w:tc>
                <w:tcPr>
                  <w:tcW w:w="318" w:type="pct"/>
                  <w:vAlign w:val="center"/>
                </w:tcPr>
                <w:p w14:paraId="0ECDC2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昼间</w:t>
                  </w:r>
                </w:p>
              </w:tc>
              <w:tc>
                <w:tcPr>
                  <w:tcW w:w="638" w:type="pct"/>
                  <w:vAlign w:val="center"/>
                </w:tcPr>
                <w:p w14:paraId="3F09D4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55.1</w:t>
                  </w:r>
                </w:p>
              </w:tc>
              <w:tc>
                <w:tcPr>
                  <w:tcW w:w="690" w:type="pct"/>
                  <w:vAlign w:val="center"/>
                </w:tcPr>
                <w:p w14:paraId="4DB7ED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42.6</w:t>
                  </w:r>
                </w:p>
              </w:tc>
              <w:tc>
                <w:tcPr>
                  <w:tcW w:w="694" w:type="pct"/>
                  <w:vAlign w:val="center"/>
                </w:tcPr>
                <w:p w14:paraId="02AE4F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56.1</w:t>
                  </w:r>
                </w:p>
              </w:tc>
              <w:tc>
                <w:tcPr>
                  <w:tcW w:w="739" w:type="pct"/>
                  <w:vAlign w:val="center"/>
                </w:tcPr>
                <w:p w14:paraId="47C0B7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kern w:val="0"/>
                      <w:sz w:val="18"/>
                      <w:szCs w:val="18"/>
                    </w:rPr>
                  </w:pPr>
                  <w:r>
                    <w:rPr>
                      <w:rFonts w:hint="eastAsia" w:eastAsiaTheme="minorEastAsia"/>
                      <w:color w:val="auto"/>
                      <w:sz w:val="18"/>
                      <w:szCs w:val="18"/>
                      <w:lang w:val="en-US" w:eastAsia="zh-CN"/>
                    </w:rPr>
                    <w:t>60</w:t>
                  </w:r>
                </w:p>
              </w:tc>
              <w:tc>
                <w:tcPr>
                  <w:tcW w:w="440" w:type="pct"/>
                  <w:vAlign w:val="center"/>
                </w:tcPr>
                <w:p w14:paraId="6B745D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达标</w:t>
                  </w:r>
                </w:p>
              </w:tc>
            </w:tr>
            <w:tr w14:paraId="666AC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47" w:type="pct"/>
                  <w:vAlign w:val="center"/>
                </w:tcPr>
                <w:p w14:paraId="1887EA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N3厂界西</w:t>
                  </w:r>
                </w:p>
              </w:tc>
              <w:tc>
                <w:tcPr>
                  <w:tcW w:w="270" w:type="pct"/>
                  <w:vAlign w:val="center"/>
                </w:tcPr>
                <w:p w14:paraId="34D3C9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126</w:t>
                  </w:r>
                </w:p>
              </w:tc>
              <w:tc>
                <w:tcPr>
                  <w:tcW w:w="294" w:type="pct"/>
                  <w:vAlign w:val="center"/>
                </w:tcPr>
                <w:p w14:paraId="00ACCE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45</w:t>
                  </w:r>
                </w:p>
              </w:tc>
              <w:tc>
                <w:tcPr>
                  <w:tcW w:w="265" w:type="pct"/>
                  <w:vAlign w:val="center"/>
                </w:tcPr>
                <w:p w14:paraId="631F77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1.5</w:t>
                  </w:r>
                </w:p>
              </w:tc>
              <w:tc>
                <w:tcPr>
                  <w:tcW w:w="318" w:type="pct"/>
                  <w:vAlign w:val="center"/>
                </w:tcPr>
                <w:p w14:paraId="53171B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昼间</w:t>
                  </w:r>
                </w:p>
              </w:tc>
              <w:tc>
                <w:tcPr>
                  <w:tcW w:w="638" w:type="pct"/>
                  <w:vAlign w:val="center"/>
                </w:tcPr>
                <w:p w14:paraId="756CA4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55</w:t>
                  </w:r>
                </w:p>
              </w:tc>
              <w:tc>
                <w:tcPr>
                  <w:tcW w:w="690" w:type="pct"/>
                  <w:vAlign w:val="center"/>
                </w:tcPr>
                <w:p w14:paraId="3416C0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50.9</w:t>
                  </w:r>
                </w:p>
              </w:tc>
              <w:tc>
                <w:tcPr>
                  <w:tcW w:w="694" w:type="pct"/>
                  <w:vAlign w:val="center"/>
                </w:tcPr>
                <w:p w14:paraId="76869C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56.8</w:t>
                  </w:r>
                </w:p>
              </w:tc>
              <w:tc>
                <w:tcPr>
                  <w:tcW w:w="739" w:type="pct"/>
                  <w:vAlign w:val="center"/>
                </w:tcPr>
                <w:p w14:paraId="17408E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60</w:t>
                  </w:r>
                </w:p>
              </w:tc>
              <w:tc>
                <w:tcPr>
                  <w:tcW w:w="440" w:type="pct"/>
                  <w:vAlign w:val="center"/>
                </w:tcPr>
                <w:p w14:paraId="223D43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达标</w:t>
                  </w:r>
                </w:p>
              </w:tc>
            </w:tr>
            <w:tr w14:paraId="2D1B6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47" w:type="pct"/>
                  <w:vAlign w:val="center"/>
                </w:tcPr>
                <w:p w14:paraId="3165C1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val="en-US" w:eastAsia="zh-CN"/>
                    </w:rPr>
                  </w:pPr>
                  <w:r>
                    <w:rPr>
                      <w:rFonts w:hint="eastAsia" w:eastAsiaTheme="minorEastAsia"/>
                      <w:color w:val="auto"/>
                      <w:sz w:val="18"/>
                      <w:szCs w:val="18"/>
                    </w:rPr>
                    <w:t>N</w:t>
                  </w:r>
                  <w:r>
                    <w:rPr>
                      <w:rFonts w:hint="eastAsia" w:eastAsiaTheme="minorEastAsia"/>
                      <w:color w:val="auto"/>
                      <w:sz w:val="18"/>
                      <w:szCs w:val="18"/>
                      <w:lang w:val="en-US" w:eastAsia="zh-CN"/>
                    </w:rPr>
                    <w:t>4</w:t>
                  </w:r>
                  <w:r>
                    <w:rPr>
                      <w:rFonts w:hint="eastAsia" w:eastAsiaTheme="minorEastAsia"/>
                      <w:color w:val="auto"/>
                      <w:sz w:val="18"/>
                      <w:szCs w:val="18"/>
                    </w:rPr>
                    <w:t>厂界</w:t>
                  </w:r>
                  <w:r>
                    <w:rPr>
                      <w:rFonts w:hint="eastAsia" w:eastAsiaTheme="minorEastAsia"/>
                      <w:color w:val="auto"/>
                      <w:sz w:val="18"/>
                      <w:szCs w:val="18"/>
                      <w:lang w:val="en-US" w:eastAsia="zh-CN"/>
                    </w:rPr>
                    <w:t>北</w:t>
                  </w:r>
                </w:p>
              </w:tc>
              <w:tc>
                <w:tcPr>
                  <w:tcW w:w="270" w:type="pct"/>
                  <w:vAlign w:val="center"/>
                </w:tcPr>
                <w:p w14:paraId="0D6CFF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114</w:t>
                  </w:r>
                </w:p>
              </w:tc>
              <w:tc>
                <w:tcPr>
                  <w:tcW w:w="294" w:type="pct"/>
                  <w:vAlign w:val="center"/>
                </w:tcPr>
                <w:p w14:paraId="36CBAD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60</w:t>
                  </w:r>
                </w:p>
              </w:tc>
              <w:tc>
                <w:tcPr>
                  <w:tcW w:w="265" w:type="pct"/>
                  <w:vAlign w:val="center"/>
                </w:tcPr>
                <w:p w14:paraId="58AB8A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1.5</w:t>
                  </w:r>
                </w:p>
              </w:tc>
              <w:tc>
                <w:tcPr>
                  <w:tcW w:w="318" w:type="pct"/>
                  <w:vAlign w:val="center"/>
                </w:tcPr>
                <w:p w14:paraId="582062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Bidi"/>
                      <w:color w:val="auto"/>
                      <w:kern w:val="2"/>
                      <w:sz w:val="18"/>
                      <w:szCs w:val="18"/>
                      <w:lang w:val="en-US" w:eastAsia="zh-CN" w:bidi="ar-SA"/>
                    </w:rPr>
                  </w:pPr>
                  <w:r>
                    <w:rPr>
                      <w:rFonts w:hint="eastAsia" w:eastAsiaTheme="minorEastAsia"/>
                      <w:color w:val="auto"/>
                      <w:sz w:val="18"/>
                      <w:szCs w:val="18"/>
                    </w:rPr>
                    <w:t>昼间</w:t>
                  </w:r>
                </w:p>
              </w:tc>
              <w:tc>
                <w:tcPr>
                  <w:tcW w:w="638" w:type="pct"/>
                  <w:vAlign w:val="center"/>
                </w:tcPr>
                <w:p w14:paraId="296F96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54.65</w:t>
                  </w:r>
                </w:p>
              </w:tc>
              <w:tc>
                <w:tcPr>
                  <w:tcW w:w="690" w:type="pct"/>
                  <w:vAlign w:val="center"/>
                </w:tcPr>
                <w:p w14:paraId="46E967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heme="minorEastAsia" w:cstheme="minorBidi"/>
                      <w:color w:val="auto"/>
                      <w:kern w:val="2"/>
                      <w:sz w:val="18"/>
                      <w:szCs w:val="18"/>
                      <w:lang w:val="en-US" w:eastAsia="zh-CN" w:bidi="ar-SA"/>
                    </w:rPr>
                  </w:pPr>
                  <w:r>
                    <w:rPr>
                      <w:rFonts w:hint="eastAsia" w:eastAsiaTheme="minorEastAsia" w:cstheme="minorBidi"/>
                      <w:color w:val="auto"/>
                      <w:kern w:val="2"/>
                      <w:sz w:val="18"/>
                      <w:szCs w:val="18"/>
                      <w:lang w:val="en-US" w:eastAsia="zh-CN" w:bidi="ar-SA"/>
                    </w:rPr>
                    <w:t>57</w:t>
                  </w:r>
                </w:p>
              </w:tc>
              <w:tc>
                <w:tcPr>
                  <w:tcW w:w="694" w:type="pct"/>
                  <w:vAlign w:val="center"/>
                </w:tcPr>
                <w:p w14:paraId="7CC08E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Theme="minorEastAsia" w:cstheme="minorBidi"/>
                      <w:color w:val="auto"/>
                      <w:kern w:val="2"/>
                      <w:sz w:val="18"/>
                      <w:szCs w:val="18"/>
                      <w:lang w:val="en-US" w:eastAsia="zh-CN" w:bidi="ar-SA"/>
                    </w:rPr>
                  </w:pPr>
                  <w:r>
                    <w:rPr>
                      <w:rFonts w:hint="eastAsia" w:eastAsiaTheme="minorEastAsia" w:cstheme="minorBidi"/>
                      <w:color w:val="auto"/>
                      <w:kern w:val="2"/>
                      <w:sz w:val="18"/>
                      <w:szCs w:val="18"/>
                      <w:lang w:val="en-US" w:eastAsia="zh-CN" w:bidi="ar-SA"/>
                    </w:rPr>
                    <w:t>59</w:t>
                  </w:r>
                </w:p>
              </w:tc>
              <w:tc>
                <w:tcPr>
                  <w:tcW w:w="739" w:type="pct"/>
                  <w:vAlign w:val="center"/>
                </w:tcPr>
                <w:p w14:paraId="736088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heme="minorEastAsia" w:cstheme="minorBidi"/>
                      <w:color w:val="auto"/>
                      <w:kern w:val="2"/>
                      <w:sz w:val="18"/>
                      <w:szCs w:val="18"/>
                      <w:lang w:val="en-US" w:eastAsia="zh-CN" w:bidi="ar-SA"/>
                    </w:rPr>
                  </w:pPr>
                  <w:r>
                    <w:rPr>
                      <w:rFonts w:hint="eastAsia" w:eastAsiaTheme="minorEastAsia"/>
                      <w:color w:val="auto"/>
                      <w:sz w:val="18"/>
                      <w:szCs w:val="18"/>
                      <w:lang w:val="en-US" w:eastAsia="zh-CN"/>
                    </w:rPr>
                    <w:t>60</w:t>
                  </w:r>
                </w:p>
              </w:tc>
              <w:tc>
                <w:tcPr>
                  <w:tcW w:w="440" w:type="pct"/>
                  <w:vAlign w:val="center"/>
                </w:tcPr>
                <w:p w14:paraId="5FB068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Bidi"/>
                      <w:color w:val="auto"/>
                      <w:kern w:val="2"/>
                      <w:sz w:val="18"/>
                      <w:szCs w:val="18"/>
                      <w:lang w:val="en-US" w:eastAsia="zh-CN" w:bidi="ar-SA"/>
                    </w:rPr>
                  </w:pPr>
                  <w:r>
                    <w:rPr>
                      <w:rFonts w:hint="eastAsia" w:eastAsiaTheme="minorEastAsia"/>
                      <w:color w:val="auto"/>
                      <w:sz w:val="18"/>
                      <w:szCs w:val="18"/>
                    </w:rPr>
                    <w:t>达标</w:t>
                  </w:r>
                </w:p>
              </w:tc>
            </w:tr>
            <w:tr w14:paraId="3124C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47" w:type="pct"/>
                  <w:vAlign w:val="center"/>
                </w:tcPr>
                <w:p w14:paraId="4C3AD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bCs/>
                      <w:color w:val="auto"/>
                      <w:kern w:val="0"/>
                      <w:sz w:val="18"/>
                      <w:szCs w:val="18"/>
                      <w:lang w:val="en-US" w:eastAsia="zh-CN"/>
                    </w:rPr>
                    <w:t>幸福家园</w:t>
                  </w:r>
                </w:p>
              </w:tc>
              <w:tc>
                <w:tcPr>
                  <w:tcW w:w="270" w:type="pct"/>
                  <w:vAlign w:val="center"/>
                </w:tcPr>
                <w:p w14:paraId="64C8DD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Theme="minorEastAsia"/>
                      <w:color w:val="auto"/>
                      <w:sz w:val="18"/>
                      <w:szCs w:val="18"/>
                      <w:lang w:val="en-US"/>
                    </w:rPr>
                  </w:pPr>
                  <w:r>
                    <w:rPr>
                      <w:rFonts w:hint="eastAsia" w:eastAsiaTheme="minorEastAsia"/>
                      <w:color w:val="auto"/>
                      <w:sz w:val="18"/>
                      <w:szCs w:val="18"/>
                      <w:lang w:val="en-US" w:eastAsia="zh-CN"/>
                    </w:rPr>
                    <w:t>255</w:t>
                  </w:r>
                </w:p>
              </w:tc>
              <w:tc>
                <w:tcPr>
                  <w:tcW w:w="294" w:type="pct"/>
                  <w:vAlign w:val="center"/>
                </w:tcPr>
                <w:p w14:paraId="5224CF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55</w:t>
                  </w:r>
                </w:p>
              </w:tc>
              <w:tc>
                <w:tcPr>
                  <w:tcW w:w="265" w:type="pct"/>
                  <w:vAlign w:val="center"/>
                </w:tcPr>
                <w:p w14:paraId="054964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1.5</w:t>
                  </w:r>
                </w:p>
              </w:tc>
              <w:tc>
                <w:tcPr>
                  <w:tcW w:w="318" w:type="pct"/>
                  <w:vAlign w:val="center"/>
                </w:tcPr>
                <w:p w14:paraId="70CDC2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昼间</w:t>
                  </w:r>
                </w:p>
              </w:tc>
              <w:tc>
                <w:tcPr>
                  <w:tcW w:w="638" w:type="pct"/>
                  <w:vAlign w:val="center"/>
                </w:tcPr>
                <w:p w14:paraId="195275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color w:val="auto"/>
                      <w:kern w:val="18"/>
                      <w:sz w:val="18"/>
                      <w:szCs w:val="18"/>
                      <w:lang w:val="en-US" w:eastAsia="zh-CN"/>
                    </w:rPr>
                    <w:t>49.3</w:t>
                  </w:r>
                </w:p>
              </w:tc>
              <w:tc>
                <w:tcPr>
                  <w:tcW w:w="690" w:type="pct"/>
                  <w:vAlign w:val="center"/>
                </w:tcPr>
                <w:p w14:paraId="19EF13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stheme="minorBidi"/>
                      <w:color w:val="auto"/>
                      <w:kern w:val="2"/>
                      <w:sz w:val="18"/>
                      <w:szCs w:val="18"/>
                      <w:lang w:val="en-US" w:eastAsia="zh-CN" w:bidi="ar-SA"/>
                    </w:rPr>
                  </w:pPr>
                  <w:r>
                    <w:rPr>
                      <w:rFonts w:hint="eastAsia" w:eastAsiaTheme="minorEastAsia"/>
                      <w:bCs/>
                      <w:color w:val="auto"/>
                      <w:kern w:val="0"/>
                      <w:sz w:val="18"/>
                      <w:szCs w:val="18"/>
                      <w:lang w:val="en-US" w:eastAsia="zh-CN"/>
                    </w:rPr>
                    <w:t>43</w:t>
                  </w:r>
                </w:p>
              </w:tc>
              <w:tc>
                <w:tcPr>
                  <w:tcW w:w="694" w:type="pct"/>
                  <w:vAlign w:val="center"/>
                </w:tcPr>
                <w:p w14:paraId="4EB0D1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Cs/>
                      <w:color w:val="auto"/>
                      <w:kern w:val="0"/>
                      <w:sz w:val="18"/>
                      <w:szCs w:val="18"/>
                      <w:lang w:val="en-US" w:eastAsia="zh-CN"/>
                    </w:rPr>
                  </w:pPr>
                  <w:r>
                    <w:rPr>
                      <w:rFonts w:hint="eastAsia" w:eastAsiaTheme="minorEastAsia"/>
                      <w:bCs/>
                      <w:color w:val="auto"/>
                      <w:kern w:val="0"/>
                      <w:sz w:val="18"/>
                      <w:szCs w:val="18"/>
                      <w:lang w:val="en-US" w:eastAsia="zh-CN"/>
                    </w:rPr>
                    <w:t>50.6</w:t>
                  </w:r>
                </w:p>
              </w:tc>
              <w:tc>
                <w:tcPr>
                  <w:tcW w:w="739" w:type="pct"/>
                  <w:vAlign w:val="center"/>
                </w:tcPr>
                <w:p w14:paraId="7F6779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lang w:val="en-US" w:eastAsia="zh-CN"/>
                    </w:rPr>
                  </w:pPr>
                  <w:r>
                    <w:rPr>
                      <w:rFonts w:hint="eastAsia" w:eastAsiaTheme="minorEastAsia"/>
                      <w:color w:val="auto"/>
                      <w:sz w:val="18"/>
                      <w:szCs w:val="18"/>
                      <w:lang w:val="en-US" w:eastAsia="zh-CN"/>
                    </w:rPr>
                    <w:t>60</w:t>
                  </w:r>
                </w:p>
              </w:tc>
              <w:tc>
                <w:tcPr>
                  <w:tcW w:w="440" w:type="pct"/>
                  <w:vAlign w:val="center"/>
                </w:tcPr>
                <w:p w14:paraId="4680C7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达标</w:t>
                  </w:r>
                </w:p>
              </w:tc>
            </w:tr>
            <w:tr w14:paraId="15A64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47" w:type="pct"/>
                  <w:vAlign w:val="center"/>
                </w:tcPr>
                <w:p w14:paraId="2EC06D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bCs/>
                      <w:color w:val="auto"/>
                      <w:kern w:val="0"/>
                      <w:sz w:val="18"/>
                      <w:szCs w:val="18"/>
                      <w:lang w:val="en-US" w:eastAsia="zh-CN"/>
                    </w:rPr>
                    <w:t>金安玫瑰园</w:t>
                  </w:r>
                </w:p>
              </w:tc>
              <w:tc>
                <w:tcPr>
                  <w:tcW w:w="270" w:type="pct"/>
                  <w:vAlign w:val="center"/>
                </w:tcPr>
                <w:p w14:paraId="307442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Theme="minorEastAsia"/>
                      <w:color w:val="auto"/>
                      <w:sz w:val="18"/>
                      <w:szCs w:val="18"/>
                      <w:lang w:val="en-US"/>
                    </w:rPr>
                  </w:pPr>
                  <w:r>
                    <w:rPr>
                      <w:rFonts w:hint="eastAsia" w:eastAsiaTheme="minorEastAsia"/>
                      <w:color w:val="auto"/>
                      <w:sz w:val="18"/>
                      <w:szCs w:val="18"/>
                      <w:lang w:val="en-US" w:eastAsia="zh-CN"/>
                    </w:rPr>
                    <w:t>168</w:t>
                  </w:r>
                </w:p>
              </w:tc>
              <w:tc>
                <w:tcPr>
                  <w:tcW w:w="294" w:type="pct"/>
                  <w:vAlign w:val="center"/>
                </w:tcPr>
                <w:p w14:paraId="7E98D8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45</w:t>
                  </w:r>
                </w:p>
              </w:tc>
              <w:tc>
                <w:tcPr>
                  <w:tcW w:w="265" w:type="pct"/>
                  <w:vAlign w:val="center"/>
                </w:tcPr>
                <w:p w14:paraId="70EE57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1.5</w:t>
                  </w:r>
                </w:p>
              </w:tc>
              <w:tc>
                <w:tcPr>
                  <w:tcW w:w="318" w:type="pct"/>
                  <w:vAlign w:val="center"/>
                </w:tcPr>
                <w:p w14:paraId="252C3E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昼间</w:t>
                  </w:r>
                </w:p>
              </w:tc>
              <w:tc>
                <w:tcPr>
                  <w:tcW w:w="638" w:type="pct"/>
                  <w:vAlign w:val="center"/>
                </w:tcPr>
                <w:p w14:paraId="1D2B4C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color w:val="auto"/>
                      <w:kern w:val="18"/>
                      <w:sz w:val="18"/>
                      <w:szCs w:val="18"/>
                      <w:lang w:val="en-US" w:eastAsia="zh-CN"/>
                    </w:rPr>
                    <w:t>49.6</w:t>
                  </w:r>
                </w:p>
              </w:tc>
              <w:tc>
                <w:tcPr>
                  <w:tcW w:w="690" w:type="pct"/>
                  <w:vAlign w:val="center"/>
                </w:tcPr>
                <w:p w14:paraId="452F0A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stheme="minorBidi"/>
                      <w:color w:val="auto"/>
                      <w:kern w:val="2"/>
                      <w:sz w:val="18"/>
                      <w:szCs w:val="18"/>
                      <w:lang w:val="en-US" w:eastAsia="zh-CN" w:bidi="ar-SA"/>
                    </w:rPr>
                  </w:pPr>
                  <w:r>
                    <w:rPr>
                      <w:rFonts w:hint="eastAsia" w:eastAsiaTheme="minorEastAsia"/>
                      <w:bCs/>
                      <w:color w:val="auto"/>
                      <w:kern w:val="0"/>
                      <w:sz w:val="18"/>
                      <w:szCs w:val="18"/>
                      <w:lang w:val="en-US" w:eastAsia="zh-CN"/>
                    </w:rPr>
                    <w:t>41</w:t>
                  </w:r>
                </w:p>
              </w:tc>
              <w:tc>
                <w:tcPr>
                  <w:tcW w:w="694" w:type="pct"/>
                  <w:vAlign w:val="center"/>
                </w:tcPr>
                <w:p w14:paraId="44B26E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Cs/>
                      <w:color w:val="auto"/>
                      <w:kern w:val="0"/>
                      <w:sz w:val="18"/>
                      <w:szCs w:val="18"/>
                      <w:lang w:val="en-US" w:eastAsia="zh-CN"/>
                    </w:rPr>
                  </w:pPr>
                  <w:r>
                    <w:rPr>
                      <w:rFonts w:hint="eastAsia" w:eastAsiaTheme="minorEastAsia"/>
                      <w:bCs/>
                      <w:color w:val="auto"/>
                      <w:kern w:val="0"/>
                      <w:sz w:val="18"/>
                      <w:szCs w:val="18"/>
                      <w:lang w:val="en-US" w:eastAsia="zh-CN"/>
                    </w:rPr>
                    <w:t>50.8</w:t>
                  </w:r>
                </w:p>
              </w:tc>
              <w:tc>
                <w:tcPr>
                  <w:tcW w:w="739" w:type="pct"/>
                  <w:vAlign w:val="center"/>
                </w:tcPr>
                <w:p w14:paraId="542484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lang w:val="en-US" w:eastAsia="zh-CN"/>
                    </w:rPr>
                  </w:pPr>
                  <w:r>
                    <w:rPr>
                      <w:rFonts w:hint="eastAsia" w:eastAsiaTheme="minorEastAsia"/>
                      <w:color w:val="auto"/>
                      <w:sz w:val="18"/>
                      <w:szCs w:val="18"/>
                      <w:lang w:val="en-US" w:eastAsia="zh-CN"/>
                    </w:rPr>
                    <w:t>60</w:t>
                  </w:r>
                </w:p>
              </w:tc>
              <w:tc>
                <w:tcPr>
                  <w:tcW w:w="440" w:type="pct"/>
                  <w:vAlign w:val="center"/>
                </w:tcPr>
                <w:p w14:paraId="25E284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达标</w:t>
                  </w:r>
                </w:p>
              </w:tc>
            </w:tr>
            <w:tr w14:paraId="437421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47" w:type="pct"/>
                  <w:vAlign w:val="center"/>
                </w:tcPr>
                <w:p w14:paraId="3DF1D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ascii="Times New Roman" w:hAnsi="Times New Roman" w:cs="Times New Roman"/>
                      <w:color w:val="auto"/>
                      <w:sz w:val="18"/>
                      <w:szCs w:val="18"/>
                      <w:lang w:val="en-US" w:eastAsia="zh-CN"/>
                    </w:rPr>
                    <w:t>艺达名都</w:t>
                  </w:r>
                </w:p>
              </w:tc>
              <w:tc>
                <w:tcPr>
                  <w:tcW w:w="270" w:type="pct"/>
                  <w:vAlign w:val="center"/>
                </w:tcPr>
                <w:p w14:paraId="31526C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130</w:t>
                  </w:r>
                </w:p>
              </w:tc>
              <w:tc>
                <w:tcPr>
                  <w:tcW w:w="294" w:type="pct"/>
                  <w:vAlign w:val="center"/>
                </w:tcPr>
                <w:p w14:paraId="6305AC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60</w:t>
                  </w:r>
                </w:p>
              </w:tc>
              <w:tc>
                <w:tcPr>
                  <w:tcW w:w="265" w:type="pct"/>
                  <w:vAlign w:val="center"/>
                </w:tcPr>
                <w:p w14:paraId="42BFFB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1.5</w:t>
                  </w:r>
                </w:p>
              </w:tc>
              <w:tc>
                <w:tcPr>
                  <w:tcW w:w="318" w:type="pct"/>
                  <w:vAlign w:val="center"/>
                </w:tcPr>
                <w:p w14:paraId="5B1BBFF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昼间</w:t>
                  </w:r>
                </w:p>
              </w:tc>
              <w:tc>
                <w:tcPr>
                  <w:tcW w:w="638" w:type="pct"/>
                  <w:vAlign w:val="center"/>
                </w:tcPr>
                <w:p w14:paraId="158768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55.1</w:t>
                  </w:r>
                </w:p>
              </w:tc>
              <w:tc>
                <w:tcPr>
                  <w:tcW w:w="690" w:type="pct"/>
                  <w:vAlign w:val="center"/>
                </w:tcPr>
                <w:p w14:paraId="1DBF8B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Theme="minorEastAsia" w:cstheme="minorBidi"/>
                      <w:color w:val="auto"/>
                      <w:kern w:val="2"/>
                      <w:sz w:val="18"/>
                      <w:szCs w:val="18"/>
                      <w:lang w:val="en-US" w:eastAsia="zh-CN" w:bidi="ar-SA"/>
                    </w:rPr>
                  </w:pPr>
                  <w:r>
                    <w:rPr>
                      <w:rFonts w:hint="eastAsia" w:eastAsiaTheme="minorEastAsia" w:cstheme="minorBidi"/>
                      <w:color w:val="auto"/>
                      <w:kern w:val="2"/>
                      <w:sz w:val="18"/>
                      <w:szCs w:val="18"/>
                      <w:lang w:val="en-US" w:eastAsia="zh-CN" w:bidi="ar-SA"/>
                    </w:rPr>
                    <w:t>54.5</w:t>
                  </w:r>
                </w:p>
              </w:tc>
              <w:tc>
                <w:tcPr>
                  <w:tcW w:w="694" w:type="pct"/>
                  <w:vAlign w:val="center"/>
                </w:tcPr>
                <w:p w14:paraId="26AD6C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Theme="minorEastAsia" w:cstheme="minorBidi"/>
                      <w:color w:val="auto"/>
                      <w:kern w:val="2"/>
                      <w:sz w:val="18"/>
                      <w:szCs w:val="18"/>
                      <w:lang w:val="en-US" w:eastAsia="zh-CN" w:bidi="ar-SA"/>
                    </w:rPr>
                  </w:pPr>
                  <w:r>
                    <w:rPr>
                      <w:rFonts w:hint="eastAsia" w:eastAsiaTheme="minorEastAsia" w:cstheme="minorBidi"/>
                      <w:color w:val="auto"/>
                      <w:kern w:val="2"/>
                      <w:sz w:val="18"/>
                      <w:szCs w:val="18"/>
                      <w:lang w:val="en-US" w:eastAsia="zh-CN" w:bidi="ar-SA"/>
                    </w:rPr>
                    <w:t>56.5</w:t>
                  </w:r>
                </w:p>
              </w:tc>
              <w:tc>
                <w:tcPr>
                  <w:tcW w:w="739" w:type="pct"/>
                  <w:vAlign w:val="center"/>
                </w:tcPr>
                <w:p w14:paraId="09C432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lang w:val="en-US" w:eastAsia="zh-CN"/>
                    </w:rPr>
                  </w:pPr>
                  <w:r>
                    <w:rPr>
                      <w:rFonts w:hint="eastAsia" w:eastAsiaTheme="minorEastAsia"/>
                      <w:color w:val="auto"/>
                      <w:sz w:val="18"/>
                      <w:szCs w:val="18"/>
                      <w:lang w:val="en-US" w:eastAsia="zh-CN"/>
                    </w:rPr>
                    <w:t>60</w:t>
                  </w:r>
                </w:p>
              </w:tc>
              <w:tc>
                <w:tcPr>
                  <w:tcW w:w="440" w:type="pct"/>
                  <w:vAlign w:val="center"/>
                </w:tcPr>
                <w:p w14:paraId="09678B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达标</w:t>
                  </w:r>
                </w:p>
              </w:tc>
            </w:tr>
            <w:tr w14:paraId="130FD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47" w:type="pct"/>
                  <w:vAlign w:val="center"/>
                </w:tcPr>
                <w:p w14:paraId="0634F0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ascii="Times New Roman" w:hAnsi="Times New Roman" w:cs="Times New Roman"/>
                      <w:color w:val="auto"/>
                      <w:sz w:val="18"/>
                      <w:szCs w:val="18"/>
                      <w:lang w:val="en-US" w:eastAsia="zh-CN"/>
                    </w:rPr>
                    <w:t>涟水县安东学校</w:t>
                  </w:r>
                </w:p>
              </w:tc>
              <w:tc>
                <w:tcPr>
                  <w:tcW w:w="270" w:type="pct"/>
                  <w:vAlign w:val="center"/>
                </w:tcPr>
                <w:p w14:paraId="6BB6B2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122</w:t>
                  </w:r>
                </w:p>
              </w:tc>
              <w:tc>
                <w:tcPr>
                  <w:tcW w:w="294" w:type="pct"/>
                  <w:vAlign w:val="center"/>
                </w:tcPr>
                <w:p w14:paraId="464FA0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55</w:t>
                  </w:r>
                </w:p>
              </w:tc>
              <w:tc>
                <w:tcPr>
                  <w:tcW w:w="265" w:type="pct"/>
                  <w:vAlign w:val="center"/>
                </w:tcPr>
                <w:p w14:paraId="031520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1.5</w:t>
                  </w:r>
                </w:p>
              </w:tc>
              <w:tc>
                <w:tcPr>
                  <w:tcW w:w="318" w:type="pct"/>
                  <w:vAlign w:val="center"/>
                </w:tcPr>
                <w:p w14:paraId="37B897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昼间</w:t>
                  </w:r>
                </w:p>
              </w:tc>
              <w:tc>
                <w:tcPr>
                  <w:tcW w:w="638" w:type="pct"/>
                  <w:vAlign w:val="center"/>
                </w:tcPr>
                <w:p w14:paraId="533501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55.1</w:t>
                  </w:r>
                </w:p>
              </w:tc>
              <w:tc>
                <w:tcPr>
                  <w:tcW w:w="690" w:type="pct"/>
                  <w:vAlign w:val="center"/>
                </w:tcPr>
                <w:p w14:paraId="4197D7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Theme="minorEastAsia" w:cstheme="minorBidi"/>
                      <w:color w:val="auto"/>
                      <w:kern w:val="2"/>
                      <w:sz w:val="18"/>
                      <w:szCs w:val="18"/>
                      <w:lang w:val="en-US" w:eastAsia="zh-CN" w:bidi="ar-SA"/>
                    </w:rPr>
                  </w:pPr>
                  <w:r>
                    <w:rPr>
                      <w:rFonts w:hint="eastAsia" w:eastAsiaTheme="minorEastAsia" w:cstheme="minorBidi"/>
                      <w:color w:val="auto"/>
                      <w:kern w:val="2"/>
                      <w:sz w:val="18"/>
                      <w:szCs w:val="18"/>
                      <w:lang w:val="en-US" w:eastAsia="zh-CN" w:bidi="ar-SA"/>
                    </w:rPr>
                    <w:t>55</w:t>
                  </w:r>
                </w:p>
              </w:tc>
              <w:tc>
                <w:tcPr>
                  <w:tcW w:w="694" w:type="pct"/>
                  <w:vAlign w:val="center"/>
                </w:tcPr>
                <w:p w14:paraId="3069AF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eastAsiaTheme="minorEastAsia" w:cstheme="minorBidi"/>
                      <w:color w:val="auto"/>
                      <w:kern w:val="2"/>
                      <w:sz w:val="18"/>
                      <w:szCs w:val="18"/>
                      <w:lang w:val="en-US" w:eastAsia="zh-CN" w:bidi="ar-SA"/>
                    </w:rPr>
                  </w:pPr>
                  <w:r>
                    <w:rPr>
                      <w:rFonts w:hint="eastAsia" w:eastAsiaTheme="minorEastAsia" w:cstheme="minorBidi"/>
                      <w:color w:val="auto"/>
                      <w:kern w:val="2"/>
                      <w:sz w:val="18"/>
                      <w:szCs w:val="18"/>
                      <w:lang w:val="en-US" w:eastAsia="zh-CN" w:bidi="ar-SA"/>
                    </w:rPr>
                    <w:t>56.5</w:t>
                  </w:r>
                </w:p>
              </w:tc>
              <w:tc>
                <w:tcPr>
                  <w:tcW w:w="739" w:type="pct"/>
                  <w:vAlign w:val="center"/>
                </w:tcPr>
                <w:p w14:paraId="43D343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lang w:val="en-US" w:eastAsia="zh-CN"/>
                    </w:rPr>
                  </w:pPr>
                  <w:r>
                    <w:rPr>
                      <w:rFonts w:hint="eastAsia" w:eastAsiaTheme="minorEastAsia"/>
                      <w:color w:val="auto"/>
                      <w:sz w:val="18"/>
                      <w:szCs w:val="18"/>
                      <w:lang w:val="en-US" w:eastAsia="zh-CN"/>
                    </w:rPr>
                    <w:t>60</w:t>
                  </w:r>
                </w:p>
              </w:tc>
              <w:tc>
                <w:tcPr>
                  <w:tcW w:w="440" w:type="pct"/>
                  <w:vAlign w:val="center"/>
                </w:tcPr>
                <w:p w14:paraId="757DF4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达标</w:t>
                  </w:r>
                </w:p>
              </w:tc>
            </w:tr>
          </w:tbl>
          <w:p w14:paraId="46DB54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auto"/>
                <w:lang w:val="en-US" w:eastAsia="zh-CN"/>
              </w:rPr>
            </w:pPr>
            <w:r>
              <w:rPr>
                <w:rFonts w:hint="eastAsia" w:eastAsiaTheme="minorEastAsia"/>
                <w:color w:val="auto"/>
                <w:kern w:val="0"/>
                <w:sz w:val="18"/>
                <w:szCs w:val="18"/>
              </w:rPr>
              <w:t>注：</w:t>
            </w:r>
            <w:r>
              <w:rPr>
                <w:rFonts w:hint="eastAsia" w:eastAsiaTheme="minorEastAsia"/>
                <w:color w:val="auto"/>
                <w:sz w:val="18"/>
                <w:szCs w:val="18"/>
              </w:rPr>
              <w:t>以</w:t>
            </w:r>
            <w:r>
              <w:rPr>
                <w:rFonts w:hint="eastAsia" w:eastAsiaTheme="minorEastAsia"/>
                <w:color w:val="auto"/>
                <w:sz w:val="18"/>
                <w:szCs w:val="18"/>
                <w:lang w:val="en-US" w:eastAsia="zh-CN"/>
              </w:rPr>
              <w:t>厂区</w:t>
            </w:r>
            <w:r>
              <w:rPr>
                <w:rFonts w:hint="eastAsia" w:eastAsiaTheme="minorEastAsia"/>
                <w:color w:val="auto"/>
                <w:sz w:val="18"/>
                <w:szCs w:val="18"/>
              </w:rPr>
              <w:t>西南角为（0，0，0）点</w:t>
            </w:r>
            <w:r>
              <w:rPr>
                <w:rFonts w:hint="eastAsia" w:eastAsiaTheme="minorEastAsia"/>
                <w:color w:val="auto"/>
                <w:kern w:val="0"/>
                <w:sz w:val="18"/>
                <w:szCs w:val="18"/>
              </w:rPr>
              <w:t>。</w:t>
            </w:r>
          </w:p>
          <w:p w14:paraId="71F1BE62">
            <w:pPr>
              <w:keepNext w:val="0"/>
              <w:keepLines w:val="0"/>
              <w:suppressLineNumbers w:val="0"/>
              <w:spacing w:before="0" w:beforeAutospacing="0" w:after="0" w:afterAutospacing="0"/>
              <w:ind w:left="0" w:right="0"/>
              <w:rPr>
                <w:rFonts w:hint="eastAsia"/>
                <w:color w:val="auto"/>
                <w:lang w:eastAsia="zh-CN"/>
              </w:rPr>
            </w:pPr>
            <w:r>
              <w:rPr>
                <w:rFonts w:hint="eastAsia"/>
                <w:color w:val="auto"/>
                <w:lang w:eastAsia="zh-CN"/>
              </w:rPr>
              <w:t>本项目夜间不生产，</w:t>
            </w:r>
            <w:r>
              <w:rPr>
                <w:rFonts w:hint="eastAsia"/>
                <w:color w:val="auto"/>
              </w:rPr>
              <w:t>从表4.3-3可以看出：项目厂界噪声昼间贡献值为</w:t>
            </w:r>
            <w:r>
              <w:rPr>
                <w:rFonts w:hint="eastAsia"/>
                <w:color w:val="auto"/>
                <w:lang w:val="en-US" w:eastAsia="zh-CN"/>
              </w:rPr>
              <w:t>42.6</w:t>
            </w:r>
            <w:r>
              <w:rPr>
                <w:rFonts w:hint="eastAsia"/>
                <w:color w:val="auto"/>
              </w:rPr>
              <w:t>~</w:t>
            </w:r>
            <w:r>
              <w:rPr>
                <w:rFonts w:hint="eastAsia"/>
                <w:color w:val="auto"/>
                <w:lang w:val="en-US" w:eastAsia="zh-CN"/>
              </w:rPr>
              <w:t>57</w:t>
            </w:r>
            <w:r>
              <w:rPr>
                <w:rFonts w:hint="eastAsia"/>
                <w:color w:val="auto"/>
              </w:rPr>
              <w:t>dB（A），</w:t>
            </w:r>
            <w:r>
              <w:rPr>
                <w:rFonts w:hint="eastAsia"/>
                <w:color w:val="auto"/>
                <w:lang w:eastAsia="zh-CN"/>
              </w:rPr>
              <w:t>评价范围内敏感点噪声贡献值为</w:t>
            </w:r>
            <w:r>
              <w:rPr>
                <w:rFonts w:hint="eastAsia"/>
                <w:color w:val="auto"/>
                <w:lang w:val="en-US" w:eastAsia="zh-CN"/>
              </w:rPr>
              <w:t>41</w:t>
            </w:r>
            <w:r>
              <w:rPr>
                <w:rFonts w:hint="eastAsia"/>
                <w:color w:val="auto"/>
              </w:rPr>
              <w:t>~</w:t>
            </w:r>
            <w:r>
              <w:rPr>
                <w:rFonts w:hint="eastAsia"/>
                <w:color w:val="auto"/>
                <w:lang w:val="en-US" w:eastAsia="zh-CN"/>
              </w:rPr>
              <w:t>55</w:t>
            </w:r>
            <w:r>
              <w:rPr>
                <w:rFonts w:hint="eastAsia"/>
                <w:color w:val="auto"/>
              </w:rPr>
              <w:t>dB（A）</w:t>
            </w:r>
            <w:r>
              <w:rPr>
                <w:rFonts w:hint="eastAsia"/>
                <w:color w:val="auto"/>
                <w:lang w:eastAsia="zh-CN"/>
              </w:rPr>
              <w:t>，经叠加现状值后厂界噪声及敏感点预测值</w:t>
            </w:r>
            <w:r>
              <w:rPr>
                <w:rFonts w:hint="eastAsia"/>
                <w:color w:val="auto"/>
              </w:rPr>
              <w:t>满足《工业企业厂界环境噪声排放标准》（GB12348-2008）</w:t>
            </w:r>
            <w:r>
              <w:rPr>
                <w:rFonts w:hint="eastAsia"/>
                <w:color w:val="auto"/>
                <w:lang w:val="en-US" w:eastAsia="zh-CN"/>
              </w:rPr>
              <w:t>2</w:t>
            </w:r>
            <w:r>
              <w:rPr>
                <w:rFonts w:hint="eastAsia"/>
                <w:color w:val="auto"/>
              </w:rPr>
              <w:t>类</w:t>
            </w:r>
            <w:r>
              <w:rPr>
                <w:rFonts w:hint="eastAsia"/>
                <w:color w:val="auto"/>
                <w:lang w:val="en-US" w:eastAsia="zh-CN"/>
              </w:rPr>
              <w:t>标准限值要求</w:t>
            </w:r>
            <w:r>
              <w:rPr>
                <w:rFonts w:hint="eastAsia"/>
                <w:color w:val="auto"/>
              </w:rPr>
              <w:t>，因此项目噪声对环境的影响能够满足环境保护的要求。</w:t>
            </w:r>
          </w:p>
          <w:p w14:paraId="78A165AC">
            <w:pPr>
              <w:keepNext w:val="0"/>
              <w:keepLines w:val="0"/>
              <w:suppressLineNumbers w:val="0"/>
              <w:spacing w:before="0" w:beforeAutospacing="0" w:after="0" w:afterAutospacing="0"/>
              <w:ind w:left="0" w:right="0"/>
              <w:rPr>
                <w:rFonts w:hint="eastAsia"/>
                <w:color w:val="auto"/>
                <w:lang w:eastAsia="zh-CN"/>
              </w:rPr>
            </w:pPr>
            <w:r>
              <w:rPr>
                <w:rFonts w:hint="eastAsia"/>
                <w:color w:val="auto"/>
                <w:lang w:eastAsia="zh-CN"/>
              </w:rPr>
              <w:t>根据202</w:t>
            </w:r>
            <w:r>
              <w:rPr>
                <w:rFonts w:hint="eastAsia"/>
                <w:color w:val="auto"/>
                <w:lang w:val="en-US" w:eastAsia="zh-CN"/>
              </w:rPr>
              <w:t>5</w:t>
            </w:r>
            <w:r>
              <w:rPr>
                <w:rFonts w:hint="eastAsia"/>
                <w:color w:val="auto"/>
                <w:lang w:eastAsia="zh-CN"/>
              </w:rPr>
              <w:t>年1月</w:t>
            </w:r>
            <w:r>
              <w:rPr>
                <w:rFonts w:hint="eastAsia"/>
                <w:color w:val="auto"/>
                <w:lang w:val="en-US" w:eastAsia="zh-CN"/>
              </w:rPr>
              <w:t>13</w:t>
            </w:r>
            <w:r>
              <w:rPr>
                <w:rFonts w:hint="eastAsia"/>
                <w:color w:val="auto"/>
                <w:lang w:eastAsia="zh-CN"/>
              </w:rPr>
              <w:t>日，本项目</w:t>
            </w:r>
            <w:r>
              <w:rPr>
                <w:rFonts w:hint="eastAsia" w:ascii="Times New Roman" w:hAnsi="Times New Roman" w:eastAsia="宋体" w:cstheme="minorBidi"/>
                <w:color w:val="auto"/>
                <w:kern w:val="2"/>
                <w:sz w:val="24"/>
                <w:szCs w:val="24"/>
                <w:lang w:val="en-US" w:eastAsia="zh-CN" w:bidi="ar-SA"/>
              </w:rPr>
              <w:t>委托</w:t>
            </w:r>
            <w:r>
              <w:rPr>
                <w:rFonts w:hint="eastAsia" w:cstheme="minorBidi"/>
                <w:color w:val="auto"/>
                <w:kern w:val="2"/>
                <w:sz w:val="24"/>
                <w:szCs w:val="24"/>
                <w:lang w:val="en-US" w:eastAsia="zh-CN" w:bidi="ar-SA"/>
              </w:rPr>
              <w:t>江苏高研环境检测有限公司</w:t>
            </w:r>
            <w:r>
              <w:rPr>
                <w:rFonts w:hint="eastAsia" w:ascii="Times New Roman" w:hAnsi="Times New Roman" w:eastAsia="宋体" w:cstheme="minorBidi"/>
                <w:color w:val="auto"/>
                <w:kern w:val="2"/>
                <w:sz w:val="24"/>
                <w:szCs w:val="24"/>
                <w:lang w:val="en-US" w:eastAsia="zh-CN" w:bidi="ar-SA"/>
              </w:rPr>
              <w:t>对项目</w:t>
            </w:r>
            <w:r>
              <w:rPr>
                <w:rFonts w:hint="eastAsia" w:ascii="Times New Roman" w:hAnsi="Times New Roman" w:cstheme="minorBidi"/>
                <w:color w:val="auto"/>
                <w:kern w:val="2"/>
                <w:sz w:val="24"/>
                <w:szCs w:val="24"/>
                <w:lang w:val="en-US" w:eastAsia="zh-CN" w:bidi="ar-SA"/>
              </w:rPr>
              <w:t>周边</w:t>
            </w:r>
            <w:r>
              <w:rPr>
                <w:rFonts w:hint="eastAsia" w:cstheme="minorBidi"/>
                <w:color w:val="auto"/>
                <w:kern w:val="2"/>
                <w:sz w:val="24"/>
                <w:szCs w:val="24"/>
                <w:lang w:val="en-US" w:eastAsia="zh-CN" w:bidi="ar-SA"/>
              </w:rPr>
              <w:t>声</w:t>
            </w:r>
            <w:r>
              <w:rPr>
                <w:rFonts w:hint="eastAsia" w:ascii="Times New Roman" w:hAnsi="Times New Roman" w:eastAsia="宋体" w:cstheme="minorBidi"/>
                <w:color w:val="auto"/>
                <w:kern w:val="2"/>
                <w:sz w:val="24"/>
                <w:szCs w:val="24"/>
                <w:lang w:val="en-US" w:eastAsia="zh-CN" w:bidi="ar-SA"/>
              </w:rPr>
              <w:t>敏感点</w:t>
            </w:r>
            <w:r>
              <w:rPr>
                <w:rFonts w:hint="eastAsia"/>
                <w:color w:val="auto"/>
                <w:lang w:val="en-US" w:eastAsia="zh-CN"/>
              </w:rPr>
              <w:t>幸福家园、金安玫瑰园</w:t>
            </w:r>
            <w:r>
              <w:rPr>
                <w:rFonts w:hint="eastAsia"/>
                <w:color w:val="auto"/>
                <w:lang w:eastAsia="zh-CN"/>
              </w:rPr>
              <w:t>现状噪声检测结果可知，敏感点声环境质量满足《声环境质量标准》（GB3096-2008）2类标准。</w:t>
            </w:r>
          </w:p>
          <w:bookmarkEnd w:id="24"/>
          <w:bookmarkEnd w:id="25"/>
          <w:p w14:paraId="0FAFDAD9">
            <w:pPr>
              <w:keepNext w:val="0"/>
              <w:keepLines w:val="0"/>
              <w:suppressLineNumbers w:val="0"/>
              <w:spacing w:before="0" w:beforeAutospacing="0" w:after="0" w:afterAutospacing="0"/>
              <w:ind w:left="0" w:right="0"/>
              <w:rPr>
                <w:rFonts w:hint="eastAsia" w:eastAsia="宋体"/>
                <w:color w:val="auto"/>
                <w:lang w:eastAsia="zh-CN"/>
              </w:rPr>
            </w:pPr>
            <w:r>
              <w:rPr>
                <w:rFonts w:hint="eastAsia"/>
                <w:color w:val="auto"/>
                <w:lang w:eastAsia="zh-CN"/>
              </w:rPr>
              <w:t>综上所述，本项目对周边环境敏感点声环境影响较小，不会改变项目所在区域的声环境功能区划的要求。</w:t>
            </w:r>
          </w:p>
          <w:p w14:paraId="47C0C299">
            <w:pPr>
              <w:keepNext w:val="0"/>
              <w:keepLines w:val="0"/>
              <w:widowControl/>
              <w:numPr>
                <w:ilvl w:val="1"/>
                <w:numId w:val="11"/>
              </w:numPr>
              <w:suppressLineNumbers w:val="0"/>
              <w:adjustRightInd w:val="0"/>
              <w:snapToGrid w:val="0"/>
              <w:spacing w:before="0" w:beforeAutospacing="0" w:after="0" w:afterAutospacing="0" w:line="360" w:lineRule="auto"/>
              <w:ind w:left="0" w:leftChars="0" w:right="0" w:firstLine="482" w:firstLineChars="200"/>
              <w:jc w:val="left"/>
              <w:rPr>
                <w:rFonts w:hint="eastAsia" w:eastAsiaTheme="minorEastAsia"/>
                <w:color w:val="auto"/>
                <w:kern w:val="0"/>
                <w:sz w:val="24"/>
              </w:rPr>
            </w:pPr>
            <w:r>
              <w:rPr>
                <w:rFonts w:hint="eastAsia" w:ascii="Times New Roman" w:hAnsi="Times New Roman" w:eastAsia="宋体"/>
                <w:b/>
                <w:bCs/>
                <w:color w:val="auto"/>
              </w:rPr>
              <w:t>噪声源监测</w:t>
            </w:r>
          </w:p>
          <w:p w14:paraId="0422732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rPr>
                <w:rFonts w:hint="eastAsia" w:eastAsiaTheme="minorEastAsia"/>
                <w:color w:val="auto"/>
                <w:kern w:val="0"/>
                <w:sz w:val="24"/>
              </w:rPr>
            </w:pPr>
            <w:r>
              <w:rPr>
                <w:rFonts w:hint="eastAsia" w:eastAsiaTheme="minorEastAsia"/>
                <w:color w:val="auto"/>
                <w:kern w:val="0"/>
                <w:sz w:val="24"/>
              </w:rPr>
              <w:t>根据</w:t>
            </w:r>
            <w:r>
              <w:rPr>
                <w:rFonts w:hint="eastAsia"/>
                <w:color w:val="auto"/>
                <w:kern w:val="0"/>
                <w:sz w:val="24"/>
              </w:rPr>
              <w:t>《排污单位自行监测技术指南</w:t>
            </w:r>
            <w:r>
              <w:rPr>
                <w:rFonts w:hint="eastAsia"/>
                <w:color w:val="auto"/>
                <w:kern w:val="0"/>
                <w:sz w:val="24"/>
                <w:lang w:val="en-US" w:eastAsia="zh-CN"/>
              </w:rPr>
              <w:t xml:space="preserve"> </w:t>
            </w:r>
            <w:r>
              <w:rPr>
                <w:rFonts w:hint="eastAsia"/>
                <w:color w:val="auto"/>
                <w:kern w:val="0"/>
                <w:sz w:val="24"/>
              </w:rPr>
              <w:t>总则》（HJ819-2017）</w:t>
            </w:r>
            <w:r>
              <w:rPr>
                <w:rFonts w:hint="eastAsia"/>
                <w:color w:val="auto"/>
                <w:kern w:val="0"/>
                <w:sz w:val="24"/>
                <w:lang w:val="en-US" w:eastAsia="zh-CN"/>
              </w:rPr>
              <w:t>等</w:t>
            </w:r>
            <w:r>
              <w:rPr>
                <w:rFonts w:hint="eastAsia"/>
                <w:color w:val="auto"/>
                <w:sz w:val="24"/>
                <w:lang w:val="en-US" w:eastAsia="zh-CN"/>
              </w:rPr>
              <w:t>相关</w:t>
            </w:r>
            <w:r>
              <w:rPr>
                <w:rFonts w:hint="eastAsia" w:eastAsiaTheme="minorEastAsia"/>
                <w:color w:val="auto"/>
                <w:sz w:val="24"/>
              </w:rPr>
              <w:t>要求需对厂界噪声的例行监测。</w:t>
            </w:r>
            <w:r>
              <w:rPr>
                <w:rFonts w:hint="eastAsia" w:eastAsiaTheme="minorEastAsia"/>
                <w:color w:val="auto"/>
                <w:kern w:val="0"/>
                <w:sz w:val="24"/>
              </w:rPr>
              <w:t>监测的实施可以根据实际情况由厂方自测或委托有资质的环境监测单位监测，</w:t>
            </w:r>
            <w:r>
              <w:rPr>
                <w:rFonts w:hint="eastAsia" w:eastAsiaTheme="minorEastAsia"/>
                <w:bCs/>
                <w:color w:val="auto"/>
                <w:kern w:val="0"/>
                <w:sz w:val="24"/>
                <w:lang w:val="en-US" w:eastAsia="zh-CN" w:bidi="en-US"/>
              </w:rPr>
              <w:t>建设项目</w:t>
            </w:r>
            <w:r>
              <w:rPr>
                <w:rFonts w:hint="eastAsia" w:eastAsiaTheme="minorEastAsia"/>
                <w:bCs/>
                <w:color w:val="auto"/>
                <w:kern w:val="0"/>
                <w:sz w:val="24"/>
                <w:lang w:bidi="en-US"/>
              </w:rPr>
              <w:t>噪声监测计划表4.3-4</w:t>
            </w:r>
            <w:r>
              <w:rPr>
                <w:rFonts w:hint="eastAsia" w:eastAsiaTheme="minorEastAsia"/>
                <w:color w:val="auto"/>
                <w:kern w:val="0"/>
                <w:sz w:val="24"/>
              </w:rPr>
              <w:t>。</w:t>
            </w:r>
          </w:p>
          <w:p w14:paraId="278416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kern w:val="0"/>
                <w:sz w:val="24"/>
                <w:lang w:bidi="en-US"/>
              </w:rPr>
            </w:pPr>
          </w:p>
          <w:p w14:paraId="452D4D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kern w:val="0"/>
                <w:sz w:val="24"/>
                <w:lang w:bidi="en-US"/>
              </w:rPr>
            </w:pPr>
            <w:r>
              <w:rPr>
                <w:rFonts w:hint="eastAsia" w:eastAsiaTheme="minorEastAsia"/>
                <w:b/>
                <w:bCs/>
                <w:color w:val="auto"/>
                <w:kern w:val="0"/>
                <w:sz w:val="24"/>
                <w:lang w:bidi="en-US"/>
              </w:rPr>
              <w:t xml:space="preserve">表4.3-4  </w:t>
            </w:r>
            <w:r>
              <w:rPr>
                <w:rFonts w:hint="eastAsia" w:eastAsiaTheme="minorEastAsia"/>
                <w:b/>
                <w:bCs/>
                <w:color w:val="auto"/>
                <w:kern w:val="0"/>
                <w:sz w:val="24"/>
                <w:lang w:eastAsia="zh-CN" w:bidi="en-US"/>
              </w:rPr>
              <w:t>建设项目</w:t>
            </w:r>
            <w:r>
              <w:rPr>
                <w:rFonts w:hint="eastAsia" w:eastAsiaTheme="minorEastAsia"/>
                <w:b/>
                <w:bCs/>
                <w:color w:val="auto"/>
                <w:kern w:val="0"/>
                <w:sz w:val="24"/>
                <w:lang w:bidi="en-US"/>
              </w:rPr>
              <w:t>噪声监测计划表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2875"/>
              <w:gridCol w:w="2018"/>
              <w:gridCol w:w="1259"/>
              <w:gridCol w:w="7293"/>
            </w:tblGrid>
            <w:tr w14:paraId="581CC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55" w:hRule="atLeast"/>
              </w:trPr>
              <w:tc>
                <w:tcPr>
                  <w:tcW w:w="1069" w:type="pct"/>
                  <w:vAlign w:val="center"/>
                </w:tcPr>
                <w:p w14:paraId="66AE38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kern w:val="0"/>
                      <w:sz w:val="18"/>
                      <w:szCs w:val="18"/>
                      <w:lang w:bidi="en-US"/>
                    </w:rPr>
                  </w:pPr>
                  <w:r>
                    <w:rPr>
                      <w:rFonts w:hint="eastAsia" w:eastAsiaTheme="minorEastAsia"/>
                      <w:b/>
                      <w:bCs/>
                      <w:color w:val="auto"/>
                      <w:kern w:val="0"/>
                      <w:sz w:val="18"/>
                      <w:szCs w:val="18"/>
                      <w:lang w:bidi="en-US"/>
                    </w:rPr>
                    <w:t>监测点位</w:t>
                  </w:r>
                </w:p>
              </w:tc>
              <w:tc>
                <w:tcPr>
                  <w:tcW w:w="750" w:type="pct"/>
                  <w:vAlign w:val="center"/>
                </w:tcPr>
                <w:p w14:paraId="1069B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kern w:val="0"/>
                      <w:sz w:val="18"/>
                      <w:szCs w:val="18"/>
                      <w:lang w:bidi="en-US"/>
                    </w:rPr>
                  </w:pPr>
                  <w:r>
                    <w:rPr>
                      <w:rFonts w:hint="eastAsia" w:eastAsiaTheme="minorEastAsia"/>
                      <w:b/>
                      <w:bCs/>
                      <w:color w:val="auto"/>
                      <w:kern w:val="0"/>
                      <w:sz w:val="18"/>
                      <w:szCs w:val="18"/>
                      <w:lang w:bidi="en-US"/>
                    </w:rPr>
                    <w:t>监测指标</w:t>
                  </w:r>
                </w:p>
              </w:tc>
              <w:tc>
                <w:tcPr>
                  <w:tcW w:w="468" w:type="pct"/>
                  <w:vAlign w:val="center"/>
                </w:tcPr>
                <w:p w14:paraId="10E7AD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kern w:val="0"/>
                      <w:sz w:val="18"/>
                      <w:szCs w:val="18"/>
                      <w:lang w:bidi="en-US"/>
                    </w:rPr>
                  </w:pPr>
                  <w:r>
                    <w:rPr>
                      <w:rFonts w:hint="eastAsia" w:eastAsiaTheme="minorEastAsia"/>
                      <w:b/>
                      <w:bCs/>
                      <w:color w:val="auto"/>
                      <w:kern w:val="0"/>
                      <w:sz w:val="18"/>
                      <w:szCs w:val="18"/>
                      <w:lang w:bidi="en-US"/>
                    </w:rPr>
                    <w:t>监测频次</w:t>
                  </w:r>
                </w:p>
              </w:tc>
              <w:tc>
                <w:tcPr>
                  <w:tcW w:w="2711" w:type="pct"/>
                  <w:vAlign w:val="center"/>
                </w:tcPr>
                <w:p w14:paraId="5EC0C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kern w:val="0"/>
                      <w:sz w:val="18"/>
                      <w:szCs w:val="18"/>
                      <w:lang w:bidi="en-US"/>
                    </w:rPr>
                  </w:pPr>
                  <w:r>
                    <w:rPr>
                      <w:rFonts w:hint="eastAsia" w:eastAsiaTheme="minorEastAsia"/>
                      <w:b/>
                      <w:bCs/>
                      <w:color w:val="auto"/>
                      <w:kern w:val="0"/>
                      <w:sz w:val="18"/>
                      <w:szCs w:val="18"/>
                      <w:lang w:bidi="en-US"/>
                    </w:rPr>
                    <w:t>执行排放标准</w:t>
                  </w:r>
                </w:p>
              </w:tc>
            </w:tr>
            <w:tr w14:paraId="687EC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265" w:hRule="atLeast"/>
              </w:trPr>
              <w:tc>
                <w:tcPr>
                  <w:tcW w:w="1069" w:type="pct"/>
                  <w:vAlign w:val="center"/>
                </w:tcPr>
                <w:p w14:paraId="3D87DC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kern w:val="0"/>
                      <w:sz w:val="18"/>
                      <w:szCs w:val="18"/>
                      <w:lang w:bidi="en-US"/>
                    </w:rPr>
                  </w:pPr>
                  <w:r>
                    <w:rPr>
                      <w:rFonts w:hint="eastAsia" w:eastAsiaTheme="minorEastAsia"/>
                      <w:color w:val="auto"/>
                      <w:kern w:val="0"/>
                      <w:sz w:val="18"/>
                      <w:szCs w:val="18"/>
                      <w:lang w:val="en-US" w:eastAsia="zh-CN" w:bidi="en-US"/>
                    </w:rPr>
                    <w:t>厂界四周</w:t>
                  </w:r>
                </w:p>
              </w:tc>
              <w:tc>
                <w:tcPr>
                  <w:tcW w:w="750" w:type="pct"/>
                  <w:vAlign w:val="center"/>
                </w:tcPr>
                <w:p w14:paraId="172E11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kern w:val="0"/>
                      <w:sz w:val="18"/>
                      <w:szCs w:val="18"/>
                      <w:lang w:bidi="en-US"/>
                    </w:rPr>
                  </w:pPr>
                  <w:r>
                    <w:rPr>
                      <w:rFonts w:hint="eastAsia" w:eastAsiaTheme="minorEastAsia"/>
                      <w:color w:val="auto"/>
                      <w:kern w:val="0"/>
                      <w:sz w:val="18"/>
                      <w:szCs w:val="18"/>
                      <w:lang w:bidi="en-US"/>
                    </w:rPr>
                    <w:t>等效连续A声级</w:t>
                  </w:r>
                </w:p>
              </w:tc>
              <w:tc>
                <w:tcPr>
                  <w:tcW w:w="468" w:type="pct"/>
                  <w:vAlign w:val="center"/>
                </w:tcPr>
                <w:p w14:paraId="0FBB70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kern w:val="0"/>
                      <w:sz w:val="18"/>
                      <w:szCs w:val="18"/>
                      <w:lang w:bidi="en-US"/>
                    </w:rPr>
                  </w:pPr>
                  <w:r>
                    <w:rPr>
                      <w:rFonts w:hint="eastAsia" w:eastAsiaTheme="minorEastAsia"/>
                      <w:color w:val="auto"/>
                      <w:kern w:val="0"/>
                      <w:sz w:val="18"/>
                      <w:szCs w:val="18"/>
                      <w:lang w:bidi="en-US"/>
                    </w:rPr>
                    <w:t>1次/季度</w:t>
                  </w:r>
                </w:p>
              </w:tc>
              <w:tc>
                <w:tcPr>
                  <w:tcW w:w="2711" w:type="pct"/>
                  <w:vAlign w:val="center"/>
                </w:tcPr>
                <w:p w14:paraId="36FB82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kern w:val="0"/>
                      <w:sz w:val="18"/>
                      <w:szCs w:val="18"/>
                      <w:lang w:bidi="en-US"/>
                    </w:rPr>
                  </w:pPr>
                  <w:r>
                    <w:rPr>
                      <w:rFonts w:hint="eastAsia" w:eastAsiaTheme="minorEastAsia"/>
                      <w:color w:val="auto"/>
                      <w:kern w:val="0"/>
                      <w:sz w:val="18"/>
                      <w:szCs w:val="18"/>
                      <w:lang w:bidi="en-US"/>
                    </w:rPr>
                    <w:t>《工业企业厂界环境噪声排放标准》（GB12348-2008）中的</w:t>
                  </w:r>
                  <w:r>
                    <w:rPr>
                      <w:rFonts w:hint="eastAsia" w:eastAsiaTheme="minorEastAsia"/>
                      <w:color w:val="auto"/>
                      <w:kern w:val="0"/>
                      <w:sz w:val="18"/>
                      <w:szCs w:val="18"/>
                      <w:lang w:val="en-US" w:eastAsia="zh-CN" w:bidi="en-US"/>
                    </w:rPr>
                    <w:t>2</w:t>
                  </w:r>
                  <w:r>
                    <w:rPr>
                      <w:rFonts w:hint="eastAsia" w:eastAsiaTheme="minorEastAsia"/>
                      <w:color w:val="auto"/>
                      <w:kern w:val="0"/>
                      <w:sz w:val="18"/>
                      <w:szCs w:val="18"/>
                      <w:lang w:bidi="en-US"/>
                    </w:rPr>
                    <w:t>类标准</w:t>
                  </w:r>
                </w:p>
              </w:tc>
            </w:tr>
          </w:tbl>
          <w:p w14:paraId="010D5A4C">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157" w:beforeLines="50" w:beforeAutospacing="0" w:after="0" w:afterAutospacing="0"/>
              <w:ind w:left="0" w:leftChars="0" w:right="0" w:firstLine="482" w:firstLineChars="200"/>
              <w:textAlignment w:val="auto"/>
              <w:rPr>
                <w:rFonts w:hint="eastAsia"/>
                <w:b/>
                <w:bCs/>
                <w:color w:val="auto"/>
              </w:rPr>
            </w:pPr>
            <w:r>
              <w:rPr>
                <w:rFonts w:hint="eastAsia"/>
                <w:b/>
                <w:bCs/>
                <w:color w:val="auto"/>
              </w:rPr>
              <w:t>固体废物</w:t>
            </w:r>
          </w:p>
          <w:p w14:paraId="0C1C5319">
            <w:pPr>
              <w:keepNext w:val="0"/>
              <w:keepLines w:val="0"/>
              <w:suppressLineNumbers w:val="0"/>
              <w:bidi w:val="0"/>
              <w:spacing w:before="0" w:beforeAutospacing="0" w:after="0" w:afterAutospacing="0"/>
              <w:ind w:left="0" w:right="0"/>
              <w:rPr>
                <w:rFonts w:hint="eastAsia"/>
                <w:b/>
                <w:bCs/>
                <w:color w:val="auto"/>
              </w:rPr>
            </w:pPr>
            <w:r>
              <w:rPr>
                <w:rFonts w:hint="eastAsia"/>
                <w:b/>
                <w:bCs/>
                <w:color w:val="auto"/>
              </w:rPr>
              <w:t>4.1</w:t>
            </w:r>
            <w:r>
              <w:rPr>
                <w:rFonts w:hint="eastAsia"/>
                <w:b/>
                <w:bCs/>
                <w:color w:val="auto"/>
                <w:lang w:val="en-US" w:eastAsia="zh-CN"/>
              </w:rPr>
              <w:t xml:space="preserve"> </w:t>
            </w:r>
            <w:r>
              <w:rPr>
                <w:rFonts w:hint="eastAsia"/>
                <w:b/>
                <w:bCs/>
                <w:color w:val="auto"/>
              </w:rPr>
              <w:t>固体废物产生环节及源强分析</w:t>
            </w:r>
          </w:p>
          <w:p w14:paraId="3F5A73AB">
            <w:pPr>
              <w:keepNext w:val="0"/>
              <w:keepLines w:val="0"/>
              <w:suppressLineNumbers w:val="0"/>
              <w:bidi w:val="0"/>
              <w:spacing w:before="0" w:beforeAutospacing="0" w:after="0" w:afterAutospacing="0"/>
              <w:ind w:left="0" w:right="0"/>
              <w:rPr>
                <w:rFonts w:hint="eastAsia"/>
                <w:color w:val="auto"/>
              </w:rPr>
            </w:pPr>
            <w:r>
              <w:rPr>
                <w:rFonts w:hint="eastAsia"/>
                <w:color w:val="auto"/>
              </w:rPr>
              <w:t>根据《中华人民共和国固体废物污染环境防治法</w:t>
            </w:r>
            <w:r>
              <w:rPr>
                <w:rFonts w:hint="eastAsia"/>
                <w:color w:val="auto"/>
                <w:lang w:eastAsia="zh-CN"/>
              </w:rPr>
              <w:t>》《</w:t>
            </w:r>
            <w:r>
              <w:rPr>
                <w:rFonts w:hint="eastAsia"/>
                <w:color w:val="auto"/>
              </w:rPr>
              <w:t>固体废物鉴别标准通则》（GB34330-2017）的规定，判断</w:t>
            </w:r>
            <w:r>
              <w:rPr>
                <w:rFonts w:hint="eastAsia"/>
                <w:color w:val="auto"/>
                <w:lang w:eastAsia="zh-CN"/>
              </w:rPr>
              <w:t>建设项目</w:t>
            </w:r>
            <w:r>
              <w:rPr>
                <w:rFonts w:hint="eastAsia"/>
                <w:color w:val="auto"/>
              </w:rPr>
              <w:t>生产过程中产生的副产物是否属于固体废物。</w:t>
            </w:r>
            <w:r>
              <w:rPr>
                <w:rFonts w:hint="eastAsia"/>
                <w:color w:val="auto"/>
                <w:lang w:eastAsia="zh-CN"/>
              </w:rPr>
              <w:t>建设项目</w:t>
            </w:r>
            <w:r>
              <w:rPr>
                <w:rFonts w:hint="eastAsia"/>
                <w:color w:val="auto"/>
              </w:rPr>
              <w:t>固体废物的副产物属性判定分别见表4.4-1。</w:t>
            </w:r>
            <w:r>
              <w:rPr>
                <w:rFonts w:hint="eastAsia"/>
                <w:color w:val="auto"/>
                <w:lang w:eastAsia="zh-CN"/>
              </w:rPr>
              <w:t>建设项目</w:t>
            </w:r>
            <w:r>
              <w:rPr>
                <w:rFonts w:hint="eastAsia"/>
                <w:color w:val="auto"/>
              </w:rPr>
              <w:t>固体废物污染源源强核算结果及相关参数一览分别详见表4.4-2。</w:t>
            </w:r>
          </w:p>
          <w:p w14:paraId="5704DBD3">
            <w:pPr>
              <w:pStyle w:val="56"/>
              <w:keepNext w:val="0"/>
              <w:keepLines w:val="0"/>
              <w:suppressLineNumbers w:val="0"/>
              <w:spacing w:before="0" w:beforeAutospacing="0" w:after="0" w:afterAutospacing="0" w:line="240" w:lineRule="auto"/>
              <w:ind w:left="210" w:right="210"/>
              <w:rPr>
                <w:rFonts w:hint="eastAsia" w:ascii="Times New Roman" w:hAnsi="Times New Roman" w:cs="Times New Roman" w:eastAsiaTheme="minorEastAsia"/>
                <w:b/>
                <w:color w:val="auto"/>
                <w:sz w:val="24"/>
                <w:szCs w:val="24"/>
              </w:rPr>
            </w:pPr>
            <w:r>
              <w:rPr>
                <w:rFonts w:hint="eastAsia" w:ascii="Times New Roman" w:hAnsi="Times New Roman" w:cs="Times New Roman" w:eastAsiaTheme="minorEastAsia"/>
                <w:b/>
                <w:color w:val="auto"/>
                <w:sz w:val="24"/>
                <w:szCs w:val="24"/>
              </w:rPr>
              <w:t>表4.</w:t>
            </w:r>
            <w:r>
              <w:rPr>
                <w:rFonts w:hint="eastAsia" w:ascii="Times New Roman" w:hAnsi="Times New Roman" w:cs="Times New Roman" w:eastAsiaTheme="minorEastAsia"/>
                <w:b/>
                <w:color w:val="auto"/>
                <w:sz w:val="24"/>
                <w:szCs w:val="24"/>
                <w:lang w:val="en-US" w:eastAsia="zh-CN"/>
              </w:rPr>
              <w:t>4</w:t>
            </w:r>
            <w:r>
              <w:rPr>
                <w:rFonts w:hint="eastAsia" w:ascii="Times New Roman" w:hAnsi="Times New Roman" w:cs="Times New Roman" w:eastAsiaTheme="minorEastAsia"/>
                <w:b/>
                <w:color w:val="auto"/>
                <w:sz w:val="24"/>
                <w:szCs w:val="24"/>
              </w:rPr>
              <w:t>-1 建设项目固体废物产生情况汇总表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302"/>
              <w:gridCol w:w="1622"/>
              <w:gridCol w:w="990"/>
              <w:gridCol w:w="3324"/>
              <w:gridCol w:w="1183"/>
              <w:gridCol w:w="901"/>
              <w:gridCol w:w="858"/>
              <w:gridCol w:w="1698"/>
            </w:tblGrid>
            <w:tr w14:paraId="0C7F0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209" w:type="pct"/>
                  <w:vMerge w:val="restart"/>
                  <w:vAlign w:val="center"/>
                </w:tcPr>
                <w:p w14:paraId="78FCD5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序号</w:t>
                  </w:r>
                </w:p>
              </w:tc>
              <w:tc>
                <w:tcPr>
                  <w:tcW w:w="856" w:type="pct"/>
                  <w:vMerge w:val="restart"/>
                  <w:vAlign w:val="center"/>
                </w:tcPr>
                <w:p w14:paraId="066933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副产物名称</w:t>
                  </w:r>
                </w:p>
              </w:tc>
              <w:tc>
                <w:tcPr>
                  <w:tcW w:w="603" w:type="pct"/>
                  <w:vMerge w:val="restart"/>
                  <w:vAlign w:val="center"/>
                </w:tcPr>
                <w:p w14:paraId="7EA72F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产生工序</w:t>
                  </w:r>
                </w:p>
              </w:tc>
              <w:tc>
                <w:tcPr>
                  <w:tcW w:w="368" w:type="pct"/>
                  <w:vMerge w:val="restart"/>
                  <w:vAlign w:val="center"/>
                </w:tcPr>
                <w:p w14:paraId="328BC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形态</w:t>
                  </w:r>
                </w:p>
              </w:tc>
              <w:tc>
                <w:tcPr>
                  <w:tcW w:w="1236" w:type="pct"/>
                  <w:vMerge w:val="restart"/>
                  <w:vAlign w:val="center"/>
                </w:tcPr>
                <w:p w14:paraId="31B3D8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主要成分</w:t>
                  </w:r>
                </w:p>
              </w:tc>
              <w:tc>
                <w:tcPr>
                  <w:tcW w:w="440" w:type="pct"/>
                  <w:vMerge w:val="restart"/>
                  <w:vAlign w:val="center"/>
                </w:tcPr>
                <w:p w14:paraId="26E8D2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预测产生量（t/a）</w:t>
                  </w:r>
                </w:p>
              </w:tc>
              <w:tc>
                <w:tcPr>
                  <w:tcW w:w="1285" w:type="pct"/>
                  <w:gridSpan w:val="3"/>
                  <w:vAlign w:val="center"/>
                </w:tcPr>
                <w:p w14:paraId="70B94A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种类判断</w:t>
                  </w:r>
                </w:p>
              </w:tc>
            </w:tr>
            <w:tr w14:paraId="29B9A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Merge w:val="continue"/>
                  <w:vAlign w:val="center"/>
                </w:tcPr>
                <w:p w14:paraId="7D8FED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856" w:type="pct"/>
                  <w:vMerge w:val="continue"/>
                  <w:vAlign w:val="center"/>
                </w:tcPr>
                <w:p w14:paraId="3693BE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603" w:type="pct"/>
                  <w:vMerge w:val="continue"/>
                  <w:vAlign w:val="center"/>
                </w:tcPr>
                <w:p w14:paraId="4E7429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68" w:type="pct"/>
                  <w:vMerge w:val="continue"/>
                  <w:vAlign w:val="center"/>
                </w:tcPr>
                <w:p w14:paraId="76D4C3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1236" w:type="pct"/>
                  <w:vMerge w:val="continue"/>
                  <w:vAlign w:val="center"/>
                </w:tcPr>
                <w:p w14:paraId="610679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440" w:type="pct"/>
                  <w:vMerge w:val="continue"/>
                  <w:vAlign w:val="center"/>
                </w:tcPr>
                <w:p w14:paraId="6750C3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p>
              </w:tc>
              <w:tc>
                <w:tcPr>
                  <w:tcW w:w="335" w:type="pct"/>
                  <w:vAlign w:val="center"/>
                </w:tcPr>
                <w:p w14:paraId="3C8A86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固体废物</w:t>
                  </w:r>
                </w:p>
              </w:tc>
              <w:tc>
                <w:tcPr>
                  <w:tcW w:w="319" w:type="pct"/>
                  <w:vAlign w:val="center"/>
                </w:tcPr>
                <w:p w14:paraId="13674D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副产品</w:t>
                  </w:r>
                </w:p>
              </w:tc>
              <w:tc>
                <w:tcPr>
                  <w:tcW w:w="631" w:type="pct"/>
                  <w:vAlign w:val="center"/>
                </w:tcPr>
                <w:p w14:paraId="76C12F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b/>
                      <w:bCs/>
                      <w:color w:val="auto"/>
                      <w:sz w:val="18"/>
                      <w:szCs w:val="18"/>
                    </w:rPr>
                    <w:t>判定依据</w:t>
                  </w:r>
                </w:p>
              </w:tc>
            </w:tr>
            <w:tr w14:paraId="5B206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Align w:val="center"/>
                </w:tcPr>
                <w:p w14:paraId="3727F6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1</w:t>
                  </w:r>
                </w:p>
              </w:tc>
              <w:tc>
                <w:tcPr>
                  <w:tcW w:w="856" w:type="pct"/>
                  <w:vAlign w:val="center"/>
                </w:tcPr>
                <w:p w14:paraId="07AACC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生活垃圾</w:t>
                  </w:r>
                </w:p>
              </w:tc>
              <w:tc>
                <w:tcPr>
                  <w:tcW w:w="603" w:type="pct"/>
                  <w:vAlign w:val="center"/>
                </w:tcPr>
                <w:p w14:paraId="3C6934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日常生活</w:t>
                  </w:r>
                </w:p>
              </w:tc>
              <w:tc>
                <w:tcPr>
                  <w:tcW w:w="368" w:type="pct"/>
                  <w:vAlign w:val="center"/>
                </w:tcPr>
                <w:p w14:paraId="63DADD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1236" w:type="pct"/>
                  <w:vAlign w:val="center"/>
                </w:tcPr>
                <w:p w14:paraId="0A558E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纸屑、果皮</w:t>
                  </w:r>
                  <w:r>
                    <w:rPr>
                      <w:rFonts w:hint="default" w:ascii="Times New Roman" w:hAnsi="Times New Roman" w:cs="Times New Roman" w:eastAsiaTheme="minorEastAsia"/>
                      <w:color w:val="auto"/>
                      <w:sz w:val="18"/>
                      <w:szCs w:val="18"/>
                    </w:rPr>
                    <w:t>等</w:t>
                  </w:r>
                </w:p>
              </w:tc>
              <w:tc>
                <w:tcPr>
                  <w:tcW w:w="440" w:type="pct"/>
                  <w:vAlign w:val="center"/>
                </w:tcPr>
                <w:p w14:paraId="28FE47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7.5</w:t>
                  </w:r>
                </w:p>
              </w:tc>
              <w:tc>
                <w:tcPr>
                  <w:tcW w:w="335" w:type="pct"/>
                  <w:vAlign w:val="center"/>
                </w:tcPr>
                <w:p w14:paraId="4535F7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eastAsia="微软雅黑" w:cs="Times New Roman"/>
                      <w:color w:val="auto"/>
                      <w:sz w:val="18"/>
                      <w:szCs w:val="18"/>
                      <w:lang w:eastAsia="zh-CN"/>
                    </w:rPr>
                    <w:t>√</w:t>
                  </w:r>
                </w:p>
              </w:tc>
              <w:tc>
                <w:tcPr>
                  <w:tcW w:w="319" w:type="pct"/>
                  <w:vAlign w:val="center"/>
                </w:tcPr>
                <w:p w14:paraId="1CA063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631" w:type="pct"/>
                  <w:vMerge w:val="restart"/>
                  <w:vAlign w:val="center"/>
                </w:tcPr>
                <w:p w14:paraId="0109B5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《固体废物鉴别</w:t>
                  </w:r>
                  <w:r>
                    <w:rPr>
                      <w:rFonts w:hint="default" w:ascii="Times New Roman" w:hAnsi="Times New Roman" w:cs="Times New Roman" w:eastAsiaTheme="minorEastAsia"/>
                      <w:color w:val="auto"/>
                      <w:sz w:val="18"/>
                      <w:szCs w:val="18"/>
                      <w:lang w:val="en-US" w:eastAsia="zh-CN"/>
                    </w:rPr>
                    <w:t>标准 通则</w:t>
                  </w:r>
                  <w:r>
                    <w:rPr>
                      <w:rFonts w:hint="default" w:ascii="Times New Roman" w:hAnsi="Times New Roman" w:cs="Times New Roman" w:eastAsiaTheme="minorEastAsia"/>
                      <w:color w:val="auto"/>
                      <w:sz w:val="18"/>
                      <w:szCs w:val="18"/>
                    </w:rPr>
                    <w:t>》</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lang w:val="en-US" w:eastAsia="zh-CN"/>
                    </w:rPr>
                    <w:t>GB34330-2017</w:t>
                  </w:r>
                  <w:r>
                    <w:rPr>
                      <w:rFonts w:hint="default" w:ascii="Times New Roman" w:hAnsi="Times New Roman" w:cs="Times New Roman" w:eastAsiaTheme="minorEastAsia"/>
                      <w:color w:val="auto"/>
                      <w:sz w:val="18"/>
                      <w:szCs w:val="18"/>
                      <w:lang w:eastAsia="zh-CN"/>
                    </w:rPr>
                    <w:t>）</w:t>
                  </w:r>
                </w:p>
              </w:tc>
            </w:tr>
            <w:tr w14:paraId="3E87C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Align w:val="center"/>
                </w:tcPr>
                <w:p w14:paraId="44653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2</w:t>
                  </w:r>
                </w:p>
              </w:tc>
              <w:tc>
                <w:tcPr>
                  <w:tcW w:w="856" w:type="pct"/>
                  <w:vAlign w:val="center"/>
                </w:tcPr>
                <w:p w14:paraId="1E0C4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废反渗透膜</w:t>
                  </w:r>
                </w:p>
              </w:tc>
              <w:tc>
                <w:tcPr>
                  <w:tcW w:w="603" w:type="pct"/>
                  <w:vAlign w:val="center"/>
                </w:tcPr>
                <w:p w14:paraId="07CD1D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纯水制备</w:t>
                  </w:r>
                </w:p>
              </w:tc>
              <w:tc>
                <w:tcPr>
                  <w:tcW w:w="368" w:type="pct"/>
                  <w:vAlign w:val="center"/>
                </w:tcPr>
                <w:p w14:paraId="1C59C8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1236" w:type="pct"/>
                  <w:vAlign w:val="center"/>
                </w:tcPr>
                <w:p w14:paraId="3B305C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eastAsia="zh-CN"/>
                    </w:rPr>
                    <w:t>废</w:t>
                  </w:r>
                  <w:r>
                    <w:rPr>
                      <w:rFonts w:hint="default" w:ascii="Times New Roman" w:hAnsi="Times New Roman" w:cs="Times New Roman" w:eastAsiaTheme="minorEastAsia"/>
                      <w:color w:val="auto"/>
                      <w:sz w:val="18"/>
                      <w:szCs w:val="18"/>
                      <w:lang w:val="en-US" w:eastAsia="zh-CN"/>
                    </w:rPr>
                    <w:t>RO膜</w:t>
                  </w:r>
                </w:p>
              </w:tc>
              <w:tc>
                <w:tcPr>
                  <w:tcW w:w="440" w:type="pct"/>
                  <w:vAlign w:val="center"/>
                </w:tcPr>
                <w:p w14:paraId="34784D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0.05</w:t>
                  </w:r>
                </w:p>
              </w:tc>
              <w:tc>
                <w:tcPr>
                  <w:tcW w:w="335" w:type="pct"/>
                  <w:vAlign w:val="center"/>
                </w:tcPr>
                <w:p w14:paraId="01FAB2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eastAsia="微软雅黑" w:cs="Times New Roman"/>
                      <w:color w:val="auto"/>
                      <w:sz w:val="18"/>
                      <w:szCs w:val="18"/>
                      <w:lang w:eastAsia="zh-CN"/>
                    </w:rPr>
                    <w:t>√</w:t>
                  </w:r>
                </w:p>
              </w:tc>
              <w:tc>
                <w:tcPr>
                  <w:tcW w:w="319" w:type="pct"/>
                  <w:vAlign w:val="center"/>
                </w:tcPr>
                <w:p w14:paraId="515A13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631" w:type="pct"/>
                  <w:vMerge w:val="continue"/>
                  <w:vAlign w:val="center"/>
                </w:tcPr>
                <w:p w14:paraId="233025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r>
            <w:tr w14:paraId="06CED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Align w:val="center"/>
                </w:tcPr>
                <w:p w14:paraId="332DB6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3</w:t>
                  </w:r>
                </w:p>
              </w:tc>
              <w:tc>
                <w:tcPr>
                  <w:tcW w:w="856" w:type="pct"/>
                  <w:vAlign w:val="center"/>
                </w:tcPr>
                <w:p w14:paraId="4F578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化粪池污泥</w:t>
                  </w:r>
                </w:p>
              </w:tc>
              <w:tc>
                <w:tcPr>
                  <w:tcW w:w="603" w:type="pct"/>
                  <w:vAlign w:val="center"/>
                </w:tcPr>
                <w:p w14:paraId="66860B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生活污水处理</w:t>
                  </w:r>
                </w:p>
              </w:tc>
              <w:tc>
                <w:tcPr>
                  <w:tcW w:w="368" w:type="pct"/>
                  <w:vAlign w:val="center"/>
                </w:tcPr>
                <w:p w14:paraId="7B5D4F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半固态</w:t>
                  </w:r>
                </w:p>
              </w:tc>
              <w:tc>
                <w:tcPr>
                  <w:tcW w:w="1236" w:type="pct"/>
                  <w:vAlign w:val="center"/>
                </w:tcPr>
                <w:p w14:paraId="42F2AC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污泥、水、杂质</w:t>
                  </w:r>
                </w:p>
              </w:tc>
              <w:tc>
                <w:tcPr>
                  <w:tcW w:w="440" w:type="pct"/>
                  <w:vAlign w:val="center"/>
                </w:tcPr>
                <w:p w14:paraId="379B7D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4.5</w:t>
                  </w:r>
                </w:p>
              </w:tc>
              <w:tc>
                <w:tcPr>
                  <w:tcW w:w="335" w:type="pct"/>
                  <w:vAlign w:val="center"/>
                </w:tcPr>
                <w:p w14:paraId="75E8E9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eastAsia="微软雅黑" w:cs="Times New Roman"/>
                      <w:color w:val="auto"/>
                      <w:sz w:val="18"/>
                      <w:szCs w:val="18"/>
                      <w:lang w:eastAsia="zh-CN"/>
                    </w:rPr>
                    <w:t>√</w:t>
                  </w:r>
                </w:p>
              </w:tc>
              <w:tc>
                <w:tcPr>
                  <w:tcW w:w="319" w:type="pct"/>
                  <w:vAlign w:val="center"/>
                </w:tcPr>
                <w:p w14:paraId="459797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631" w:type="pct"/>
                  <w:vMerge w:val="continue"/>
                  <w:vAlign w:val="center"/>
                </w:tcPr>
                <w:p w14:paraId="082902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r>
            <w:tr w14:paraId="4C289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Align w:val="center"/>
                </w:tcPr>
                <w:p w14:paraId="4D6B94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4</w:t>
                  </w:r>
                </w:p>
              </w:tc>
              <w:tc>
                <w:tcPr>
                  <w:tcW w:w="856" w:type="pct"/>
                  <w:vAlign w:val="center"/>
                </w:tcPr>
                <w:p w14:paraId="2157DC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（感染性废物）</w:t>
                  </w:r>
                </w:p>
              </w:tc>
              <w:tc>
                <w:tcPr>
                  <w:tcW w:w="603" w:type="pct"/>
                  <w:vAlign w:val="center"/>
                </w:tcPr>
                <w:p w14:paraId="0BF7FC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实验室检验</w:t>
                  </w:r>
                </w:p>
              </w:tc>
              <w:tc>
                <w:tcPr>
                  <w:tcW w:w="368" w:type="pct"/>
                  <w:vAlign w:val="center"/>
                </w:tcPr>
                <w:p w14:paraId="0B4148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固态</w:t>
                  </w:r>
                  <w:r>
                    <w:rPr>
                      <w:rFonts w:hint="default" w:ascii="Times New Roman" w:hAnsi="Times New Roman" w:cs="Times New Roman" w:eastAsiaTheme="minorEastAsia"/>
                      <w:color w:val="auto"/>
                      <w:sz w:val="18"/>
                      <w:szCs w:val="18"/>
                      <w:lang w:val="en-US" w:eastAsia="zh-CN"/>
                    </w:rPr>
                    <w:t>/液态</w:t>
                  </w:r>
                </w:p>
              </w:tc>
              <w:tc>
                <w:tcPr>
                  <w:tcW w:w="1236" w:type="pct"/>
                  <w:vAlign w:val="center"/>
                </w:tcPr>
                <w:p w14:paraId="19A34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一次性实验服、帽子、口罩及手套</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废移液管吸头、消毒纱布</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各种废液</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试剂配置废液、检测废液</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废弃的血液、血清</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废弃医学样本</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废培养基</w:t>
                  </w:r>
                </w:p>
              </w:tc>
              <w:tc>
                <w:tcPr>
                  <w:tcW w:w="440" w:type="pct"/>
                  <w:vAlign w:val="center"/>
                </w:tcPr>
                <w:p w14:paraId="104D8D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0.5</w:t>
                  </w:r>
                </w:p>
              </w:tc>
              <w:tc>
                <w:tcPr>
                  <w:tcW w:w="335" w:type="pct"/>
                  <w:vAlign w:val="center"/>
                </w:tcPr>
                <w:p w14:paraId="15E412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eastAsia="微软雅黑" w:cs="Times New Roman"/>
                      <w:color w:val="auto"/>
                      <w:sz w:val="18"/>
                      <w:szCs w:val="18"/>
                      <w:lang w:eastAsia="zh-CN"/>
                    </w:rPr>
                    <w:t>√</w:t>
                  </w:r>
                </w:p>
              </w:tc>
              <w:tc>
                <w:tcPr>
                  <w:tcW w:w="319" w:type="pct"/>
                  <w:vAlign w:val="center"/>
                </w:tcPr>
                <w:p w14:paraId="542D3E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631" w:type="pct"/>
                  <w:vMerge w:val="continue"/>
                  <w:vAlign w:val="center"/>
                </w:tcPr>
                <w:p w14:paraId="1A2B7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r>
            <w:tr w14:paraId="0C4D0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Align w:val="center"/>
                </w:tcPr>
                <w:p w14:paraId="64E968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5</w:t>
                  </w:r>
                </w:p>
              </w:tc>
              <w:tc>
                <w:tcPr>
                  <w:tcW w:w="856" w:type="pct"/>
                  <w:vAlign w:val="center"/>
                </w:tcPr>
                <w:p w14:paraId="1142B6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（损伤性废物）</w:t>
                  </w:r>
                </w:p>
              </w:tc>
              <w:tc>
                <w:tcPr>
                  <w:tcW w:w="603" w:type="pct"/>
                  <w:vAlign w:val="center"/>
                </w:tcPr>
                <w:p w14:paraId="719AB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实验室检验</w:t>
                  </w:r>
                </w:p>
              </w:tc>
              <w:tc>
                <w:tcPr>
                  <w:tcW w:w="368" w:type="pct"/>
                  <w:vAlign w:val="center"/>
                </w:tcPr>
                <w:p w14:paraId="59DDFA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rPr>
                    <w:t>固态</w:t>
                  </w:r>
                </w:p>
              </w:tc>
              <w:tc>
                <w:tcPr>
                  <w:tcW w:w="1236" w:type="pct"/>
                  <w:vAlign w:val="center"/>
                </w:tcPr>
                <w:p w14:paraId="6D3281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废弃的注射器、各种针头、</w:t>
                  </w:r>
                  <w:r>
                    <w:rPr>
                      <w:rFonts w:hint="default" w:ascii="Times New Roman" w:hAnsi="Times New Roman" w:cs="Times New Roman" w:eastAsiaTheme="minorEastAsia"/>
                      <w:color w:val="auto"/>
                      <w:sz w:val="18"/>
                      <w:szCs w:val="18"/>
                    </w:rPr>
                    <w:t>载玻片、玻璃试管等</w:t>
                  </w:r>
                </w:p>
              </w:tc>
              <w:tc>
                <w:tcPr>
                  <w:tcW w:w="440" w:type="pct"/>
                  <w:vAlign w:val="center"/>
                </w:tcPr>
                <w:p w14:paraId="3A99E8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0.3</w:t>
                  </w:r>
                </w:p>
              </w:tc>
              <w:tc>
                <w:tcPr>
                  <w:tcW w:w="335" w:type="pct"/>
                  <w:vAlign w:val="center"/>
                </w:tcPr>
                <w:p w14:paraId="701FF0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微软雅黑" w:cs="Times New Roman"/>
                      <w:color w:val="auto"/>
                      <w:sz w:val="18"/>
                      <w:szCs w:val="18"/>
                      <w:lang w:eastAsia="zh-CN"/>
                    </w:rPr>
                  </w:pPr>
                  <w:r>
                    <w:rPr>
                      <w:rFonts w:hint="default" w:ascii="Times New Roman" w:hAnsi="Times New Roman" w:eastAsia="微软雅黑" w:cs="Times New Roman"/>
                      <w:color w:val="auto"/>
                      <w:sz w:val="18"/>
                      <w:szCs w:val="18"/>
                      <w:lang w:eastAsia="zh-CN"/>
                    </w:rPr>
                    <w:t>√</w:t>
                  </w:r>
                </w:p>
              </w:tc>
              <w:tc>
                <w:tcPr>
                  <w:tcW w:w="319" w:type="pct"/>
                  <w:vAlign w:val="center"/>
                </w:tcPr>
                <w:p w14:paraId="0254EE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631" w:type="pct"/>
                  <w:vMerge w:val="continue"/>
                  <w:vAlign w:val="center"/>
                </w:tcPr>
                <w:p w14:paraId="151B77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r>
            <w:tr w14:paraId="11F62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Align w:val="center"/>
                </w:tcPr>
                <w:p w14:paraId="5AB669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6</w:t>
                  </w:r>
                </w:p>
              </w:tc>
              <w:tc>
                <w:tcPr>
                  <w:tcW w:w="856" w:type="pct"/>
                  <w:vAlign w:val="center"/>
                </w:tcPr>
                <w:p w14:paraId="272E1E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（病理性废物）</w:t>
                  </w:r>
                </w:p>
              </w:tc>
              <w:tc>
                <w:tcPr>
                  <w:tcW w:w="603" w:type="pct"/>
                  <w:vAlign w:val="center"/>
                </w:tcPr>
                <w:p w14:paraId="063C67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实验室检验</w:t>
                  </w:r>
                </w:p>
              </w:tc>
              <w:tc>
                <w:tcPr>
                  <w:tcW w:w="368" w:type="pct"/>
                  <w:vAlign w:val="center"/>
                </w:tcPr>
                <w:p w14:paraId="62250E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1236" w:type="pct"/>
                  <w:vAlign w:val="center"/>
                </w:tcPr>
                <w:p w14:paraId="0CF327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废弃的人体组织、病死动物、</w:t>
                  </w:r>
                  <w:r>
                    <w:rPr>
                      <w:rFonts w:hint="eastAsia" w:cs="Times New Roman" w:eastAsiaTheme="minorEastAsia"/>
                      <w:color w:val="auto"/>
                      <w:sz w:val="18"/>
                      <w:szCs w:val="18"/>
                      <w:lang w:eastAsia="zh-CN"/>
                    </w:rPr>
                    <w:t>尸</w:t>
                  </w:r>
                  <w:r>
                    <w:rPr>
                      <w:rFonts w:hint="default" w:ascii="Times New Roman" w:hAnsi="Times New Roman" w:cs="Times New Roman" w:eastAsiaTheme="minorEastAsia"/>
                      <w:color w:val="auto"/>
                      <w:sz w:val="18"/>
                      <w:szCs w:val="18"/>
                      <w:lang w:eastAsia="zh-CN"/>
                    </w:rPr>
                    <w:t>块等</w:t>
                  </w:r>
                </w:p>
              </w:tc>
              <w:tc>
                <w:tcPr>
                  <w:tcW w:w="440" w:type="pct"/>
                  <w:vAlign w:val="center"/>
                </w:tcPr>
                <w:p w14:paraId="239CD8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0.15</w:t>
                  </w:r>
                </w:p>
              </w:tc>
              <w:tc>
                <w:tcPr>
                  <w:tcW w:w="335" w:type="pct"/>
                  <w:vAlign w:val="center"/>
                </w:tcPr>
                <w:p w14:paraId="2C89DE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微软雅黑" w:cs="Times New Roman"/>
                      <w:color w:val="auto"/>
                      <w:sz w:val="18"/>
                      <w:szCs w:val="18"/>
                      <w:lang w:eastAsia="zh-CN"/>
                    </w:rPr>
                  </w:pPr>
                  <w:r>
                    <w:rPr>
                      <w:rFonts w:hint="default" w:ascii="Times New Roman" w:hAnsi="Times New Roman" w:eastAsia="微软雅黑" w:cs="Times New Roman"/>
                      <w:color w:val="auto"/>
                      <w:sz w:val="18"/>
                      <w:szCs w:val="18"/>
                      <w:lang w:eastAsia="zh-CN"/>
                    </w:rPr>
                    <w:t>√</w:t>
                  </w:r>
                </w:p>
              </w:tc>
              <w:tc>
                <w:tcPr>
                  <w:tcW w:w="319" w:type="pct"/>
                  <w:vAlign w:val="center"/>
                </w:tcPr>
                <w:p w14:paraId="115761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631" w:type="pct"/>
                  <w:vMerge w:val="continue"/>
                  <w:vAlign w:val="center"/>
                </w:tcPr>
                <w:p w14:paraId="179BE6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r>
            <w:tr w14:paraId="0DFA8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Align w:val="center"/>
                </w:tcPr>
                <w:p w14:paraId="700BA8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w:t>
                  </w:r>
                </w:p>
              </w:tc>
              <w:tc>
                <w:tcPr>
                  <w:tcW w:w="856" w:type="pct"/>
                  <w:vAlign w:val="center"/>
                </w:tcPr>
                <w:p w14:paraId="1F172A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（化学性废物）</w:t>
                  </w:r>
                </w:p>
              </w:tc>
              <w:tc>
                <w:tcPr>
                  <w:tcW w:w="603" w:type="pct"/>
                  <w:vAlign w:val="center"/>
                </w:tcPr>
                <w:p w14:paraId="797533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实验室检验</w:t>
                  </w:r>
                </w:p>
              </w:tc>
              <w:tc>
                <w:tcPr>
                  <w:tcW w:w="368" w:type="pct"/>
                  <w:vAlign w:val="center"/>
                </w:tcPr>
                <w:p w14:paraId="5A672B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液态</w:t>
                  </w:r>
                </w:p>
              </w:tc>
              <w:tc>
                <w:tcPr>
                  <w:tcW w:w="1236" w:type="pct"/>
                  <w:vAlign w:val="center"/>
                </w:tcPr>
                <w:p w14:paraId="0B9AA2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废弃的化学试剂、溶剂等</w:t>
                  </w:r>
                </w:p>
              </w:tc>
              <w:tc>
                <w:tcPr>
                  <w:tcW w:w="440" w:type="pct"/>
                  <w:vAlign w:val="center"/>
                </w:tcPr>
                <w:p w14:paraId="6BF4DE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0.01</w:t>
                  </w:r>
                </w:p>
              </w:tc>
              <w:tc>
                <w:tcPr>
                  <w:tcW w:w="335" w:type="pct"/>
                  <w:vAlign w:val="center"/>
                </w:tcPr>
                <w:p w14:paraId="69EE79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微软雅黑" w:cs="Times New Roman"/>
                      <w:color w:val="auto"/>
                      <w:sz w:val="18"/>
                      <w:szCs w:val="18"/>
                      <w:lang w:eastAsia="zh-CN"/>
                    </w:rPr>
                  </w:pPr>
                  <w:r>
                    <w:rPr>
                      <w:rFonts w:hint="default" w:ascii="Times New Roman" w:hAnsi="Times New Roman" w:eastAsia="微软雅黑" w:cs="Times New Roman"/>
                      <w:color w:val="auto"/>
                      <w:sz w:val="18"/>
                      <w:szCs w:val="18"/>
                      <w:lang w:eastAsia="zh-CN"/>
                    </w:rPr>
                    <w:t>√</w:t>
                  </w:r>
                </w:p>
              </w:tc>
              <w:tc>
                <w:tcPr>
                  <w:tcW w:w="319" w:type="pct"/>
                  <w:vAlign w:val="center"/>
                </w:tcPr>
                <w:p w14:paraId="5122C3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631" w:type="pct"/>
                  <w:vMerge w:val="continue"/>
                  <w:vAlign w:val="center"/>
                </w:tcPr>
                <w:p w14:paraId="18CCF5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r>
            <w:tr w14:paraId="37F2F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Align w:val="center"/>
                </w:tcPr>
                <w:p w14:paraId="427EE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8</w:t>
                  </w:r>
                </w:p>
              </w:tc>
              <w:tc>
                <w:tcPr>
                  <w:tcW w:w="856" w:type="pct"/>
                  <w:vAlign w:val="center"/>
                </w:tcPr>
                <w:p w14:paraId="41A1DF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（药物性废物）</w:t>
                  </w:r>
                </w:p>
              </w:tc>
              <w:tc>
                <w:tcPr>
                  <w:tcW w:w="603" w:type="pct"/>
                  <w:vAlign w:val="center"/>
                </w:tcPr>
                <w:p w14:paraId="6D8EBD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实验室检验</w:t>
                  </w:r>
                </w:p>
              </w:tc>
              <w:tc>
                <w:tcPr>
                  <w:tcW w:w="368" w:type="pct"/>
                  <w:vAlign w:val="center"/>
                </w:tcPr>
                <w:p w14:paraId="516E5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半</w:t>
                  </w:r>
                  <w:r>
                    <w:rPr>
                      <w:rFonts w:hint="default" w:ascii="Times New Roman" w:hAnsi="Times New Roman" w:cs="Times New Roman" w:eastAsiaTheme="minorEastAsia"/>
                      <w:color w:val="auto"/>
                      <w:sz w:val="18"/>
                      <w:szCs w:val="18"/>
                    </w:rPr>
                    <w:t>固态</w:t>
                  </w:r>
                </w:p>
              </w:tc>
              <w:tc>
                <w:tcPr>
                  <w:tcW w:w="1236" w:type="pct"/>
                  <w:vAlign w:val="center"/>
                </w:tcPr>
                <w:p w14:paraId="2A6EA1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过期药品及血液制品</w:t>
                  </w:r>
                  <w:r>
                    <w:rPr>
                      <w:rFonts w:hint="default" w:ascii="Times New Roman" w:hAnsi="Times New Roman" w:cs="Times New Roman" w:eastAsiaTheme="minorEastAsia"/>
                      <w:color w:val="auto"/>
                      <w:sz w:val="18"/>
                      <w:szCs w:val="18"/>
                      <w:lang w:eastAsia="zh-CN"/>
                    </w:rPr>
                    <w:t>等</w:t>
                  </w:r>
                </w:p>
              </w:tc>
              <w:tc>
                <w:tcPr>
                  <w:tcW w:w="440" w:type="pct"/>
                  <w:vAlign w:val="center"/>
                </w:tcPr>
                <w:p w14:paraId="0113E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0.02</w:t>
                  </w:r>
                </w:p>
              </w:tc>
              <w:tc>
                <w:tcPr>
                  <w:tcW w:w="335" w:type="pct"/>
                  <w:vAlign w:val="center"/>
                </w:tcPr>
                <w:p w14:paraId="5FB5DD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微软雅黑" w:cs="Times New Roman"/>
                      <w:color w:val="auto"/>
                      <w:sz w:val="18"/>
                      <w:szCs w:val="18"/>
                      <w:lang w:eastAsia="zh-CN"/>
                    </w:rPr>
                  </w:pPr>
                  <w:r>
                    <w:rPr>
                      <w:rFonts w:hint="default" w:ascii="Times New Roman" w:hAnsi="Times New Roman" w:eastAsia="微软雅黑" w:cs="Times New Roman"/>
                      <w:color w:val="auto"/>
                      <w:sz w:val="18"/>
                      <w:szCs w:val="18"/>
                      <w:lang w:eastAsia="zh-CN"/>
                    </w:rPr>
                    <w:t>√</w:t>
                  </w:r>
                </w:p>
              </w:tc>
              <w:tc>
                <w:tcPr>
                  <w:tcW w:w="319" w:type="pct"/>
                  <w:vAlign w:val="center"/>
                </w:tcPr>
                <w:p w14:paraId="14E0ED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631" w:type="pct"/>
                  <w:vMerge w:val="continue"/>
                  <w:vAlign w:val="center"/>
                </w:tcPr>
                <w:p w14:paraId="5DB43B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r>
            <w:tr w14:paraId="515DB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Align w:val="center"/>
                </w:tcPr>
                <w:p w14:paraId="793EF0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9</w:t>
                  </w:r>
                </w:p>
              </w:tc>
              <w:tc>
                <w:tcPr>
                  <w:tcW w:w="856" w:type="pct"/>
                  <w:vAlign w:val="center"/>
                </w:tcPr>
                <w:p w14:paraId="76F6C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污水处理站</w:t>
                  </w:r>
                  <w:r>
                    <w:rPr>
                      <w:rFonts w:hint="default" w:ascii="Times New Roman" w:hAnsi="Times New Roman" w:cs="Times New Roman" w:eastAsiaTheme="minorEastAsia"/>
                      <w:color w:val="auto"/>
                      <w:sz w:val="18"/>
                      <w:szCs w:val="18"/>
                    </w:rPr>
                    <w:t>污泥</w:t>
                  </w:r>
                </w:p>
              </w:tc>
              <w:tc>
                <w:tcPr>
                  <w:tcW w:w="603" w:type="pct"/>
                  <w:vAlign w:val="center"/>
                </w:tcPr>
                <w:p w14:paraId="1AE65A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医疗</w:t>
                  </w:r>
                  <w:r>
                    <w:rPr>
                      <w:rFonts w:hint="default" w:ascii="Times New Roman" w:hAnsi="Times New Roman" w:cs="Times New Roman" w:eastAsiaTheme="minorEastAsia"/>
                      <w:color w:val="auto"/>
                      <w:sz w:val="18"/>
                      <w:szCs w:val="18"/>
                    </w:rPr>
                    <w:t>污水处理</w:t>
                  </w:r>
                </w:p>
              </w:tc>
              <w:tc>
                <w:tcPr>
                  <w:tcW w:w="368" w:type="pct"/>
                  <w:vAlign w:val="center"/>
                </w:tcPr>
                <w:p w14:paraId="2B5EB9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半</w:t>
                  </w:r>
                  <w:r>
                    <w:rPr>
                      <w:rFonts w:hint="default" w:ascii="Times New Roman" w:hAnsi="Times New Roman" w:cs="Times New Roman" w:eastAsiaTheme="minorEastAsia"/>
                      <w:color w:val="auto"/>
                      <w:sz w:val="18"/>
                      <w:szCs w:val="18"/>
                    </w:rPr>
                    <w:t>固态</w:t>
                  </w:r>
                </w:p>
              </w:tc>
              <w:tc>
                <w:tcPr>
                  <w:tcW w:w="1236" w:type="pct"/>
                  <w:vAlign w:val="center"/>
                </w:tcPr>
                <w:p w14:paraId="615886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eastAsia="zh-CN"/>
                    </w:rPr>
                    <w:t>污泥、水、杂质、病菌</w:t>
                  </w:r>
                  <w:r>
                    <w:rPr>
                      <w:rFonts w:hint="default" w:ascii="Times New Roman" w:hAnsi="Times New Roman" w:cs="Times New Roman" w:eastAsiaTheme="minorEastAsia"/>
                      <w:color w:val="auto"/>
                      <w:sz w:val="18"/>
                      <w:szCs w:val="18"/>
                    </w:rPr>
                    <w:t>等</w:t>
                  </w:r>
                </w:p>
              </w:tc>
              <w:tc>
                <w:tcPr>
                  <w:tcW w:w="440" w:type="pct"/>
                  <w:vAlign w:val="center"/>
                </w:tcPr>
                <w:p w14:paraId="7779A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0.283</w:t>
                  </w:r>
                </w:p>
              </w:tc>
              <w:tc>
                <w:tcPr>
                  <w:tcW w:w="335" w:type="pct"/>
                  <w:vAlign w:val="center"/>
                </w:tcPr>
                <w:p w14:paraId="00E66A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eastAsia="微软雅黑" w:cs="Times New Roman"/>
                      <w:color w:val="auto"/>
                      <w:sz w:val="18"/>
                      <w:szCs w:val="18"/>
                      <w:lang w:eastAsia="zh-CN"/>
                    </w:rPr>
                    <w:t>√</w:t>
                  </w:r>
                </w:p>
              </w:tc>
              <w:tc>
                <w:tcPr>
                  <w:tcW w:w="319" w:type="pct"/>
                  <w:vAlign w:val="center"/>
                </w:tcPr>
                <w:p w14:paraId="0DE91E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631" w:type="pct"/>
                  <w:vMerge w:val="continue"/>
                  <w:vAlign w:val="center"/>
                </w:tcPr>
                <w:p w14:paraId="3E804F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r>
            <w:tr w14:paraId="66288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9" w:type="pct"/>
                  <w:vAlign w:val="center"/>
                </w:tcPr>
                <w:p w14:paraId="0F8BB5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10</w:t>
                  </w:r>
                </w:p>
              </w:tc>
              <w:tc>
                <w:tcPr>
                  <w:tcW w:w="856" w:type="pct"/>
                  <w:vAlign w:val="center"/>
                </w:tcPr>
                <w:p w14:paraId="3217B1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rPr>
                    <w:t>废</w:t>
                  </w:r>
                  <w:r>
                    <w:rPr>
                      <w:rFonts w:hint="default" w:ascii="Times New Roman" w:hAnsi="Times New Roman" w:cs="Times New Roman" w:eastAsiaTheme="minorEastAsia"/>
                      <w:color w:val="auto"/>
                      <w:sz w:val="18"/>
                      <w:szCs w:val="18"/>
                      <w:lang w:eastAsia="zh-CN"/>
                    </w:rPr>
                    <w:t>活性炭</w:t>
                  </w:r>
                </w:p>
              </w:tc>
              <w:tc>
                <w:tcPr>
                  <w:tcW w:w="603" w:type="pct"/>
                  <w:vAlign w:val="center"/>
                </w:tcPr>
                <w:p w14:paraId="4039CD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有机废气处理</w:t>
                  </w:r>
                </w:p>
              </w:tc>
              <w:tc>
                <w:tcPr>
                  <w:tcW w:w="368" w:type="pct"/>
                  <w:vAlign w:val="center"/>
                </w:tcPr>
                <w:p w14:paraId="5296B4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1236" w:type="pct"/>
                  <w:vAlign w:val="center"/>
                </w:tcPr>
                <w:p w14:paraId="472DCA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t>活性炭、有机物</w:t>
                  </w:r>
                </w:p>
              </w:tc>
              <w:tc>
                <w:tcPr>
                  <w:tcW w:w="440" w:type="pct"/>
                  <w:vAlign w:val="center"/>
                </w:tcPr>
                <w:p w14:paraId="60B47F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1.909</w:t>
                  </w:r>
                </w:p>
              </w:tc>
              <w:tc>
                <w:tcPr>
                  <w:tcW w:w="335" w:type="pct"/>
                  <w:vAlign w:val="center"/>
                </w:tcPr>
                <w:p w14:paraId="2E798F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eastAsia="微软雅黑" w:cs="Times New Roman"/>
                      <w:color w:val="auto"/>
                      <w:sz w:val="18"/>
                      <w:szCs w:val="18"/>
                      <w:lang w:eastAsia="zh-CN"/>
                    </w:rPr>
                    <w:t>√</w:t>
                  </w:r>
                </w:p>
              </w:tc>
              <w:tc>
                <w:tcPr>
                  <w:tcW w:w="319" w:type="pct"/>
                  <w:vAlign w:val="center"/>
                </w:tcPr>
                <w:p w14:paraId="11040D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w:t>
                  </w:r>
                </w:p>
              </w:tc>
              <w:tc>
                <w:tcPr>
                  <w:tcW w:w="631" w:type="pct"/>
                  <w:vMerge w:val="continue"/>
                  <w:vAlign w:val="center"/>
                </w:tcPr>
                <w:p w14:paraId="34F6DF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18"/>
                      <w:szCs w:val="18"/>
                    </w:rPr>
                  </w:pPr>
                </w:p>
              </w:tc>
            </w:tr>
          </w:tbl>
          <w:p w14:paraId="38490A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rPr>
            </w:pPr>
          </w:p>
          <w:p w14:paraId="6640D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Cs w:val="21"/>
              </w:rPr>
            </w:pPr>
            <w:r>
              <w:rPr>
                <w:rFonts w:hint="eastAsia" w:eastAsiaTheme="minorEastAsia"/>
                <w:b/>
                <w:color w:val="auto"/>
              </w:rPr>
              <w:t>表</w:t>
            </w:r>
            <w:r>
              <w:rPr>
                <w:rFonts w:hint="eastAsia" w:eastAsiaTheme="minorEastAsia"/>
                <w:b/>
                <w:color w:val="auto"/>
                <w:szCs w:val="21"/>
              </w:rPr>
              <w:t>4.</w:t>
            </w:r>
            <w:r>
              <w:rPr>
                <w:rFonts w:hint="eastAsia" w:eastAsiaTheme="minorEastAsia"/>
                <w:b/>
                <w:color w:val="auto"/>
                <w:szCs w:val="21"/>
                <w:lang w:val="en-US" w:eastAsia="zh-CN"/>
              </w:rPr>
              <w:t>4</w:t>
            </w:r>
            <w:r>
              <w:rPr>
                <w:rFonts w:hint="eastAsia" w:eastAsiaTheme="minorEastAsia"/>
                <w:b/>
                <w:color w:val="auto"/>
                <w:szCs w:val="21"/>
              </w:rPr>
              <w:t>-2</w:t>
            </w:r>
            <w:r>
              <w:rPr>
                <w:rFonts w:hint="eastAsia" w:eastAsiaTheme="minorEastAsia"/>
                <w:b/>
                <w:bCs/>
                <w:color w:val="auto"/>
                <w:szCs w:val="21"/>
              </w:rPr>
              <w:t xml:space="preserve"> 项目营运期固体废物分析结果汇总表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71"/>
              <w:gridCol w:w="1126"/>
              <w:gridCol w:w="607"/>
              <w:gridCol w:w="653"/>
              <w:gridCol w:w="676"/>
              <w:gridCol w:w="2587"/>
              <w:gridCol w:w="1163"/>
              <w:gridCol w:w="950"/>
              <w:gridCol w:w="962"/>
              <w:gridCol w:w="1358"/>
              <w:gridCol w:w="1586"/>
              <w:gridCol w:w="1390"/>
            </w:tblGrid>
            <w:tr w14:paraId="61EDD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138" w:type="pct"/>
                  <w:vAlign w:val="center"/>
                </w:tcPr>
                <w:p w14:paraId="0D52D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序号</w:t>
                  </w:r>
                </w:p>
              </w:tc>
              <w:tc>
                <w:tcPr>
                  <w:tcW w:w="419" w:type="pct"/>
                  <w:vAlign w:val="center"/>
                </w:tcPr>
                <w:p w14:paraId="6A8151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固废</w:t>
                  </w:r>
                </w:p>
                <w:p w14:paraId="13CB03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名称</w:t>
                  </w:r>
                </w:p>
              </w:tc>
              <w:tc>
                <w:tcPr>
                  <w:tcW w:w="226" w:type="pct"/>
                  <w:vAlign w:val="center"/>
                </w:tcPr>
                <w:p w14:paraId="13B5AE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属性</w:t>
                  </w:r>
                </w:p>
              </w:tc>
              <w:tc>
                <w:tcPr>
                  <w:tcW w:w="243" w:type="pct"/>
                  <w:vAlign w:val="center"/>
                </w:tcPr>
                <w:p w14:paraId="53E9EB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产生工序</w:t>
                  </w:r>
                </w:p>
              </w:tc>
              <w:tc>
                <w:tcPr>
                  <w:tcW w:w="251" w:type="pct"/>
                  <w:vAlign w:val="center"/>
                </w:tcPr>
                <w:p w14:paraId="051A4B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形态</w:t>
                  </w:r>
                </w:p>
              </w:tc>
              <w:tc>
                <w:tcPr>
                  <w:tcW w:w="963" w:type="pct"/>
                  <w:vAlign w:val="center"/>
                </w:tcPr>
                <w:p w14:paraId="711944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主要成分</w:t>
                  </w:r>
                </w:p>
              </w:tc>
              <w:tc>
                <w:tcPr>
                  <w:tcW w:w="433" w:type="pct"/>
                  <w:vAlign w:val="center"/>
                </w:tcPr>
                <w:p w14:paraId="6FCC14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危险特性鉴别方法</w:t>
                  </w:r>
                </w:p>
              </w:tc>
              <w:tc>
                <w:tcPr>
                  <w:tcW w:w="353" w:type="pct"/>
                  <w:vAlign w:val="center"/>
                </w:tcPr>
                <w:p w14:paraId="026CE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危险特性</w:t>
                  </w:r>
                </w:p>
              </w:tc>
              <w:tc>
                <w:tcPr>
                  <w:tcW w:w="358" w:type="pct"/>
                  <w:vAlign w:val="center"/>
                </w:tcPr>
                <w:p w14:paraId="5CCF3B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废物类别</w:t>
                  </w:r>
                </w:p>
              </w:tc>
              <w:tc>
                <w:tcPr>
                  <w:tcW w:w="505" w:type="pct"/>
                  <w:vAlign w:val="center"/>
                </w:tcPr>
                <w:p w14:paraId="79BB8E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废物代码</w:t>
                  </w:r>
                </w:p>
              </w:tc>
              <w:tc>
                <w:tcPr>
                  <w:tcW w:w="590" w:type="pct"/>
                  <w:vAlign w:val="center"/>
                </w:tcPr>
                <w:p w14:paraId="1EE766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估算产生量（吨/年）</w:t>
                  </w:r>
                </w:p>
              </w:tc>
              <w:tc>
                <w:tcPr>
                  <w:tcW w:w="517" w:type="pct"/>
                  <w:vAlign w:val="center"/>
                </w:tcPr>
                <w:p w14:paraId="65D40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bCs/>
                      <w:color w:val="auto"/>
                      <w:sz w:val="18"/>
                      <w:szCs w:val="18"/>
                    </w:rPr>
                  </w:pPr>
                  <w:r>
                    <w:rPr>
                      <w:rFonts w:hint="eastAsia" w:eastAsiaTheme="minorEastAsia"/>
                      <w:b/>
                      <w:bCs/>
                      <w:color w:val="auto"/>
                      <w:sz w:val="18"/>
                      <w:szCs w:val="18"/>
                    </w:rPr>
                    <w:t>处置方式</w:t>
                  </w:r>
                </w:p>
              </w:tc>
            </w:tr>
            <w:tr w14:paraId="57805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 w:type="pct"/>
                  <w:vAlign w:val="center"/>
                </w:tcPr>
                <w:p w14:paraId="5059A4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1</w:t>
                  </w:r>
                </w:p>
              </w:tc>
              <w:tc>
                <w:tcPr>
                  <w:tcW w:w="419" w:type="pct"/>
                  <w:vAlign w:val="center"/>
                </w:tcPr>
                <w:p w14:paraId="3527F0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生活垃圾</w:t>
                  </w:r>
                </w:p>
              </w:tc>
              <w:tc>
                <w:tcPr>
                  <w:tcW w:w="226" w:type="pct"/>
                  <w:vMerge w:val="restart"/>
                  <w:vAlign w:val="center"/>
                </w:tcPr>
                <w:p w14:paraId="71245E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生活垃圾</w:t>
                  </w:r>
                </w:p>
              </w:tc>
              <w:tc>
                <w:tcPr>
                  <w:tcW w:w="243" w:type="pct"/>
                  <w:vAlign w:val="center"/>
                </w:tcPr>
                <w:p w14:paraId="1000E4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日常生活</w:t>
                  </w:r>
                </w:p>
              </w:tc>
              <w:tc>
                <w:tcPr>
                  <w:tcW w:w="251" w:type="pct"/>
                  <w:vAlign w:val="center"/>
                </w:tcPr>
                <w:p w14:paraId="12282B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固态</w:t>
                  </w:r>
                </w:p>
              </w:tc>
              <w:tc>
                <w:tcPr>
                  <w:tcW w:w="963" w:type="pct"/>
                  <w:vAlign w:val="center"/>
                </w:tcPr>
                <w:p w14:paraId="2E86A2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纸屑、果皮</w:t>
                  </w:r>
                  <w:r>
                    <w:rPr>
                      <w:rFonts w:hint="default" w:ascii="Times New Roman" w:hAnsi="Times New Roman" w:cs="Times New Roman" w:eastAsiaTheme="minorEastAsia"/>
                      <w:color w:val="auto"/>
                      <w:sz w:val="18"/>
                      <w:szCs w:val="18"/>
                    </w:rPr>
                    <w:t>等</w:t>
                  </w:r>
                </w:p>
              </w:tc>
              <w:tc>
                <w:tcPr>
                  <w:tcW w:w="433" w:type="pct"/>
                  <w:vMerge w:val="restart"/>
                  <w:vAlign w:val="center"/>
                </w:tcPr>
                <w:p w14:paraId="5CF8CA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《国家危险废物名录》</w:t>
                  </w:r>
                  <w:r>
                    <w:rPr>
                      <w:rFonts w:hint="eastAsia" w:eastAsiaTheme="minorEastAsia"/>
                      <w:color w:val="auto"/>
                      <w:sz w:val="18"/>
                      <w:szCs w:val="18"/>
                      <w:lang w:eastAsia="zh-CN"/>
                    </w:rPr>
                    <w:t>（</w:t>
                  </w:r>
                  <w:r>
                    <w:rPr>
                      <w:rFonts w:hint="eastAsia" w:eastAsiaTheme="minorEastAsia"/>
                      <w:color w:val="auto"/>
                      <w:sz w:val="18"/>
                      <w:szCs w:val="18"/>
                      <w:lang w:val="en-US" w:eastAsia="zh-CN"/>
                    </w:rPr>
                    <w:t>2025年版</w:t>
                  </w:r>
                  <w:r>
                    <w:rPr>
                      <w:rFonts w:hint="eastAsia" w:eastAsiaTheme="minorEastAsia"/>
                      <w:color w:val="auto"/>
                      <w:sz w:val="18"/>
                      <w:szCs w:val="18"/>
                      <w:lang w:eastAsia="zh-CN"/>
                    </w:rPr>
                    <w:t>）、《危险废物鉴别标准通则》（GB5085.7-2019）</w:t>
                  </w:r>
                </w:p>
              </w:tc>
              <w:tc>
                <w:tcPr>
                  <w:tcW w:w="353" w:type="pct"/>
                  <w:vAlign w:val="center"/>
                </w:tcPr>
                <w:p w14:paraId="24D043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w:t>
                  </w:r>
                </w:p>
              </w:tc>
              <w:tc>
                <w:tcPr>
                  <w:tcW w:w="358" w:type="pct"/>
                  <w:vAlign w:val="center"/>
                </w:tcPr>
                <w:p w14:paraId="6E1E1D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eastAsiaTheme="minorEastAsia"/>
                      <w:color w:val="auto"/>
                      <w:sz w:val="18"/>
                      <w:szCs w:val="18"/>
                      <w:lang w:val="en-US" w:eastAsia="zh-CN"/>
                    </w:rPr>
                    <w:t>S64</w:t>
                  </w:r>
                </w:p>
              </w:tc>
              <w:tc>
                <w:tcPr>
                  <w:tcW w:w="505" w:type="pct"/>
                  <w:vAlign w:val="center"/>
                </w:tcPr>
                <w:p w14:paraId="660373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rPr>
                    <w:t>900-</w:t>
                  </w:r>
                  <w:r>
                    <w:rPr>
                      <w:rFonts w:hint="eastAsia" w:eastAsiaTheme="minorEastAsia"/>
                      <w:color w:val="auto"/>
                      <w:sz w:val="18"/>
                      <w:szCs w:val="18"/>
                      <w:lang w:val="en-US" w:eastAsia="zh-CN"/>
                    </w:rPr>
                    <w:t>099</w:t>
                  </w:r>
                  <w:r>
                    <w:rPr>
                      <w:rFonts w:hint="eastAsia" w:eastAsiaTheme="minorEastAsia"/>
                      <w:color w:val="auto"/>
                      <w:sz w:val="18"/>
                      <w:szCs w:val="18"/>
                    </w:rPr>
                    <w:t>-</w:t>
                  </w:r>
                  <w:r>
                    <w:rPr>
                      <w:rFonts w:hint="eastAsia" w:eastAsiaTheme="minorEastAsia"/>
                      <w:color w:val="auto"/>
                      <w:sz w:val="18"/>
                      <w:szCs w:val="18"/>
                      <w:lang w:val="en-US" w:eastAsia="zh-CN"/>
                    </w:rPr>
                    <w:t>S64</w:t>
                  </w:r>
                </w:p>
              </w:tc>
              <w:tc>
                <w:tcPr>
                  <w:tcW w:w="590" w:type="pct"/>
                  <w:vAlign w:val="center"/>
                </w:tcPr>
                <w:p w14:paraId="0F0FCF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7.5</w:t>
                  </w:r>
                </w:p>
              </w:tc>
              <w:tc>
                <w:tcPr>
                  <w:tcW w:w="517" w:type="pct"/>
                  <w:vAlign w:val="center"/>
                </w:tcPr>
                <w:p w14:paraId="4FF700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环卫清运</w:t>
                  </w:r>
                </w:p>
              </w:tc>
            </w:tr>
            <w:tr w14:paraId="3F83D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 w:type="pct"/>
                  <w:vAlign w:val="center"/>
                </w:tcPr>
                <w:p w14:paraId="5E85BF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2</w:t>
                  </w:r>
                </w:p>
              </w:tc>
              <w:tc>
                <w:tcPr>
                  <w:tcW w:w="419" w:type="pct"/>
                  <w:vAlign w:val="center"/>
                </w:tcPr>
                <w:p w14:paraId="20795F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化粪池污泥</w:t>
                  </w:r>
                </w:p>
              </w:tc>
              <w:tc>
                <w:tcPr>
                  <w:tcW w:w="226" w:type="pct"/>
                  <w:vMerge w:val="continue"/>
                  <w:vAlign w:val="center"/>
                </w:tcPr>
                <w:p w14:paraId="098945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43" w:type="pct"/>
                  <w:vAlign w:val="center"/>
                </w:tcPr>
                <w:p w14:paraId="581962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生活污水处理</w:t>
                  </w:r>
                </w:p>
              </w:tc>
              <w:tc>
                <w:tcPr>
                  <w:tcW w:w="251" w:type="pct"/>
                  <w:vAlign w:val="center"/>
                </w:tcPr>
                <w:p w14:paraId="356AF3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半固态</w:t>
                  </w:r>
                </w:p>
              </w:tc>
              <w:tc>
                <w:tcPr>
                  <w:tcW w:w="963" w:type="pct"/>
                  <w:vAlign w:val="center"/>
                </w:tcPr>
                <w:p w14:paraId="31D59D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污泥、水、杂质</w:t>
                  </w:r>
                </w:p>
              </w:tc>
              <w:tc>
                <w:tcPr>
                  <w:tcW w:w="433" w:type="pct"/>
                  <w:vMerge w:val="continue"/>
                  <w:vAlign w:val="center"/>
                </w:tcPr>
                <w:p w14:paraId="7DED76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53" w:type="pct"/>
                  <w:vAlign w:val="center"/>
                </w:tcPr>
                <w:p w14:paraId="1DB4EC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w:t>
                  </w:r>
                </w:p>
              </w:tc>
              <w:tc>
                <w:tcPr>
                  <w:tcW w:w="358" w:type="pct"/>
                  <w:vAlign w:val="center"/>
                </w:tcPr>
                <w:p w14:paraId="421DB0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eastAsiaTheme="minorEastAsia"/>
                      <w:color w:val="auto"/>
                      <w:sz w:val="18"/>
                      <w:szCs w:val="18"/>
                      <w:lang w:val="en-US" w:eastAsia="zh-CN"/>
                    </w:rPr>
                    <w:t>S64</w:t>
                  </w:r>
                </w:p>
              </w:tc>
              <w:tc>
                <w:tcPr>
                  <w:tcW w:w="505" w:type="pct"/>
                  <w:vAlign w:val="center"/>
                </w:tcPr>
                <w:p w14:paraId="6B5D70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eastAsiaTheme="minorEastAsia"/>
                      <w:color w:val="auto"/>
                      <w:sz w:val="18"/>
                      <w:szCs w:val="18"/>
                      <w:lang w:val="en-US" w:eastAsia="zh-CN"/>
                    </w:rPr>
                    <w:t>900-099-S64</w:t>
                  </w:r>
                </w:p>
              </w:tc>
              <w:tc>
                <w:tcPr>
                  <w:tcW w:w="590" w:type="pct"/>
                  <w:vAlign w:val="center"/>
                </w:tcPr>
                <w:p w14:paraId="3C90F6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4.5</w:t>
                  </w:r>
                </w:p>
              </w:tc>
              <w:tc>
                <w:tcPr>
                  <w:tcW w:w="517" w:type="pct"/>
                  <w:vAlign w:val="center"/>
                </w:tcPr>
                <w:p w14:paraId="2F2D1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eastAsia" w:eastAsiaTheme="minorEastAsia"/>
                      <w:color w:val="auto"/>
                      <w:sz w:val="18"/>
                      <w:szCs w:val="18"/>
                      <w:lang w:eastAsia="zh-CN"/>
                    </w:rPr>
                    <w:t>消毒后环卫清运</w:t>
                  </w:r>
                </w:p>
              </w:tc>
            </w:tr>
            <w:tr w14:paraId="62F83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 w:type="pct"/>
                  <w:vAlign w:val="center"/>
                </w:tcPr>
                <w:p w14:paraId="78028C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3</w:t>
                  </w:r>
                </w:p>
              </w:tc>
              <w:tc>
                <w:tcPr>
                  <w:tcW w:w="419" w:type="pct"/>
                  <w:vAlign w:val="center"/>
                </w:tcPr>
                <w:p w14:paraId="08E4B1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val="en-US" w:eastAsia="zh-CN"/>
                    </w:rPr>
                    <w:t>废反渗透膜</w:t>
                  </w:r>
                </w:p>
              </w:tc>
              <w:tc>
                <w:tcPr>
                  <w:tcW w:w="226" w:type="pct"/>
                  <w:vAlign w:val="center"/>
                </w:tcPr>
                <w:p w14:paraId="784EF0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一般工业固废</w:t>
                  </w:r>
                </w:p>
              </w:tc>
              <w:tc>
                <w:tcPr>
                  <w:tcW w:w="243" w:type="pct"/>
                  <w:vAlign w:val="center"/>
                </w:tcPr>
                <w:p w14:paraId="4B8F09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纯水制备</w:t>
                  </w:r>
                </w:p>
              </w:tc>
              <w:tc>
                <w:tcPr>
                  <w:tcW w:w="251" w:type="pct"/>
                  <w:vAlign w:val="center"/>
                </w:tcPr>
                <w:p w14:paraId="14D2C8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963" w:type="pct"/>
                  <w:vAlign w:val="center"/>
                </w:tcPr>
                <w:p w14:paraId="4AD463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废</w:t>
                  </w:r>
                  <w:r>
                    <w:rPr>
                      <w:rFonts w:hint="default" w:ascii="Times New Roman" w:hAnsi="Times New Roman" w:cs="Times New Roman" w:eastAsiaTheme="minorEastAsia"/>
                      <w:color w:val="auto"/>
                      <w:sz w:val="18"/>
                      <w:szCs w:val="18"/>
                      <w:lang w:val="en-US" w:eastAsia="zh-CN"/>
                    </w:rPr>
                    <w:t>RO膜</w:t>
                  </w:r>
                </w:p>
              </w:tc>
              <w:tc>
                <w:tcPr>
                  <w:tcW w:w="433" w:type="pct"/>
                  <w:vMerge w:val="continue"/>
                  <w:vAlign w:val="center"/>
                </w:tcPr>
                <w:p w14:paraId="3CC66D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53" w:type="pct"/>
                  <w:vAlign w:val="center"/>
                </w:tcPr>
                <w:p w14:paraId="7A38DA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w:t>
                  </w:r>
                </w:p>
              </w:tc>
              <w:tc>
                <w:tcPr>
                  <w:tcW w:w="358" w:type="pct"/>
                  <w:vAlign w:val="center"/>
                </w:tcPr>
                <w:p w14:paraId="6D6D0A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rPr>
                  </w:pPr>
                  <w:r>
                    <w:rPr>
                      <w:rFonts w:hint="default" w:eastAsiaTheme="minorEastAsia"/>
                      <w:color w:val="auto"/>
                      <w:sz w:val="18"/>
                      <w:szCs w:val="18"/>
                      <w:lang w:val="en-US" w:eastAsia="zh-CN"/>
                    </w:rPr>
                    <w:t>S</w:t>
                  </w:r>
                  <w:r>
                    <w:rPr>
                      <w:rFonts w:hint="eastAsia" w:eastAsiaTheme="minorEastAsia"/>
                      <w:color w:val="auto"/>
                      <w:sz w:val="18"/>
                      <w:szCs w:val="18"/>
                      <w:lang w:val="en-US" w:eastAsia="zh-CN"/>
                    </w:rPr>
                    <w:t>59</w:t>
                  </w:r>
                </w:p>
              </w:tc>
              <w:tc>
                <w:tcPr>
                  <w:tcW w:w="505" w:type="pct"/>
                  <w:vAlign w:val="center"/>
                </w:tcPr>
                <w:p w14:paraId="4E75A6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rPr>
                  </w:pPr>
                  <w:r>
                    <w:rPr>
                      <w:rFonts w:hint="eastAsia" w:eastAsiaTheme="minorEastAsia"/>
                      <w:color w:val="auto"/>
                      <w:sz w:val="18"/>
                      <w:szCs w:val="18"/>
                    </w:rPr>
                    <w:t>900-</w:t>
                  </w:r>
                  <w:r>
                    <w:rPr>
                      <w:rFonts w:hint="eastAsia" w:eastAsiaTheme="minorEastAsia"/>
                      <w:color w:val="auto"/>
                      <w:sz w:val="18"/>
                      <w:szCs w:val="18"/>
                      <w:lang w:val="en-US" w:eastAsia="zh-CN"/>
                    </w:rPr>
                    <w:t>099</w:t>
                  </w:r>
                  <w:r>
                    <w:rPr>
                      <w:rFonts w:hint="eastAsia" w:eastAsiaTheme="minorEastAsia"/>
                      <w:color w:val="auto"/>
                      <w:sz w:val="18"/>
                      <w:szCs w:val="18"/>
                    </w:rPr>
                    <w:t>-</w:t>
                  </w:r>
                  <w:r>
                    <w:rPr>
                      <w:rFonts w:hint="eastAsia" w:eastAsiaTheme="minorEastAsia"/>
                      <w:color w:val="auto"/>
                      <w:sz w:val="18"/>
                      <w:szCs w:val="18"/>
                      <w:lang w:val="en-US" w:eastAsia="zh-CN"/>
                    </w:rPr>
                    <w:t>S59</w:t>
                  </w:r>
                </w:p>
              </w:tc>
              <w:tc>
                <w:tcPr>
                  <w:tcW w:w="590" w:type="pct"/>
                  <w:vAlign w:val="center"/>
                </w:tcPr>
                <w:p w14:paraId="7394D2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0.05</w:t>
                  </w:r>
                </w:p>
              </w:tc>
              <w:tc>
                <w:tcPr>
                  <w:tcW w:w="517" w:type="pct"/>
                  <w:vAlign w:val="center"/>
                </w:tcPr>
                <w:p w14:paraId="71ED53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eastAsia" w:eastAsiaTheme="minorEastAsia"/>
                      <w:color w:val="auto"/>
                      <w:sz w:val="18"/>
                      <w:szCs w:val="18"/>
                      <w:lang w:eastAsia="zh-CN"/>
                    </w:rPr>
                    <w:t>原厂家回收</w:t>
                  </w:r>
                </w:p>
              </w:tc>
            </w:tr>
            <w:tr w14:paraId="6F954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 w:type="pct"/>
                  <w:vAlign w:val="center"/>
                </w:tcPr>
                <w:p w14:paraId="0CFACF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4</w:t>
                  </w:r>
                </w:p>
              </w:tc>
              <w:tc>
                <w:tcPr>
                  <w:tcW w:w="419" w:type="pct"/>
                  <w:vAlign w:val="center"/>
                </w:tcPr>
                <w:p w14:paraId="580FD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（感染性废物）</w:t>
                  </w:r>
                </w:p>
              </w:tc>
              <w:tc>
                <w:tcPr>
                  <w:tcW w:w="226" w:type="pct"/>
                  <w:vMerge w:val="restart"/>
                  <w:vAlign w:val="center"/>
                </w:tcPr>
                <w:p w14:paraId="420AE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eastAsia" w:eastAsiaTheme="minorEastAsia"/>
                      <w:color w:val="auto"/>
                      <w:sz w:val="18"/>
                      <w:szCs w:val="18"/>
                      <w:lang w:eastAsia="zh-CN"/>
                    </w:rPr>
                    <w:t>危险废物</w:t>
                  </w:r>
                </w:p>
              </w:tc>
              <w:tc>
                <w:tcPr>
                  <w:tcW w:w="243" w:type="pct"/>
                  <w:vAlign w:val="center"/>
                </w:tcPr>
                <w:p w14:paraId="54E774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实验室检验</w:t>
                  </w:r>
                </w:p>
              </w:tc>
              <w:tc>
                <w:tcPr>
                  <w:tcW w:w="251" w:type="pct"/>
                  <w:vAlign w:val="center"/>
                </w:tcPr>
                <w:p w14:paraId="123B03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固态</w:t>
                  </w:r>
                  <w:r>
                    <w:rPr>
                      <w:rFonts w:hint="default" w:ascii="Times New Roman" w:hAnsi="Times New Roman" w:cs="Times New Roman" w:eastAsiaTheme="minorEastAsia"/>
                      <w:color w:val="auto"/>
                      <w:sz w:val="18"/>
                      <w:szCs w:val="18"/>
                      <w:lang w:val="en-US" w:eastAsia="zh-CN"/>
                    </w:rPr>
                    <w:t>/液态</w:t>
                  </w:r>
                </w:p>
              </w:tc>
              <w:tc>
                <w:tcPr>
                  <w:tcW w:w="963" w:type="pct"/>
                  <w:vAlign w:val="center"/>
                </w:tcPr>
                <w:p w14:paraId="6ED75E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一次性实验服、帽子、口罩及手套</w:t>
                  </w:r>
                  <w:r>
                    <w:rPr>
                      <w:rFonts w:hint="eastAsia"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废移液管吸头、消毒纱布</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各种废液</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试剂配置废液、检测废液</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废弃的血液、血清</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废弃医学样本</w:t>
                  </w:r>
                  <w:r>
                    <w:rPr>
                      <w:rFonts w:hint="default" w:ascii="Times New Roman" w:hAnsi="Times New Roman" w:cs="Times New Roman" w:eastAsiaTheme="minorEastAsia"/>
                      <w:color w:val="auto"/>
                      <w:sz w:val="18"/>
                      <w:szCs w:val="18"/>
                      <w:lang w:eastAsia="zh-CN"/>
                    </w:rPr>
                    <w:t>；</w:t>
                  </w:r>
                  <w:r>
                    <w:rPr>
                      <w:rFonts w:hint="default" w:ascii="Times New Roman" w:hAnsi="Times New Roman" w:cs="Times New Roman" w:eastAsiaTheme="minorEastAsia"/>
                      <w:color w:val="auto"/>
                      <w:sz w:val="18"/>
                      <w:szCs w:val="18"/>
                    </w:rPr>
                    <w:t>废培养基</w:t>
                  </w:r>
                </w:p>
              </w:tc>
              <w:tc>
                <w:tcPr>
                  <w:tcW w:w="433" w:type="pct"/>
                  <w:vMerge w:val="continue"/>
                  <w:vAlign w:val="center"/>
                </w:tcPr>
                <w:p w14:paraId="535842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53" w:type="pct"/>
                  <w:vAlign w:val="center"/>
                </w:tcPr>
                <w:p w14:paraId="524C5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In</w:t>
                  </w:r>
                </w:p>
              </w:tc>
              <w:tc>
                <w:tcPr>
                  <w:tcW w:w="358" w:type="pct"/>
                  <w:vAlign w:val="center"/>
                </w:tcPr>
                <w:p w14:paraId="76EE12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val="en-US" w:eastAsia="zh-CN"/>
                    </w:rPr>
                  </w:pPr>
                  <w:r>
                    <w:rPr>
                      <w:rFonts w:hint="eastAsia" w:eastAsiaTheme="minorEastAsia"/>
                      <w:color w:val="auto"/>
                      <w:sz w:val="18"/>
                      <w:szCs w:val="18"/>
                    </w:rPr>
                    <w:t>HW01</w:t>
                  </w:r>
                </w:p>
              </w:tc>
              <w:tc>
                <w:tcPr>
                  <w:tcW w:w="505" w:type="pct"/>
                  <w:vAlign w:val="center"/>
                </w:tcPr>
                <w:p w14:paraId="7A9573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eastAsia" w:eastAsiaTheme="minorEastAsia"/>
                      <w:color w:val="auto"/>
                      <w:sz w:val="18"/>
                      <w:szCs w:val="18"/>
                    </w:rPr>
                    <w:t>841-001-0</w:t>
                  </w:r>
                  <w:r>
                    <w:rPr>
                      <w:rFonts w:hint="eastAsia" w:eastAsiaTheme="minorEastAsia"/>
                      <w:color w:val="auto"/>
                      <w:sz w:val="18"/>
                      <w:szCs w:val="18"/>
                      <w:lang w:val="en-US" w:eastAsia="zh-CN"/>
                    </w:rPr>
                    <w:t>1</w:t>
                  </w:r>
                </w:p>
              </w:tc>
              <w:tc>
                <w:tcPr>
                  <w:tcW w:w="590" w:type="pct"/>
                  <w:vAlign w:val="center"/>
                </w:tcPr>
                <w:p w14:paraId="5E98C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val="en-US" w:eastAsia="zh-CN"/>
                    </w:rPr>
                    <w:t>0.5</w:t>
                  </w:r>
                </w:p>
              </w:tc>
              <w:tc>
                <w:tcPr>
                  <w:tcW w:w="517" w:type="pct"/>
                  <w:vAlign w:val="center"/>
                </w:tcPr>
                <w:p w14:paraId="085C80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eastAsia" w:eastAsiaTheme="minorEastAsia"/>
                      <w:color w:val="auto"/>
                      <w:sz w:val="18"/>
                      <w:szCs w:val="18"/>
                      <w:lang w:eastAsia="zh-CN"/>
                    </w:rPr>
                    <w:t>灭菌后</w:t>
                  </w:r>
                  <w:r>
                    <w:rPr>
                      <w:rFonts w:hint="eastAsia" w:eastAsiaTheme="minorEastAsia"/>
                      <w:color w:val="auto"/>
                      <w:sz w:val="18"/>
                      <w:szCs w:val="18"/>
                    </w:rPr>
                    <w:t>委托资质单位处置</w:t>
                  </w:r>
                </w:p>
              </w:tc>
            </w:tr>
            <w:tr w14:paraId="1BC98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38" w:type="pct"/>
                  <w:vAlign w:val="center"/>
                </w:tcPr>
                <w:p w14:paraId="529386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5</w:t>
                  </w:r>
                </w:p>
              </w:tc>
              <w:tc>
                <w:tcPr>
                  <w:tcW w:w="419" w:type="pct"/>
                  <w:vAlign w:val="center"/>
                </w:tcPr>
                <w:p w14:paraId="32FC75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（损伤性废物）</w:t>
                  </w:r>
                </w:p>
              </w:tc>
              <w:tc>
                <w:tcPr>
                  <w:tcW w:w="226" w:type="pct"/>
                  <w:vMerge w:val="continue"/>
                  <w:vAlign w:val="center"/>
                </w:tcPr>
                <w:p w14:paraId="6E1270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43" w:type="pct"/>
                  <w:vAlign w:val="center"/>
                </w:tcPr>
                <w:p w14:paraId="138FEE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实验室检验</w:t>
                  </w:r>
                </w:p>
              </w:tc>
              <w:tc>
                <w:tcPr>
                  <w:tcW w:w="251" w:type="pct"/>
                  <w:vAlign w:val="center"/>
                </w:tcPr>
                <w:p w14:paraId="1456DE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963" w:type="pct"/>
                  <w:vAlign w:val="center"/>
                </w:tcPr>
                <w:p w14:paraId="339C9C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废弃的注射器、各种针头、</w:t>
                  </w:r>
                  <w:r>
                    <w:rPr>
                      <w:rFonts w:hint="default" w:ascii="Times New Roman" w:hAnsi="Times New Roman" w:cs="Times New Roman" w:eastAsiaTheme="minorEastAsia"/>
                      <w:color w:val="auto"/>
                      <w:sz w:val="18"/>
                      <w:szCs w:val="18"/>
                    </w:rPr>
                    <w:t>载玻片、玻璃试管等</w:t>
                  </w:r>
                </w:p>
              </w:tc>
              <w:tc>
                <w:tcPr>
                  <w:tcW w:w="433" w:type="pct"/>
                  <w:vMerge w:val="continue"/>
                  <w:vAlign w:val="center"/>
                </w:tcPr>
                <w:p w14:paraId="2C4256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53" w:type="pct"/>
                  <w:vAlign w:val="center"/>
                </w:tcPr>
                <w:p w14:paraId="4EF1FA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In</w:t>
                  </w:r>
                </w:p>
              </w:tc>
              <w:tc>
                <w:tcPr>
                  <w:tcW w:w="358" w:type="pct"/>
                  <w:vAlign w:val="center"/>
                </w:tcPr>
                <w:p w14:paraId="4E10C4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HW01</w:t>
                  </w:r>
                </w:p>
              </w:tc>
              <w:tc>
                <w:tcPr>
                  <w:tcW w:w="505" w:type="pct"/>
                  <w:vAlign w:val="center"/>
                </w:tcPr>
                <w:p w14:paraId="39389B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841-002-01</w:t>
                  </w:r>
                </w:p>
              </w:tc>
              <w:tc>
                <w:tcPr>
                  <w:tcW w:w="590" w:type="pct"/>
                  <w:vAlign w:val="center"/>
                </w:tcPr>
                <w:p w14:paraId="7D01FA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0.3</w:t>
                  </w:r>
                </w:p>
              </w:tc>
              <w:tc>
                <w:tcPr>
                  <w:tcW w:w="517" w:type="pct"/>
                  <w:vMerge w:val="restart"/>
                  <w:vAlign w:val="center"/>
                </w:tcPr>
                <w:p w14:paraId="4603FF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委托资质单位处置</w:t>
                  </w:r>
                </w:p>
              </w:tc>
            </w:tr>
            <w:tr w14:paraId="09045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 w:type="pct"/>
                  <w:vAlign w:val="center"/>
                </w:tcPr>
                <w:p w14:paraId="3DFC5D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6</w:t>
                  </w:r>
                </w:p>
              </w:tc>
              <w:tc>
                <w:tcPr>
                  <w:tcW w:w="419" w:type="pct"/>
                  <w:vAlign w:val="center"/>
                </w:tcPr>
                <w:p w14:paraId="17E226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（病理性废物）</w:t>
                  </w:r>
                </w:p>
              </w:tc>
              <w:tc>
                <w:tcPr>
                  <w:tcW w:w="226" w:type="pct"/>
                  <w:vMerge w:val="continue"/>
                  <w:vAlign w:val="center"/>
                </w:tcPr>
                <w:p w14:paraId="2C9D29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43" w:type="pct"/>
                  <w:vAlign w:val="center"/>
                </w:tcPr>
                <w:p w14:paraId="42A380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实验室检验</w:t>
                  </w:r>
                </w:p>
              </w:tc>
              <w:tc>
                <w:tcPr>
                  <w:tcW w:w="251" w:type="pct"/>
                  <w:vAlign w:val="center"/>
                </w:tcPr>
                <w:p w14:paraId="04397F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963" w:type="pct"/>
                  <w:vAlign w:val="center"/>
                </w:tcPr>
                <w:p w14:paraId="39A61E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废弃的人体组织、病死动物、</w:t>
                  </w:r>
                  <w:r>
                    <w:rPr>
                      <w:rFonts w:hint="eastAsia" w:cs="Times New Roman" w:eastAsiaTheme="minorEastAsia"/>
                      <w:color w:val="auto"/>
                      <w:sz w:val="18"/>
                      <w:szCs w:val="18"/>
                      <w:lang w:eastAsia="zh-CN"/>
                    </w:rPr>
                    <w:t>尸</w:t>
                  </w:r>
                  <w:r>
                    <w:rPr>
                      <w:rFonts w:hint="default" w:ascii="Times New Roman" w:hAnsi="Times New Roman" w:cs="Times New Roman" w:eastAsiaTheme="minorEastAsia"/>
                      <w:color w:val="auto"/>
                      <w:sz w:val="18"/>
                      <w:szCs w:val="18"/>
                      <w:lang w:eastAsia="zh-CN"/>
                    </w:rPr>
                    <w:t>块等</w:t>
                  </w:r>
                </w:p>
              </w:tc>
              <w:tc>
                <w:tcPr>
                  <w:tcW w:w="433" w:type="pct"/>
                  <w:vMerge w:val="continue"/>
                  <w:vAlign w:val="center"/>
                </w:tcPr>
                <w:p w14:paraId="6CC9C0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53" w:type="pct"/>
                  <w:vAlign w:val="center"/>
                </w:tcPr>
                <w:p w14:paraId="32ED4D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val="en-US" w:eastAsia="zh-CN"/>
                    </w:rPr>
                    <w:t>In</w:t>
                  </w:r>
                </w:p>
              </w:tc>
              <w:tc>
                <w:tcPr>
                  <w:tcW w:w="358" w:type="pct"/>
                  <w:vAlign w:val="center"/>
                </w:tcPr>
                <w:p w14:paraId="14BC3F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HW01</w:t>
                  </w:r>
                </w:p>
              </w:tc>
              <w:tc>
                <w:tcPr>
                  <w:tcW w:w="505" w:type="pct"/>
                  <w:vAlign w:val="center"/>
                </w:tcPr>
                <w:p w14:paraId="451CB9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841-003-01</w:t>
                  </w:r>
                </w:p>
              </w:tc>
              <w:tc>
                <w:tcPr>
                  <w:tcW w:w="590" w:type="pct"/>
                  <w:vAlign w:val="center"/>
                </w:tcPr>
                <w:p w14:paraId="6152B1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0.15</w:t>
                  </w:r>
                </w:p>
              </w:tc>
              <w:tc>
                <w:tcPr>
                  <w:tcW w:w="517" w:type="pct"/>
                  <w:vMerge w:val="continue"/>
                  <w:vAlign w:val="center"/>
                </w:tcPr>
                <w:p w14:paraId="5501AB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r>
            <w:tr w14:paraId="3BBF4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 w:type="pct"/>
                  <w:vAlign w:val="center"/>
                </w:tcPr>
                <w:p w14:paraId="1A51B4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7</w:t>
                  </w:r>
                </w:p>
              </w:tc>
              <w:tc>
                <w:tcPr>
                  <w:tcW w:w="419" w:type="pct"/>
                  <w:vAlign w:val="center"/>
                </w:tcPr>
                <w:p w14:paraId="1F1B2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（化学性废物）</w:t>
                  </w:r>
                </w:p>
              </w:tc>
              <w:tc>
                <w:tcPr>
                  <w:tcW w:w="226" w:type="pct"/>
                  <w:vMerge w:val="continue"/>
                  <w:vAlign w:val="center"/>
                </w:tcPr>
                <w:p w14:paraId="575A3C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43" w:type="pct"/>
                  <w:vAlign w:val="center"/>
                </w:tcPr>
                <w:p w14:paraId="3C74FC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实验室检验</w:t>
                  </w:r>
                </w:p>
              </w:tc>
              <w:tc>
                <w:tcPr>
                  <w:tcW w:w="251" w:type="pct"/>
                  <w:vAlign w:val="center"/>
                </w:tcPr>
                <w:p w14:paraId="5A557A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液态</w:t>
                  </w:r>
                </w:p>
              </w:tc>
              <w:tc>
                <w:tcPr>
                  <w:tcW w:w="963" w:type="pct"/>
                  <w:vAlign w:val="center"/>
                </w:tcPr>
                <w:p w14:paraId="05979C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废弃的化学试剂、溶剂等</w:t>
                  </w:r>
                </w:p>
              </w:tc>
              <w:tc>
                <w:tcPr>
                  <w:tcW w:w="433" w:type="pct"/>
                  <w:vMerge w:val="continue"/>
                  <w:vAlign w:val="center"/>
                </w:tcPr>
                <w:p w14:paraId="6C76A3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53" w:type="pct"/>
                  <w:vAlign w:val="center"/>
                </w:tcPr>
                <w:p w14:paraId="4C7034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bCs/>
                      <w:color w:val="auto"/>
                      <w:sz w:val="18"/>
                      <w:szCs w:val="18"/>
                    </w:rPr>
                    <w:t>T</w:t>
                  </w:r>
                  <w:r>
                    <w:rPr>
                      <w:rFonts w:hint="eastAsia" w:eastAsiaTheme="minorEastAsia"/>
                      <w:bCs/>
                      <w:color w:val="auto"/>
                      <w:sz w:val="18"/>
                      <w:szCs w:val="18"/>
                      <w:lang w:val="en-US" w:eastAsia="zh-CN"/>
                    </w:rPr>
                    <w:t>/C/I/R</w:t>
                  </w:r>
                </w:p>
              </w:tc>
              <w:tc>
                <w:tcPr>
                  <w:tcW w:w="358" w:type="pct"/>
                  <w:vAlign w:val="center"/>
                </w:tcPr>
                <w:p w14:paraId="53E396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bCs/>
                      <w:color w:val="auto"/>
                      <w:sz w:val="18"/>
                      <w:szCs w:val="18"/>
                    </w:rPr>
                    <w:t>HW01</w:t>
                  </w:r>
                </w:p>
              </w:tc>
              <w:tc>
                <w:tcPr>
                  <w:tcW w:w="505" w:type="pct"/>
                  <w:vAlign w:val="center"/>
                </w:tcPr>
                <w:p w14:paraId="6C347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841-004-01</w:t>
                  </w:r>
                </w:p>
              </w:tc>
              <w:tc>
                <w:tcPr>
                  <w:tcW w:w="590" w:type="pct"/>
                  <w:vAlign w:val="center"/>
                </w:tcPr>
                <w:p w14:paraId="094AD5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0.01</w:t>
                  </w:r>
                </w:p>
              </w:tc>
              <w:tc>
                <w:tcPr>
                  <w:tcW w:w="517" w:type="pct"/>
                  <w:vMerge w:val="continue"/>
                  <w:vAlign w:val="center"/>
                </w:tcPr>
                <w:p w14:paraId="5B2098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r>
            <w:tr w14:paraId="77971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 w:type="pct"/>
                  <w:vAlign w:val="center"/>
                </w:tcPr>
                <w:p w14:paraId="6B78DD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val="en-US" w:eastAsia="zh-CN"/>
                    </w:rPr>
                  </w:pPr>
                  <w:r>
                    <w:rPr>
                      <w:rFonts w:hint="eastAsia" w:eastAsiaTheme="minorEastAsia"/>
                      <w:color w:val="auto"/>
                      <w:sz w:val="18"/>
                      <w:szCs w:val="18"/>
                      <w:lang w:val="en-US" w:eastAsia="zh-CN"/>
                    </w:rPr>
                    <w:t>8</w:t>
                  </w:r>
                </w:p>
              </w:tc>
              <w:tc>
                <w:tcPr>
                  <w:tcW w:w="419" w:type="pct"/>
                  <w:vAlign w:val="center"/>
                </w:tcPr>
                <w:p w14:paraId="28A1F0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（药物性废物）</w:t>
                  </w:r>
                </w:p>
              </w:tc>
              <w:tc>
                <w:tcPr>
                  <w:tcW w:w="226" w:type="pct"/>
                  <w:vMerge w:val="continue"/>
                  <w:vAlign w:val="center"/>
                </w:tcPr>
                <w:p w14:paraId="344001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43" w:type="pct"/>
                  <w:vAlign w:val="center"/>
                </w:tcPr>
                <w:p w14:paraId="375159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实验室检验</w:t>
                  </w:r>
                </w:p>
              </w:tc>
              <w:tc>
                <w:tcPr>
                  <w:tcW w:w="251" w:type="pct"/>
                  <w:vAlign w:val="center"/>
                </w:tcPr>
                <w:p w14:paraId="3F24F0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半</w:t>
                  </w:r>
                  <w:r>
                    <w:rPr>
                      <w:rFonts w:hint="default" w:ascii="Times New Roman" w:hAnsi="Times New Roman" w:cs="Times New Roman" w:eastAsiaTheme="minorEastAsia"/>
                      <w:color w:val="auto"/>
                      <w:sz w:val="18"/>
                      <w:szCs w:val="18"/>
                    </w:rPr>
                    <w:t>固态</w:t>
                  </w:r>
                </w:p>
              </w:tc>
              <w:tc>
                <w:tcPr>
                  <w:tcW w:w="963" w:type="pct"/>
                  <w:vAlign w:val="center"/>
                </w:tcPr>
                <w:p w14:paraId="549532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val="en-US" w:eastAsia="zh-CN"/>
                    </w:rPr>
                    <w:t>过期药品及血液制品</w:t>
                  </w:r>
                  <w:r>
                    <w:rPr>
                      <w:rFonts w:hint="default" w:ascii="Times New Roman" w:hAnsi="Times New Roman" w:cs="Times New Roman" w:eastAsiaTheme="minorEastAsia"/>
                      <w:color w:val="auto"/>
                      <w:sz w:val="18"/>
                      <w:szCs w:val="18"/>
                      <w:lang w:eastAsia="zh-CN"/>
                    </w:rPr>
                    <w:t>等</w:t>
                  </w:r>
                </w:p>
              </w:tc>
              <w:tc>
                <w:tcPr>
                  <w:tcW w:w="433" w:type="pct"/>
                  <w:vMerge w:val="continue"/>
                  <w:vAlign w:val="center"/>
                </w:tcPr>
                <w:p w14:paraId="62F114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53" w:type="pct"/>
                  <w:vAlign w:val="center"/>
                </w:tcPr>
                <w:p w14:paraId="636845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Cs/>
                      <w:color w:val="auto"/>
                      <w:sz w:val="18"/>
                      <w:szCs w:val="18"/>
                      <w:lang w:val="en-US" w:eastAsia="zh-CN"/>
                    </w:rPr>
                  </w:pPr>
                  <w:r>
                    <w:rPr>
                      <w:rFonts w:hint="eastAsia" w:eastAsiaTheme="minorEastAsia"/>
                      <w:bCs/>
                      <w:color w:val="auto"/>
                      <w:sz w:val="18"/>
                      <w:szCs w:val="18"/>
                      <w:lang w:val="en-US" w:eastAsia="zh-CN"/>
                    </w:rPr>
                    <w:t>T</w:t>
                  </w:r>
                </w:p>
              </w:tc>
              <w:tc>
                <w:tcPr>
                  <w:tcW w:w="358" w:type="pct"/>
                  <w:vAlign w:val="center"/>
                </w:tcPr>
                <w:p w14:paraId="1F0EB1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eastAsiaTheme="minorEastAsia"/>
                      <w:bCs/>
                      <w:color w:val="auto"/>
                      <w:sz w:val="18"/>
                      <w:szCs w:val="18"/>
                    </w:rPr>
                  </w:pPr>
                  <w:r>
                    <w:rPr>
                      <w:rFonts w:hint="eastAsia" w:eastAsiaTheme="minorEastAsia"/>
                      <w:bCs/>
                      <w:color w:val="auto"/>
                      <w:sz w:val="18"/>
                      <w:szCs w:val="18"/>
                    </w:rPr>
                    <w:t>HW01</w:t>
                  </w:r>
                </w:p>
              </w:tc>
              <w:tc>
                <w:tcPr>
                  <w:tcW w:w="505" w:type="pct"/>
                  <w:vAlign w:val="center"/>
                </w:tcPr>
                <w:p w14:paraId="5337EE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Cs/>
                      <w:color w:val="auto"/>
                      <w:sz w:val="18"/>
                      <w:szCs w:val="18"/>
                    </w:rPr>
                  </w:pPr>
                  <w:r>
                    <w:rPr>
                      <w:rFonts w:hint="eastAsia" w:eastAsiaTheme="minorEastAsia"/>
                      <w:color w:val="auto"/>
                      <w:sz w:val="18"/>
                      <w:szCs w:val="18"/>
                    </w:rPr>
                    <w:t>841-00</w:t>
                  </w:r>
                  <w:r>
                    <w:rPr>
                      <w:rFonts w:hint="eastAsia" w:eastAsiaTheme="minorEastAsia"/>
                      <w:color w:val="auto"/>
                      <w:sz w:val="18"/>
                      <w:szCs w:val="18"/>
                      <w:lang w:val="en-US" w:eastAsia="zh-CN"/>
                    </w:rPr>
                    <w:t>5</w:t>
                  </w:r>
                  <w:r>
                    <w:rPr>
                      <w:rFonts w:hint="eastAsia" w:eastAsiaTheme="minorEastAsia"/>
                      <w:color w:val="auto"/>
                      <w:sz w:val="18"/>
                      <w:szCs w:val="18"/>
                    </w:rPr>
                    <w:t>-01</w:t>
                  </w:r>
                </w:p>
              </w:tc>
              <w:tc>
                <w:tcPr>
                  <w:tcW w:w="590" w:type="pct"/>
                  <w:vAlign w:val="center"/>
                </w:tcPr>
                <w:p w14:paraId="12A5B1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val="en-US" w:eastAsia="zh-CN"/>
                    </w:rPr>
                    <w:t>0.02</w:t>
                  </w:r>
                </w:p>
              </w:tc>
              <w:tc>
                <w:tcPr>
                  <w:tcW w:w="517" w:type="pct"/>
                  <w:vMerge w:val="continue"/>
                  <w:vAlign w:val="center"/>
                </w:tcPr>
                <w:p w14:paraId="05CB47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r>
            <w:tr w14:paraId="70F61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 w:type="pct"/>
                  <w:vAlign w:val="center"/>
                </w:tcPr>
                <w:p w14:paraId="07E886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lang w:val="en-US" w:eastAsia="zh-CN"/>
                    </w:rPr>
                  </w:pPr>
                  <w:r>
                    <w:rPr>
                      <w:rFonts w:hint="eastAsia" w:eastAsiaTheme="minorEastAsia"/>
                      <w:color w:val="auto"/>
                      <w:sz w:val="18"/>
                      <w:szCs w:val="18"/>
                      <w:lang w:val="en-US" w:eastAsia="zh-CN"/>
                    </w:rPr>
                    <w:t>9</w:t>
                  </w:r>
                </w:p>
              </w:tc>
              <w:tc>
                <w:tcPr>
                  <w:tcW w:w="419" w:type="pct"/>
                  <w:vAlign w:val="center"/>
                </w:tcPr>
                <w:p w14:paraId="56487E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污水处理站</w:t>
                  </w:r>
                  <w:r>
                    <w:rPr>
                      <w:rFonts w:hint="default" w:ascii="Times New Roman" w:hAnsi="Times New Roman" w:cs="Times New Roman" w:eastAsiaTheme="minorEastAsia"/>
                      <w:color w:val="auto"/>
                      <w:sz w:val="18"/>
                      <w:szCs w:val="18"/>
                    </w:rPr>
                    <w:t>污泥</w:t>
                  </w:r>
                </w:p>
              </w:tc>
              <w:tc>
                <w:tcPr>
                  <w:tcW w:w="226" w:type="pct"/>
                  <w:vMerge w:val="continue"/>
                  <w:vAlign w:val="center"/>
                </w:tcPr>
                <w:p w14:paraId="703E0D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43" w:type="pct"/>
                  <w:vAlign w:val="center"/>
                </w:tcPr>
                <w:p w14:paraId="440B32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医疗</w:t>
                  </w:r>
                  <w:r>
                    <w:rPr>
                      <w:rFonts w:hint="default" w:ascii="Times New Roman" w:hAnsi="Times New Roman" w:cs="Times New Roman" w:eastAsiaTheme="minorEastAsia"/>
                      <w:color w:val="auto"/>
                      <w:sz w:val="18"/>
                      <w:szCs w:val="18"/>
                    </w:rPr>
                    <w:t>污水处理</w:t>
                  </w:r>
                </w:p>
              </w:tc>
              <w:tc>
                <w:tcPr>
                  <w:tcW w:w="251" w:type="pct"/>
                  <w:vAlign w:val="center"/>
                </w:tcPr>
                <w:p w14:paraId="7107A1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半</w:t>
                  </w:r>
                  <w:r>
                    <w:rPr>
                      <w:rFonts w:hint="default" w:ascii="Times New Roman" w:hAnsi="Times New Roman" w:cs="Times New Roman" w:eastAsiaTheme="minorEastAsia"/>
                      <w:color w:val="auto"/>
                      <w:sz w:val="18"/>
                      <w:szCs w:val="18"/>
                    </w:rPr>
                    <w:t>固态</w:t>
                  </w:r>
                </w:p>
              </w:tc>
              <w:tc>
                <w:tcPr>
                  <w:tcW w:w="963" w:type="pct"/>
                  <w:vAlign w:val="center"/>
                </w:tcPr>
                <w:p w14:paraId="68BD54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污泥、水、杂质、病菌</w:t>
                  </w:r>
                  <w:r>
                    <w:rPr>
                      <w:rFonts w:hint="default" w:ascii="Times New Roman" w:hAnsi="Times New Roman" w:cs="Times New Roman" w:eastAsiaTheme="minorEastAsia"/>
                      <w:color w:val="auto"/>
                      <w:sz w:val="18"/>
                      <w:szCs w:val="18"/>
                    </w:rPr>
                    <w:t>等</w:t>
                  </w:r>
                </w:p>
              </w:tc>
              <w:tc>
                <w:tcPr>
                  <w:tcW w:w="433" w:type="pct"/>
                  <w:vMerge w:val="continue"/>
                  <w:vAlign w:val="center"/>
                </w:tcPr>
                <w:p w14:paraId="69987D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53" w:type="pct"/>
                  <w:vAlign w:val="center"/>
                </w:tcPr>
                <w:p w14:paraId="0E0594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Cs/>
                      <w:color w:val="auto"/>
                      <w:sz w:val="18"/>
                      <w:szCs w:val="18"/>
                    </w:rPr>
                  </w:pPr>
                  <w:r>
                    <w:rPr>
                      <w:rFonts w:hint="eastAsia" w:eastAsiaTheme="minorEastAsia"/>
                      <w:color w:val="auto"/>
                      <w:sz w:val="18"/>
                      <w:szCs w:val="18"/>
                      <w:lang w:val="en-US" w:eastAsia="zh-CN"/>
                    </w:rPr>
                    <w:t>In</w:t>
                  </w:r>
                </w:p>
              </w:tc>
              <w:tc>
                <w:tcPr>
                  <w:tcW w:w="358" w:type="pct"/>
                  <w:vAlign w:val="center"/>
                </w:tcPr>
                <w:p w14:paraId="33AAC6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eastAsiaTheme="minorEastAsia"/>
                      <w:bCs/>
                      <w:color w:val="auto"/>
                      <w:sz w:val="18"/>
                      <w:szCs w:val="18"/>
                    </w:rPr>
                  </w:pPr>
                  <w:r>
                    <w:rPr>
                      <w:rFonts w:hint="eastAsia" w:eastAsiaTheme="minorEastAsia"/>
                      <w:bCs/>
                      <w:color w:val="auto"/>
                      <w:sz w:val="18"/>
                      <w:szCs w:val="18"/>
                    </w:rPr>
                    <w:t>HW01</w:t>
                  </w:r>
                </w:p>
              </w:tc>
              <w:tc>
                <w:tcPr>
                  <w:tcW w:w="505" w:type="pct"/>
                  <w:vAlign w:val="center"/>
                </w:tcPr>
                <w:p w14:paraId="29816E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Cs/>
                      <w:color w:val="auto"/>
                      <w:sz w:val="18"/>
                      <w:szCs w:val="18"/>
                    </w:rPr>
                  </w:pPr>
                  <w:r>
                    <w:rPr>
                      <w:rFonts w:hint="eastAsia" w:eastAsiaTheme="minorEastAsia"/>
                      <w:color w:val="auto"/>
                      <w:sz w:val="18"/>
                      <w:szCs w:val="18"/>
                    </w:rPr>
                    <w:t>841-001-0</w:t>
                  </w:r>
                  <w:r>
                    <w:rPr>
                      <w:rFonts w:hint="eastAsia" w:eastAsiaTheme="minorEastAsia"/>
                      <w:color w:val="auto"/>
                      <w:sz w:val="18"/>
                      <w:szCs w:val="18"/>
                      <w:lang w:val="en-US" w:eastAsia="zh-CN"/>
                    </w:rPr>
                    <w:t>1</w:t>
                  </w:r>
                </w:p>
              </w:tc>
              <w:tc>
                <w:tcPr>
                  <w:tcW w:w="590" w:type="pct"/>
                  <w:vAlign w:val="center"/>
                </w:tcPr>
                <w:p w14:paraId="415176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val="en-US" w:eastAsia="zh-CN"/>
                    </w:rPr>
                    <w:t>0.283</w:t>
                  </w:r>
                </w:p>
              </w:tc>
              <w:tc>
                <w:tcPr>
                  <w:tcW w:w="517" w:type="pct"/>
                  <w:vAlign w:val="center"/>
                </w:tcPr>
                <w:p w14:paraId="31C1D0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lang w:eastAsia="zh-CN"/>
                    </w:rPr>
                    <w:t>灭菌后</w:t>
                  </w:r>
                  <w:r>
                    <w:rPr>
                      <w:rFonts w:hint="eastAsia" w:eastAsiaTheme="minorEastAsia"/>
                      <w:color w:val="auto"/>
                      <w:sz w:val="18"/>
                      <w:szCs w:val="18"/>
                    </w:rPr>
                    <w:t>委托资质单位处置</w:t>
                  </w:r>
                </w:p>
              </w:tc>
            </w:tr>
            <w:tr w14:paraId="1F3AB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38" w:type="pct"/>
                  <w:vAlign w:val="center"/>
                </w:tcPr>
                <w:p w14:paraId="6852DA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10</w:t>
                  </w:r>
                </w:p>
              </w:tc>
              <w:tc>
                <w:tcPr>
                  <w:tcW w:w="419" w:type="pct"/>
                  <w:vAlign w:val="center"/>
                </w:tcPr>
                <w:p w14:paraId="5E011B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废</w:t>
                  </w:r>
                  <w:r>
                    <w:rPr>
                      <w:rFonts w:hint="default" w:ascii="Times New Roman" w:hAnsi="Times New Roman" w:cs="Times New Roman" w:eastAsiaTheme="minorEastAsia"/>
                      <w:color w:val="auto"/>
                      <w:sz w:val="18"/>
                      <w:szCs w:val="18"/>
                      <w:lang w:eastAsia="zh-CN"/>
                    </w:rPr>
                    <w:t>活性炭</w:t>
                  </w:r>
                </w:p>
              </w:tc>
              <w:tc>
                <w:tcPr>
                  <w:tcW w:w="226" w:type="pct"/>
                  <w:vMerge w:val="continue"/>
                  <w:vAlign w:val="center"/>
                </w:tcPr>
                <w:p w14:paraId="52B18B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243" w:type="pct"/>
                  <w:vAlign w:val="center"/>
                </w:tcPr>
                <w:p w14:paraId="1DAADD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有机废气处理</w:t>
                  </w:r>
                </w:p>
              </w:tc>
              <w:tc>
                <w:tcPr>
                  <w:tcW w:w="251" w:type="pct"/>
                  <w:vAlign w:val="center"/>
                </w:tcPr>
                <w:p w14:paraId="65F032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rPr>
                    <w:t>固态</w:t>
                  </w:r>
                </w:p>
              </w:tc>
              <w:tc>
                <w:tcPr>
                  <w:tcW w:w="963" w:type="pct"/>
                  <w:vAlign w:val="center"/>
                </w:tcPr>
                <w:p w14:paraId="4323C5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eastAsia="zh-CN"/>
                    </w:rPr>
                    <w:t>活性炭、有机物</w:t>
                  </w:r>
                </w:p>
              </w:tc>
              <w:tc>
                <w:tcPr>
                  <w:tcW w:w="433" w:type="pct"/>
                  <w:vMerge w:val="continue"/>
                  <w:vAlign w:val="center"/>
                </w:tcPr>
                <w:p w14:paraId="664622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p>
              </w:tc>
              <w:tc>
                <w:tcPr>
                  <w:tcW w:w="353" w:type="pct"/>
                  <w:vAlign w:val="center"/>
                </w:tcPr>
                <w:p w14:paraId="59F6E9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Cs/>
                      <w:color w:val="auto"/>
                      <w:sz w:val="18"/>
                      <w:szCs w:val="18"/>
                      <w:lang w:val="en-US"/>
                    </w:rPr>
                  </w:pPr>
                  <w:r>
                    <w:rPr>
                      <w:rFonts w:hint="eastAsia" w:eastAsiaTheme="minorEastAsia"/>
                      <w:bCs/>
                      <w:color w:val="auto"/>
                      <w:sz w:val="18"/>
                      <w:szCs w:val="18"/>
                      <w:lang w:val="en-US" w:eastAsia="zh-CN"/>
                    </w:rPr>
                    <w:t>T</w:t>
                  </w:r>
                </w:p>
              </w:tc>
              <w:tc>
                <w:tcPr>
                  <w:tcW w:w="358" w:type="pct"/>
                  <w:vAlign w:val="center"/>
                </w:tcPr>
                <w:p w14:paraId="23FF5E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eastAsiaTheme="minorEastAsia"/>
                      <w:bCs/>
                      <w:color w:val="auto"/>
                      <w:sz w:val="18"/>
                      <w:szCs w:val="18"/>
                      <w:lang w:val="en-US" w:eastAsia="zh-CN"/>
                    </w:rPr>
                  </w:pPr>
                  <w:r>
                    <w:rPr>
                      <w:rFonts w:hint="eastAsia" w:eastAsiaTheme="minorEastAsia"/>
                      <w:bCs/>
                      <w:color w:val="auto"/>
                      <w:sz w:val="18"/>
                      <w:szCs w:val="18"/>
                    </w:rPr>
                    <w:t>HW</w:t>
                  </w:r>
                  <w:r>
                    <w:rPr>
                      <w:rFonts w:hint="eastAsia" w:eastAsiaTheme="minorEastAsia"/>
                      <w:bCs/>
                      <w:color w:val="auto"/>
                      <w:sz w:val="18"/>
                      <w:szCs w:val="18"/>
                      <w:lang w:val="en-US" w:eastAsia="zh-CN"/>
                    </w:rPr>
                    <w:t>49</w:t>
                  </w:r>
                </w:p>
              </w:tc>
              <w:tc>
                <w:tcPr>
                  <w:tcW w:w="505" w:type="pct"/>
                  <w:vAlign w:val="center"/>
                </w:tcPr>
                <w:p w14:paraId="39C67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bCs/>
                      <w:color w:val="auto"/>
                      <w:sz w:val="18"/>
                      <w:szCs w:val="18"/>
                      <w:lang w:val="en-US" w:eastAsia="zh-CN"/>
                    </w:rPr>
                  </w:pPr>
                  <w:r>
                    <w:rPr>
                      <w:rFonts w:hint="eastAsia" w:eastAsiaTheme="minorEastAsia"/>
                      <w:color w:val="auto"/>
                      <w:sz w:val="18"/>
                      <w:szCs w:val="18"/>
                      <w:lang w:val="en-US" w:eastAsia="zh-CN"/>
                    </w:rPr>
                    <w:t>900</w:t>
                  </w:r>
                  <w:r>
                    <w:rPr>
                      <w:rFonts w:hint="eastAsia" w:eastAsiaTheme="minorEastAsia"/>
                      <w:color w:val="auto"/>
                      <w:sz w:val="18"/>
                      <w:szCs w:val="18"/>
                    </w:rPr>
                    <w:t>-0</w:t>
                  </w:r>
                  <w:r>
                    <w:rPr>
                      <w:rFonts w:hint="eastAsia" w:eastAsiaTheme="minorEastAsia"/>
                      <w:color w:val="auto"/>
                      <w:sz w:val="18"/>
                      <w:szCs w:val="18"/>
                      <w:lang w:val="en-US" w:eastAsia="zh-CN"/>
                    </w:rPr>
                    <w:t>39</w:t>
                  </w:r>
                  <w:r>
                    <w:rPr>
                      <w:rFonts w:hint="eastAsia" w:eastAsiaTheme="minorEastAsia"/>
                      <w:color w:val="auto"/>
                      <w:sz w:val="18"/>
                      <w:szCs w:val="18"/>
                    </w:rPr>
                    <w:t>-</w:t>
                  </w:r>
                  <w:r>
                    <w:rPr>
                      <w:rFonts w:hint="eastAsia" w:eastAsiaTheme="minorEastAsia"/>
                      <w:color w:val="auto"/>
                      <w:sz w:val="18"/>
                      <w:szCs w:val="18"/>
                      <w:lang w:val="en-US" w:eastAsia="zh-CN"/>
                    </w:rPr>
                    <w:t>49</w:t>
                  </w:r>
                </w:p>
              </w:tc>
              <w:tc>
                <w:tcPr>
                  <w:tcW w:w="590" w:type="pct"/>
                  <w:vAlign w:val="center"/>
                </w:tcPr>
                <w:p w14:paraId="1723F6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default" w:ascii="Times New Roman" w:hAnsi="Times New Roman" w:cs="Times New Roman" w:eastAsiaTheme="minorEastAsia"/>
                      <w:color w:val="auto"/>
                      <w:sz w:val="18"/>
                      <w:szCs w:val="18"/>
                      <w:lang w:val="en-US" w:eastAsia="zh-CN"/>
                    </w:rPr>
                    <w:t>1.909</w:t>
                  </w:r>
                </w:p>
              </w:tc>
              <w:tc>
                <w:tcPr>
                  <w:tcW w:w="517" w:type="pct"/>
                  <w:vAlign w:val="center"/>
                </w:tcPr>
                <w:p w14:paraId="53D10E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color w:val="auto"/>
                      <w:sz w:val="18"/>
                      <w:szCs w:val="18"/>
                    </w:rPr>
                    <w:t>委托资质单位处置</w:t>
                  </w:r>
                </w:p>
              </w:tc>
            </w:tr>
          </w:tbl>
          <w:p w14:paraId="297BD92F">
            <w:pPr>
              <w:pStyle w:val="2"/>
              <w:keepNext w:val="0"/>
              <w:keepLines w:val="0"/>
              <w:suppressLineNumbers w:val="0"/>
              <w:spacing w:before="0" w:beforeAutospacing="0" w:after="0" w:afterAutospacing="0"/>
              <w:ind w:left="0" w:right="0" w:firstLine="0" w:firstLineChars="0"/>
              <w:rPr>
                <w:rFonts w:hint="default" w:ascii="Times New Roman" w:hAnsi="Times New Roman" w:cs="Times New Roman" w:eastAsiaTheme="minorEastAsia"/>
                <w:b w:val="0"/>
                <w:color w:val="auto"/>
                <w:kern w:val="44"/>
                <w:sz w:val="18"/>
                <w:szCs w:val="18"/>
                <w:lang w:val="en-US" w:eastAsia="zh-CN"/>
              </w:rPr>
            </w:pPr>
            <w:r>
              <w:rPr>
                <w:rFonts w:hint="eastAsia" w:ascii="Times New Roman" w:hAnsi="Times New Roman" w:cs="Times New Roman" w:eastAsiaTheme="minorEastAsia"/>
                <w:b w:val="0"/>
                <w:color w:val="auto"/>
                <w:kern w:val="44"/>
                <w:sz w:val="18"/>
                <w:szCs w:val="18"/>
              </w:rPr>
              <w:t>注：危险特性，包括腐蚀性（Corrosivity,C）、毒性（Toxicity,T）、易燃性（Ignitability,I）、反应性（Reactivity,R）和感染性（Infectivity,In）。</w:t>
            </w:r>
          </w:p>
        </w:tc>
      </w:tr>
    </w:tbl>
    <w:p w14:paraId="592CEB39">
      <w:pPr>
        <w:ind w:left="0" w:leftChars="0" w:firstLine="0" w:firstLineChars="0"/>
        <w:rPr>
          <w:rFonts w:hint="default"/>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074"/>
      </w:tblGrid>
      <w:tr w14:paraId="60CA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 w:type="dxa"/>
          </w:tcPr>
          <w:p w14:paraId="4FA08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olor w:val="auto"/>
                <w:vertAlign w:val="baseline"/>
                <w:lang w:val="en-US" w:eastAsia="zh-CN"/>
              </w:rPr>
            </w:pPr>
          </w:p>
        </w:tc>
        <w:tc>
          <w:tcPr>
            <w:tcW w:w="7950" w:type="dxa"/>
          </w:tcPr>
          <w:p w14:paraId="5891A48A">
            <w:pPr>
              <w:keepNext w:val="0"/>
              <w:keepLines w:val="0"/>
              <w:suppressLineNumbers w:val="0"/>
              <w:bidi w:val="0"/>
              <w:spacing w:before="0" w:beforeAutospacing="0" w:after="0" w:afterAutospacing="0"/>
              <w:ind w:left="0" w:right="0"/>
              <w:rPr>
                <w:rFonts w:hint="eastAsia"/>
                <w:color w:val="auto"/>
                <w:lang w:val="en-US" w:eastAsia="zh-CN"/>
              </w:rPr>
            </w:pPr>
            <w:r>
              <w:rPr>
                <w:rFonts w:hint="eastAsia"/>
                <w:b/>
                <w:bCs/>
                <w:color w:val="auto"/>
                <w:lang w:val="en-US" w:eastAsia="zh-CN"/>
              </w:rPr>
              <w:t>4.2 污染源强核算过程简述</w:t>
            </w:r>
          </w:p>
          <w:p w14:paraId="082F6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auto"/>
                <w:sz w:val="24"/>
                <w:highlight w:val="none"/>
              </w:rPr>
            </w:pPr>
            <w:r>
              <w:rPr>
                <w:rFonts w:hint="eastAsia"/>
                <w:color w:val="auto"/>
                <w:sz w:val="24"/>
                <w:highlight w:val="none"/>
              </w:rPr>
              <w:t>项目固体废物主要有生活垃圾、实验室一般固废和实验室危险废物。</w:t>
            </w:r>
          </w:p>
          <w:p w14:paraId="1C31A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auto"/>
                <w:sz w:val="24"/>
                <w:highlight w:val="none"/>
              </w:rPr>
            </w:pPr>
            <w:r>
              <w:rPr>
                <w:rFonts w:hint="eastAsia"/>
                <w:color w:val="auto"/>
                <w:sz w:val="24"/>
                <w:highlight w:val="none"/>
                <w:lang w:eastAsia="zh-CN"/>
              </w:rPr>
              <w:t>（</w:t>
            </w:r>
            <w:r>
              <w:rPr>
                <w:rFonts w:hint="eastAsia"/>
                <w:color w:val="auto"/>
                <w:sz w:val="24"/>
                <w:highlight w:val="none"/>
              </w:rPr>
              <w:t>1</w:t>
            </w:r>
            <w:r>
              <w:rPr>
                <w:rFonts w:hint="eastAsia"/>
                <w:color w:val="auto"/>
                <w:sz w:val="24"/>
                <w:highlight w:val="none"/>
                <w:lang w:eastAsia="zh-CN"/>
              </w:rPr>
              <w:t>）</w:t>
            </w:r>
            <w:r>
              <w:rPr>
                <w:rFonts w:hint="eastAsia"/>
                <w:color w:val="auto"/>
                <w:sz w:val="24"/>
                <w:highlight w:val="none"/>
              </w:rPr>
              <w:t>生活垃圾</w:t>
            </w:r>
          </w:p>
          <w:p w14:paraId="47448F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auto"/>
                <w:sz w:val="24"/>
                <w:highlight w:val="none"/>
              </w:rPr>
            </w:pPr>
            <w:r>
              <w:rPr>
                <w:rFonts w:hint="eastAsia"/>
                <w:color w:val="auto"/>
                <w:sz w:val="24"/>
                <w:highlight w:val="none"/>
              </w:rPr>
              <w:t>项目</w:t>
            </w:r>
            <w:r>
              <w:rPr>
                <w:rFonts w:hint="eastAsia"/>
                <w:color w:val="auto"/>
                <w:sz w:val="24"/>
                <w:highlight w:val="none"/>
                <w:lang w:eastAsia="zh-CN"/>
              </w:rPr>
              <w:t>外来教学人员</w:t>
            </w:r>
            <w:r>
              <w:rPr>
                <w:rFonts w:hint="eastAsia"/>
                <w:color w:val="auto"/>
                <w:sz w:val="24"/>
                <w:highlight w:val="none"/>
                <w:lang w:val="en-US" w:eastAsia="zh-CN"/>
              </w:rPr>
              <w:t>50</w:t>
            </w:r>
            <w:r>
              <w:rPr>
                <w:rFonts w:hint="eastAsia"/>
                <w:color w:val="auto"/>
                <w:sz w:val="24"/>
                <w:highlight w:val="none"/>
              </w:rPr>
              <w:t>人</w:t>
            </w:r>
            <w:r>
              <w:rPr>
                <w:rFonts w:hint="eastAsia"/>
                <w:color w:val="auto"/>
                <w:sz w:val="24"/>
                <w:highlight w:val="none"/>
                <w:lang w:eastAsia="zh-CN"/>
              </w:rPr>
              <w:t>，</w:t>
            </w:r>
            <w:r>
              <w:rPr>
                <w:rFonts w:hint="eastAsia"/>
                <w:color w:val="auto"/>
                <w:sz w:val="24"/>
                <w:highlight w:val="none"/>
              </w:rPr>
              <w:t>生活垃圾按0.5kg/人d计</w:t>
            </w:r>
            <w:r>
              <w:rPr>
                <w:rFonts w:hint="eastAsia"/>
                <w:color w:val="auto"/>
                <w:sz w:val="24"/>
                <w:highlight w:val="none"/>
                <w:lang w:eastAsia="zh-CN"/>
              </w:rPr>
              <w:t>，教学科研楼年运行</w:t>
            </w:r>
            <w:r>
              <w:rPr>
                <w:rFonts w:hint="eastAsia"/>
                <w:color w:val="auto"/>
                <w:sz w:val="24"/>
                <w:highlight w:val="none"/>
                <w:lang w:val="en-US" w:eastAsia="zh-CN"/>
              </w:rPr>
              <w:t>300天，</w:t>
            </w:r>
            <w:r>
              <w:rPr>
                <w:rFonts w:hint="eastAsia"/>
                <w:color w:val="auto"/>
                <w:sz w:val="24"/>
                <w:highlight w:val="none"/>
              </w:rPr>
              <w:t>则生活垃圾产生量为</w:t>
            </w:r>
            <w:r>
              <w:rPr>
                <w:rFonts w:hint="eastAsia"/>
                <w:color w:val="auto"/>
                <w:sz w:val="24"/>
                <w:highlight w:val="none"/>
                <w:lang w:val="en-US" w:eastAsia="zh-CN"/>
              </w:rPr>
              <w:t>7.5</w:t>
            </w:r>
            <w:r>
              <w:rPr>
                <w:rFonts w:hint="eastAsia"/>
                <w:color w:val="auto"/>
                <w:sz w:val="24"/>
                <w:highlight w:val="none"/>
              </w:rPr>
              <w:t>t/a。</w:t>
            </w:r>
            <w:r>
              <w:rPr>
                <w:rFonts w:hint="eastAsia"/>
                <w:color w:val="auto"/>
                <w:sz w:val="24"/>
                <w:highlight w:val="none"/>
                <w:lang w:eastAsia="zh-CN"/>
              </w:rPr>
              <w:t>委托</w:t>
            </w:r>
            <w:r>
              <w:rPr>
                <w:rFonts w:hint="eastAsia"/>
                <w:color w:val="auto"/>
                <w:sz w:val="24"/>
                <w:highlight w:val="none"/>
              </w:rPr>
              <w:t>环卫部门统</w:t>
            </w:r>
            <w:r>
              <w:rPr>
                <w:rFonts w:hint="eastAsia"/>
                <w:color w:val="auto"/>
                <w:sz w:val="24"/>
                <w:highlight w:val="none"/>
                <w:lang w:val="en-US" w:eastAsia="zh-CN"/>
              </w:rPr>
              <w:t>一</w:t>
            </w:r>
            <w:r>
              <w:rPr>
                <w:rFonts w:hint="eastAsia"/>
                <w:color w:val="auto"/>
                <w:sz w:val="24"/>
                <w:highlight w:val="none"/>
              </w:rPr>
              <w:t>清运。</w:t>
            </w:r>
          </w:p>
          <w:p w14:paraId="053461D8">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sz w:val="24"/>
                <w:highlight w:val="none"/>
              </w:rPr>
            </w:pPr>
            <w:r>
              <w:rPr>
                <w:rFonts w:hint="eastAsia"/>
                <w:color w:val="auto"/>
                <w:sz w:val="24"/>
                <w:highlight w:val="none"/>
                <w:lang w:eastAsia="zh-CN"/>
              </w:rPr>
              <w:t>（</w:t>
            </w:r>
            <w:r>
              <w:rPr>
                <w:rFonts w:hint="eastAsia"/>
                <w:color w:val="auto"/>
                <w:sz w:val="24"/>
                <w:highlight w:val="none"/>
              </w:rPr>
              <w:t>2</w:t>
            </w:r>
            <w:r>
              <w:rPr>
                <w:rFonts w:hint="eastAsia"/>
                <w:color w:val="auto"/>
                <w:sz w:val="24"/>
                <w:highlight w:val="none"/>
                <w:lang w:eastAsia="zh-CN"/>
              </w:rPr>
              <w:t>）</w:t>
            </w:r>
            <w:r>
              <w:rPr>
                <w:rFonts w:hint="eastAsia"/>
                <w:color w:val="auto"/>
                <w:sz w:val="24"/>
                <w:highlight w:val="none"/>
                <w:lang w:val="en-US" w:eastAsia="zh-CN"/>
              </w:rPr>
              <w:t>一</w:t>
            </w:r>
            <w:r>
              <w:rPr>
                <w:rFonts w:hint="eastAsia"/>
                <w:color w:val="auto"/>
                <w:sz w:val="24"/>
                <w:highlight w:val="none"/>
              </w:rPr>
              <w:t>般固废</w:t>
            </w:r>
          </w:p>
          <w:p w14:paraId="4668E05E">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sz w:val="24"/>
                <w:highlight w:val="none"/>
              </w:rPr>
            </w:pPr>
            <w:r>
              <w:rPr>
                <w:rFonts w:hint="eastAsia"/>
                <w:color w:val="auto"/>
                <w:sz w:val="24"/>
                <w:highlight w:val="none"/>
                <w:lang w:val="en-US" w:eastAsia="zh-CN"/>
              </w:rPr>
              <w:t>废反渗透膜：</w:t>
            </w:r>
            <w:r>
              <w:rPr>
                <w:rFonts w:hint="eastAsia"/>
                <w:color w:val="auto"/>
                <w:sz w:val="24"/>
                <w:highlight w:val="none"/>
              </w:rPr>
              <w:t>项目实验室</w:t>
            </w:r>
            <w:r>
              <w:rPr>
                <w:rFonts w:hint="eastAsia"/>
                <w:color w:val="auto"/>
                <w:sz w:val="24"/>
                <w:highlight w:val="none"/>
                <w:lang w:val="en-US" w:eastAsia="zh-CN"/>
              </w:rPr>
              <w:t>纯水制备机制备纯水时会产生废反渗透滤膜</w:t>
            </w:r>
            <w:r>
              <w:rPr>
                <w:rFonts w:hint="eastAsia"/>
                <w:color w:val="auto"/>
                <w:sz w:val="24"/>
                <w:highlight w:val="none"/>
              </w:rPr>
              <w:t>等，根据</w:t>
            </w:r>
            <w:r>
              <w:rPr>
                <w:rFonts w:hint="eastAsia"/>
                <w:color w:val="auto"/>
                <w:sz w:val="24"/>
                <w:highlight w:val="none"/>
                <w:lang w:eastAsia="zh-CN"/>
              </w:rPr>
              <w:t>建设单位</w:t>
            </w:r>
            <w:r>
              <w:rPr>
                <w:rFonts w:hint="eastAsia"/>
                <w:color w:val="auto"/>
                <w:sz w:val="24"/>
                <w:highlight w:val="none"/>
              </w:rPr>
              <w:t>提供资料，每年产生量约0.</w:t>
            </w:r>
            <w:r>
              <w:rPr>
                <w:rFonts w:hint="eastAsia"/>
                <w:color w:val="auto"/>
                <w:sz w:val="24"/>
                <w:highlight w:val="none"/>
                <w:lang w:val="en-US" w:eastAsia="zh-CN"/>
              </w:rPr>
              <w:t>05</w:t>
            </w:r>
            <w:r>
              <w:rPr>
                <w:rFonts w:hint="eastAsia"/>
                <w:color w:val="auto"/>
                <w:sz w:val="24"/>
                <w:highlight w:val="none"/>
              </w:rPr>
              <w:t>t，</w:t>
            </w:r>
            <w:r>
              <w:rPr>
                <w:rFonts w:hint="eastAsia"/>
                <w:color w:val="auto"/>
                <w:sz w:val="24"/>
                <w:highlight w:val="none"/>
                <w:lang w:eastAsia="zh-CN"/>
              </w:rPr>
              <w:t>由原厂家定期回收更换</w:t>
            </w:r>
            <w:r>
              <w:rPr>
                <w:rFonts w:hint="eastAsia"/>
                <w:color w:val="auto"/>
                <w:sz w:val="24"/>
                <w:highlight w:val="none"/>
              </w:rPr>
              <w:t>。</w:t>
            </w:r>
          </w:p>
          <w:p w14:paraId="46757AC7">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sz w:val="24"/>
                <w:highlight w:val="none"/>
                <w:lang w:eastAsia="zh-CN"/>
              </w:rPr>
            </w:pPr>
            <w:r>
              <w:rPr>
                <w:rFonts w:hint="eastAsia" w:eastAsiaTheme="minorEastAsia"/>
                <w:color w:val="auto"/>
                <w:szCs w:val="21"/>
              </w:rPr>
              <w:t>化粪池污泥：</w:t>
            </w:r>
            <w:r>
              <w:rPr>
                <w:rFonts w:hint="eastAsia" w:eastAsiaTheme="minorEastAsia"/>
                <w:color w:val="auto"/>
                <w:szCs w:val="21"/>
                <w:lang w:eastAsia="zh-CN"/>
              </w:rPr>
              <w:t>本项目</w:t>
            </w:r>
            <w:r>
              <w:rPr>
                <w:rFonts w:hint="eastAsia" w:eastAsiaTheme="minorEastAsia"/>
                <w:color w:val="auto"/>
                <w:szCs w:val="21"/>
                <w:lang w:val="en-US" w:eastAsia="zh-CN"/>
              </w:rPr>
              <w:t>生活污水排入化粪池处理，项目外来教学人员50人，根据《建筑给水排水设计标准》（GB50015-2019），化粪池污泥量取0.3L人•天，年运行300天，则化粪池污泥量约4.5t/a。《医疗机构水污染物排放标准》（GB18466-2005）4.3.1规定“栅渣、化粪池和污水处理站污泥属危险废物，应按危险废物进行处理和处置”，但在2023年10月生态环境部修订的《医疗机构水污染物排放标准》修改单（征求意见稿）中，已将“栅渣、化粪池和污水处理站污泥属危险废物，应按危险废物进行处理和处置”修改为“污泥应进行消毒处理，并满足（GB18466-2005）表4的要求，方可进行清掏和处理处置”，</w:t>
            </w:r>
            <w:r>
              <w:rPr>
                <w:rFonts w:hint="default"/>
                <w:color w:val="auto"/>
                <w:sz w:val="24"/>
                <w:highlight w:val="none"/>
                <w:lang w:val="en-US" w:eastAsia="zh-CN"/>
              </w:rPr>
              <w:t>《国家危险废物名录》</w:t>
            </w:r>
            <w:r>
              <w:rPr>
                <w:rFonts w:hint="eastAsia"/>
                <w:color w:val="auto"/>
                <w:sz w:val="24"/>
                <w:highlight w:val="none"/>
                <w:lang w:val="en-US" w:eastAsia="zh-CN"/>
              </w:rPr>
              <w:t>（</w:t>
            </w:r>
            <w:r>
              <w:rPr>
                <w:rFonts w:hint="default"/>
                <w:color w:val="auto"/>
                <w:sz w:val="24"/>
                <w:highlight w:val="none"/>
                <w:lang w:val="en-US" w:eastAsia="zh-CN"/>
              </w:rPr>
              <w:t>202</w:t>
            </w:r>
            <w:r>
              <w:rPr>
                <w:rFonts w:hint="eastAsia"/>
                <w:color w:val="auto"/>
                <w:sz w:val="24"/>
                <w:highlight w:val="none"/>
                <w:lang w:val="en-US" w:eastAsia="zh-CN"/>
              </w:rPr>
              <w:t>5</w:t>
            </w:r>
            <w:r>
              <w:rPr>
                <w:rFonts w:hint="default"/>
                <w:color w:val="auto"/>
                <w:sz w:val="24"/>
                <w:highlight w:val="none"/>
                <w:lang w:val="en-US" w:eastAsia="zh-CN"/>
              </w:rPr>
              <w:t>年版</w:t>
            </w:r>
            <w:r>
              <w:rPr>
                <w:rFonts w:hint="eastAsia"/>
                <w:color w:val="auto"/>
                <w:sz w:val="24"/>
                <w:highlight w:val="none"/>
                <w:lang w:val="en-US" w:eastAsia="zh-CN"/>
              </w:rPr>
              <w:t>）对化粪池污泥未认定为危险废物，综上判定本项目化粪池污泥进行消毒处理后委托</w:t>
            </w:r>
            <w:r>
              <w:rPr>
                <w:rFonts w:hint="eastAsia" w:eastAsiaTheme="minorEastAsia"/>
                <w:color w:val="auto"/>
                <w:szCs w:val="21"/>
                <w:lang w:val="en-US" w:eastAsia="zh-CN"/>
              </w:rPr>
              <w:t>环卫部门清掏后外运</w:t>
            </w:r>
            <w:r>
              <w:rPr>
                <w:rFonts w:hint="eastAsia" w:eastAsiaTheme="minorEastAsia"/>
                <w:color w:val="auto"/>
                <w:szCs w:val="21"/>
              </w:rPr>
              <w:t>。</w:t>
            </w:r>
          </w:p>
          <w:p w14:paraId="0EA5BC12">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eastAsia="宋体"/>
                <w:color w:val="auto"/>
                <w:sz w:val="24"/>
                <w:highlight w:val="none"/>
                <w:lang w:eastAsia="zh-CN"/>
              </w:rPr>
            </w:pPr>
            <w:r>
              <w:rPr>
                <w:rFonts w:hint="eastAsia"/>
                <w:color w:val="auto"/>
                <w:sz w:val="24"/>
                <w:highlight w:val="none"/>
                <w:lang w:eastAsia="zh-CN"/>
              </w:rPr>
              <w:t>（</w:t>
            </w:r>
            <w:r>
              <w:rPr>
                <w:rFonts w:hint="eastAsia"/>
                <w:color w:val="auto"/>
                <w:sz w:val="24"/>
                <w:highlight w:val="none"/>
              </w:rPr>
              <w:t>3</w:t>
            </w:r>
            <w:r>
              <w:rPr>
                <w:rFonts w:hint="eastAsia"/>
                <w:color w:val="auto"/>
                <w:sz w:val="24"/>
                <w:highlight w:val="none"/>
                <w:lang w:eastAsia="zh-CN"/>
              </w:rPr>
              <w:t>）</w:t>
            </w:r>
            <w:r>
              <w:rPr>
                <w:rFonts w:hint="eastAsia"/>
                <w:color w:val="auto"/>
                <w:sz w:val="24"/>
                <w:highlight w:val="none"/>
              </w:rPr>
              <w:t>危险废物</w:t>
            </w:r>
            <w:r>
              <w:rPr>
                <w:rFonts w:hint="eastAsia"/>
                <w:color w:val="auto"/>
                <w:sz w:val="24"/>
                <w:highlight w:val="none"/>
                <w:lang w:eastAsia="zh-CN"/>
              </w:rPr>
              <w:t>（</w:t>
            </w:r>
            <w:r>
              <w:rPr>
                <w:rFonts w:hint="eastAsia"/>
                <w:color w:val="auto"/>
                <w:sz w:val="24"/>
                <w:highlight w:val="none"/>
              </w:rPr>
              <w:t>医疗废物</w:t>
            </w:r>
            <w:r>
              <w:rPr>
                <w:rFonts w:hint="eastAsia"/>
                <w:color w:val="auto"/>
                <w:sz w:val="24"/>
                <w:highlight w:val="none"/>
                <w:lang w:eastAsia="zh-CN"/>
              </w:rPr>
              <w:t>）</w:t>
            </w:r>
          </w:p>
          <w:p w14:paraId="192FB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auto"/>
                <w:sz w:val="24"/>
                <w:highlight w:val="none"/>
              </w:rPr>
            </w:pPr>
            <w:r>
              <w:rPr>
                <w:rFonts w:hint="eastAsia"/>
                <w:color w:val="auto"/>
                <w:sz w:val="24"/>
                <w:highlight w:val="none"/>
              </w:rPr>
              <w:t>按《国家危险废物名录》</w:t>
            </w:r>
            <w:r>
              <w:rPr>
                <w:rFonts w:hint="eastAsia"/>
                <w:color w:val="auto"/>
                <w:sz w:val="24"/>
                <w:highlight w:val="none"/>
                <w:lang w:eastAsia="zh-CN"/>
              </w:rPr>
              <w:t>（</w:t>
            </w:r>
            <w:r>
              <w:rPr>
                <w:rFonts w:hint="eastAsia"/>
                <w:color w:val="auto"/>
                <w:sz w:val="24"/>
                <w:highlight w:val="none"/>
              </w:rPr>
              <w:t>202</w:t>
            </w:r>
            <w:r>
              <w:rPr>
                <w:rFonts w:hint="eastAsia"/>
                <w:color w:val="auto"/>
                <w:sz w:val="24"/>
                <w:highlight w:val="none"/>
                <w:lang w:val="en-US" w:eastAsia="zh-CN"/>
              </w:rPr>
              <w:t>5</w:t>
            </w:r>
            <w:r>
              <w:rPr>
                <w:rFonts w:hint="eastAsia"/>
                <w:color w:val="auto"/>
                <w:sz w:val="24"/>
                <w:highlight w:val="none"/>
              </w:rPr>
              <w:t>年版</w:t>
            </w:r>
            <w:r>
              <w:rPr>
                <w:rFonts w:hint="eastAsia"/>
                <w:color w:val="auto"/>
                <w:sz w:val="24"/>
                <w:highlight w:val="none"/>
                <w:lang w:eastAsia="zh-CN"/>
              </w:rPr>
              <w:t>）</w:t>
            </w:r>
            <w:r>
              <w:rPr>
                <w:rFonts w:hint="eastAsia"/>
                <w:color w:val="auto"/>
                <w:sz w:val="24"/>
                <w:highlight w:val="none"/>
              </w:rPr>
              <w:t>分类，</w:t>
            </w:r>
            <w:r>
              <w:rPr>
                <w:rFonts w:hint="eastAsia"/>
                <w:color w:val="auto"/>
                <w:sz w:val="24"/>
                <w:highlight w:val="none"/>
                <w:lang w:eastAsia="zh-CN"/>
              </w:rPr>
              <w:t>医学</w:t>
            </w:r>
            <w:r>
              <w:rPr>
                <w:rFonts w:hint="eastAsia"/>
                <w:color w:val="auto"/>
                <w:sz w:val="24"/>
                <w:highlight w:val="none"/>
              </w:rPr>
              <w:t>检验实验室废物属医疗</w:t>
            </w:r>
            <w:r>
              <w:rPr>
                <w:rFonts w:hint="eastAsia"/>
                <w:color w:val="auto"/>
                <w:sz w:val="24"/>
                <w:highlight w:val="none"/>
                <w:lang w:eastAsia="zh-CN"/>
              </w:rPr>
              <w:t>废物</w:t>
            </w:r>
            <w:r>
              <w:rPr>
                <w:rFonts w:hint="eastAsia"/>
                <w:color w:val="auto"/>
                <w:sz w:val="24"/>
                <w:highlight w:val="none"/>
              </w:rPr>
              <w:t>范畴，分别属危险废物名录中的HW01医疗废物</w:t>
            </w:r>
            <w:r>
              <w:rPr>
                <w:rFonts w:hint="eastAsia"/>
                <w:color w:val="auto"/>
                <w:sz w:val="24"/>
                <w:highlight w:val="none"/>
                <w:lang w:eastAsia="zh-CN"/>
              </w:rPr>
              <w:t>；</w:t>
            </w:r>
            <w:r>
              <w:rPr>
                <w:rFonts w:hint="eastAsia"/>
                <w:color w:val="auto"/>
                <w:sz w:val="24"/>
                <w:highlight w:val="none"/>
              </w:rPr>
              <w:t>依照国家卫生健康委</w:t>
            </w:r>
            <w:r>
              <w:rPr>
                <w:rFonts w:hint="eastAsia"/>
                <w:color w:val="auto"/>
                <w:sz w:val="24"/>
                <w:highlight w:val="none"/>
                <w:lang w:eastAsia="zh-CN"/>
              </w:rPr>
              <w:t>发布的</w:t>
            </w:r>
            <w:r>
              <w:rPr>
                <w:rFonts w:hint="eastAsia"/>
                <w:color w:val="auto"/>
                <w:sz w:val="24"/>
                <w:highlight w:val="none"/>
              </w:rPr>
              <w:t>《医疗废物分类目录》</w:t>
            </w:r>
            <w:r>
              <w:rPr>
                <w:rFonts w:hint="eastAsia"/>
                <w:color w:val="auto"/>
                <w:sz w:val="24"/>
                <w:highlight w:val="none"/>
                <w:lang w:eastAsia="zh-CN"/>
              </w:rPr>
              <w:t>（</w:t>
            </w:r>
            <w:r>
              <w:rPr>
                <w:rFonts w:hint="eastAsia"/>
                <w:color w:val="auto"/>
                <w:sz w:val="24"/>
                <w:highlight w:val="none"/>
              </w:rPr>
              <w:t>2021年版</w:t>
            </w:r>
            <w:r>
              <w:rPr>
                <w:rFonts w:hint="eastAsia"/>
                <w:color w:val="auto"/>
                <w:sz w:val="24"/>
                <w:highlight w:val="none"/>
                <w:lang w:eastAsia="zh-CN"/>
              </w:rPr>
              <w:t>）</w:t>
            </w:r>
            <w:r>
              <w:rPr>
                <w:rFonts w:hint="eastAsia"/>
                <w:color w:val="auto"/>
                <w:sz w:val="24"/>
                <w:highlight w:val="none"/>
              </w:rPr>
              <w:t>，医疗废物可分为5大类，具体见</w:t>
            </w:r>
            <w:r>
              <w:rPr>
                <w:rFonts w:hint="eastAsia"/>
                <w:color w:val="auto"/>
                <w:sz w:val="24"/>
                <w:highlight w:val="none"/>
                <w:lang w:val="en-US" w:eastAsia="zh-CN"/>
              </w:rPr>
              <w:t>下表</w:t>
            </w:r>
            <w:r>
              <w:rPr>
                <w:rFonts w:hint="eastAsia"/>
                <w:color w:val="auto"/>
                <w:sz w:val="24"/>
                <w:highlight w:val="none"/>
              </w:rPr>
              <w:t>。</w:t>
            </w:r>
          </w:p>
          <w:p w14:paraId="18C96843">
            <w:pPr>
              <w:keepNext w:val="0"/>
              <w:keepLines w:val="0"/>
              <w:suppressLineNumbers w:val="0"/>
              <w:spacing w:before="0" w:beforeAutospacing="0" w:after="0" w:afterAutospacing="0" w:line="440" w:lineRule="exact"/>
              <w:ind w:left="0" w:right="0"/>
              <w:jc w:val="center"/>
              <w:rPr>
                <w:rFonts w:hint="default" w:eastAsia="宋体"/>
                <w:b/>
                <w:bCs/>
                <w:color w:val="auto"/>
                <w:sz w:val="24"/>
                <w:highlight w:val="none"/>
                <w:lang w:val="en-US" w:eastAsia="zh-CN"/>
              </w:rPr>
            </w:pPr>
            <w:r>
              <w:rPr>
                <w:rFonts w:hint="eastAsia"/>
                <w:b/>
                <w:bCs/>
                <w:color w:val="auto"/>
                <w:sz w:val="24"/>
                <w:highlight w:val="none"/>
              </w:rPr>
              <w:t>表4</w:t>
            </w:r>
            <w:r>
              <w:rPr>
                <w:rFonts w:hint="eastAsia"/>
                <w:b/>
                <w:bCs/>
                <w:color w:val="auto"/>
                <w:sz w:val="24"/>
                <w:highlight w:val="none"/>
                <w:lang w:val="en-US" w:eastAsia="zh-CN"/>
              </w:rPr>
              <w:t>.4</w:t>
            </w:r>
            <w:r>
              <w:rPr>
                <w:rFonts w:hint="eastAsia"/>
                <w:b/>
                <w:bCs/>
                <w:color w:val="auto"/>
                <w:sz w:val="24"/>
                <w:highlight w:val="none"/>
              </w:rPr>
              <w:t>-</w:t>
            </w:r>
            <w:r>
              <w:rPr>
                <w:rFonts w:hint="eastAsia"/>
                <w:b/>
                <w:bCs/>
                <w:color w:val="auto"/>
                <w:sz w:val="24"/>
                <w:highlight w:val="none"/>
                <w:lang w:val="en-US" w:eastAsia="zh-CN"/>
              </w:rPr>
              <w:t>3</w:t>
            </w:r>
            <w:r>
              <w:rPr>
                <w:rFonts w:hint="eastAsia"/>
                <w:b/>
                <w:bCs/>
                <w:color w:val="auto"/>
                <w:sz w:val="24"/>
                <w:highlight w:val="none"/>
              </w:rPr>
              <w:t xml:space="preserve">  </w:t>
            </w:r>
            <w:r>
              <w:rPr>
                <w:rFonts w:hint="eastAsia"/>
                <w:b/>
                <w:bCs/>
                <w:color w:val="auto"/>
                <w:sz w:val="24"/>
                <w:highlight w:val="none"/>
                <w:lang w:val="en-US" w:eastAsia="zh-CN"/>
              </w:rPr>
              <w:t>医疗废物分类目录</w:t>
            </w:r>
          </w:p>
          <w:tbl>
            <w:tblPr>
              <w:tblStyle w:val="24"/>
              <w:tblW w:w="7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193"/>
              <w:gridCol w:w="3005"/>
              <w:gridCol w:w="3004"/>
            </w:tblGrid>
            <w:tr w14:paraId="44C71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56" w:type="dxa"/>
                  <w:tcBorders>
                    <w:tl2br w:val="nil"/>
                    <w:tr2bl w:val="nil"/>
                  </w:tcBorders>
                  <w:noWrap w:val="0"/>
                  <w:vAlign w:val="center"/>
                </w:tcPr>
                <w:p w14:paraId="6CDD62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18"/>
                      <w:szCs w:val="18"/>
                      <w:highlight w:val="none"/>
                      <w:lang w:eastAsia="zh-CN"/>
                    </w:rPr>
                  </w:pPr>
                  <w:r>
                    <w:rPr>
                      <w:rFonts w:hint="eastAsia"/>
                      <w:b/>
                      <w:bCs/>
                      <w:color w:val="auto"/>
                      <w:sz w:val="18"/>
                      <w:szCs w:val="18"/>
                      <w:highlight w:val="none"/>
                      <w:lang w:val="en-US" w:eastAsia="zh-CN"/>
                    </w:rPr>
                    <w:t>类别</w:t>
                  </w:r>
                </w:p>
              </w:tc>
              <w:tc>
                <w:tcPr>
                  <w:tcW w:w="1193" w:type="dxa"/>
                  <w:tcBorders>
                    <w:tl2br w:val="nil"/>
                    <w:tr2bl w:val="nil"/>
                  </w:tcBorders>
                  <w:noWrap w:val="0"/>
                  <w:vAlign w:val="center"/>
                </w:tcPr>
                <w:p w14:paraId="7488DE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18"/>
                      <w:szCs w:val="18"/>
                      <w:highlight w:val="none"/>
                      <w:lang w:eastAsia="zh-CN"/>
                    </w:rPr>
                  </w:pPr>
                  <w:r>
                    <w:rPr>
                      <w:rFonts w:hint="eastAsia"/>
                      <w:b/>
                      <w:bCs/>
                      <w:color w:val="auto"/>
                      <w:sz w:val="18"/>
                      <w:szCs w:val="18"/>
                      <w:highlight w:val="none"/>
                      <w:lang w:val="en-US" w:eastAsia="zh-CN"/>
                    </w:rPr>
                    <w:t>特征</w:t>
                  </w:r>
                </w:p>
              </w:tc>
              <w:tc>
                <w:tcPr>
                  <w:tcW w:w="3005" w:type="dxa"/>
                  <w:tcBorders>
                    <w:tl2br w:val="nil"/>
                    <w:tr2bl w:val="nil"/>
                  </w:tcBorders>
                  <w:noWrap w:val="0"/>
                  <w:vAlign w:val="center"/>
                </w:tcPr>
                <w:p w14:paraId="4204E7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b/>
                      <w:bCs/>
                      <w:color w:val="auto"/>
                      <w:sz w:val="18"/>
                      <w:szCs w:val="18"/>
                      <w:highlight w:val="none"/>
                      <w:lang w:val="en-US" w:eastAsia="zh-CN"/>
                    </w:rPr>
                  </w:pPr>
                  <w:r>
                    <w:rPr>
                      <w:rFonts w:hint="eastAsia"/>
                      <w:b/>
                      <w:bCs/>
                      <w:color w:val="auto"/>
                      <w:sz w:val="18"/>
                      <w:szCs w:val="18"/>
                      <w:highlight w:val="none"/>
                      <w:lang w:val="en-US" w:eastAsia="zh-CN"/>
                    </w:rPr>
                    <w:t>常见组分或废物名称</w:t>
                  </w:r>
                </w:p>
              </w:tc>
              <w:tc>
                <w:tcPr>
                  <w:tcW w:w="3004" w:type="dxa"/>
                  <w:tcBorders>
                    <w:tl2br w:val="nil"/>
                    <w:tr2bl w:val="nil"/>
                  </w:tcBorders>
                  <w:noWrap w:val="0"/>
                  <w:vAlign w:val="center"/>
                </w:tcPr>
                <w:p w14:paraId="1478DA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b/>
                      <w:bCs/>
                      <w:color w:val="auto"/>
                      <w:sz w:val="18"/>
                      <w:szCs w:val="18"/>
                      <w:highlight w:val="none"/>
                      <w:lang w:eastAsia="zh-CN"/>
                    </w:rPr>
                  </w:pPr>
                  <w:r>
                    <w:rPr>
                      <w:rFonts w:hint="eastAsia"/>
                      <w:b/>
                      <w:bCs/>
                      <w:color w:val="auto"/>
                      <w:sz w:val="18"/>
                      <w:szCs w:val="18"/>
                      <w:highlight w:val="none"/>
                      <w:lang w:val="en-US" w:eastAsia="zh-CN"/>
                    </w:rPr>
                    <w:t>收集方式</w:t>
                  </w:r>
                </w:p>
              </w:tc>
            </w:tr>
            <w:tr w14:paraId="0057E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56" w:type="dxa"/>
                  <w:tcBorders>
                    <w:tl2br w:val="nil"/>
                    <w:tr2bl w:val="nil"/>
                  </w:tcBorders>
                  <w:noWrap w:val="0"/>
                  <w:vAlign w:val="center"/>
                </w:tcPr>
                <w:p w14:paraId="60CD917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感染性废物</w:t>
                  </w:r>
                </w:p>
              </w:tc>
              <w:tc>
                <w:tcPr>
                  <w:tcW w:w="1193" w:type="dxa"/>
                  <w:tcBorders>
                    <w:tl2br w:val="nil"/>
                    <w:tr2bl w:val="nil"/>
                  </w:tcBorders>
                  <w:noWrap w:val="0"/>
                  <w:vAlign w:val="center"/>
                </w:tcPr>
                <w:p w14:paraId="3484E5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olor w:val="auto"/>
                      <w:kern w:val="0"/>
                      <w:sz w:val="18"/>
                      <w:szCs w:val="18"/>
                      <w:highlight w:val="none"/>
                      <w:lang w:val="en-US" w:eastAsia="zh-CN" w:bidi="ar"/>
                    </w:rPr>
                  </w:pPr>
                  <w:r>
                    <w:rPr>
                      <w:rFonts w:hint="eastAsia"/>
                      <w:color w:val="auto"/>
                      <w:kern w:val="0"/>
                      <w:sz w:val="18"/>
                      <w:szCs w:val="18"/>
                      <w:highlight w:val="none"/>
                      <w:lang w:bidi="ar"/>
                    </w:rPr>
                    <w:t>携带病原微生物具有引发感染性疾病传播危险</w:t>
                  </w:r>
                  <w:r>
                    <w:rPr>
                      <w:rFonts w:hint="eastAsia"/>
                      <w:color w:val="auto"/>
                      <w:kern w:val="0"/>
                      <w:sz w:val="18"/>
                      <w:szCs w:val="18"/>
                      <w:highlight w:val="none"/>
                      <w:lang w:val="en-US" w:eastAsia="zh-CN" w:bidi="ar"/>
                    </w:rPr>
                    <w:t>的医疗废物</w:t>
                  </w:r>
                </w:p>
                <w:p w14:paraId="04AE1F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p>
              </w:tc>
              <w:tc>
                <w:tcPr>
                  <w:tcW w:w="3005" w:type="dxa"/>
                  <w:tcBorders>
                    <w:tl2br w:val="nil"/>
                    <w:tr2bl w:val="nil"/>
                  </w:tcBorders>
                  <w:noWrap w:val="0"/>
                  <w:vAlign w:val="center"/>
                </w:tcPr>
                <w:p w14:paraId="575319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kern w:val="0"/>
                      <w:sz w:val="18"/>
                      <w:szCs w:val="18"/>
                      <w:highlight w:val="none"/>
                      <w:lang w:bidi="ar"/>
                    </w:rPr>
                  </w:pPr>
                  <w:r>
                    <w:rPr>
                      <w:rFonts w:hint="eastAsia"/>
                      <w:color w:val="auto"/>
                      <w:kern w:val="0"/>
                      <w:sz w:val="18"/>
                      <w:szCs w:val="18"/>
                      <w:highlight w:val="none"/>
                      <w:lang w:bidi="ar"/>
                    </w:rPr>
                    <w:t>1.被患者血液、体液、排泄物等污染的除锐器以外的废物</w:t>
                  </w:r>
                  <w:r>
                    <w:rPr>
                      <w:rFonts w:hint="eastAsia"/>
                      <w:color w:val="auto"/>
                      <w:kern w:val="0"/>
                      <w:sz w:val="18"/>
                      <w:szCs w:val="18"/>
                      <w:highlight w:val="none"/>
                      <w:lang w:eastAsia="zh-CN" w:bidi="ar"/>
                    </w:rPr>
                    <w:t>；</w:t>
                  </w:r>
                </w:p>
                <w:p w14:paraId="65BCC2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kern w:val="0"/>
                      <w:sz w:val="18"/>
                      <w:szCs w:val="18"/>
                      <w:highlight w:val="none"/>
                      <w:lang w:bidi="ar"/>
                    </w:rPr>
                    <w:t>2.使用后废弃的一次性使用医疗器械，如注射器、输液器、</w:t>
                  </w:r>
                  <w:r>
                    <w:rPr>
                      <w:rFonts w:hint="eastAsia"/>
                      <w:color w:val="auto"/>
                      <w:sz w:val="18"/>
                      <w:szCs w:val="18"/>
                      <w:highlight w:val="none"/>
                    </w:rPr>
                    <w:t>透析器等</w:t>
                  </w:r>
                  <w:r>
                    <w:rPr>
                      <w:rFonts w:hint="eastAsia"/>
                      <w:color w:val="auto"/>
                      <w:sz w:val="18"/>
                      <w:szCs w:val="18"/>
                      <w:highlight w:val="none"/>
                      <w:lang w:eastAsia="zh-CN"/>
                    </w:rPr>
                    <w:t>；</w:t>
                  </w:r>
                </w:p>
                <w:p w14:paraId="48601F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3.病原微生物实验室废弃的病原体培养基、标本，菌种和毒种保存液及其容器</w:t>
                  </w:r>
                  <w:r>
                    <w:rPr>
                      <w:rFonts w:hint="eastAsia"/>
                      <w:color w:val="auto"/>
                      <w:sz w:val="18"/>
                      <w:szCs w:val="18"/>
                      <w:highlight w:val="none"/>
                      <w:lang w:eastAsia="zh-CN"/>
                    </w:rPr>
                    <w:t>；</w:t>
                  </w:r>
                  <w:r>
                    <w:rPr>
                      <w:rFonts w:hint="eastAsia"/>
                      <w:color w:val="auto"/>
                      <w:sz w:val="18"/>
                      <w:szCs w:val="18"/>
                      <w:highlight w:val="none"/>
                    </w:rPr>
                    <w:t>其他实验室及科室废弃的血液、血清、分泌物等标本和容器</w:t>
                  </w:r>
                  <w:r>
                    <w:rPr>
                      <w:rFonts w:hint="eastAsia"/>
                      <w:color w:val="auto"/>
                      <w:sz w:val="18"/>
                      <w:szCs w:val="18"/>
                      <w:highlight w:val="none"/>
                      <w:lang w:eastAsia="zh-CN"/>
                    </w:rPr>
                    <w:t>；</w:t>
                  </w:r>
                </w:p>
                <w:p w14:paraId="6630B3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4.隔离传染病患者或者疑似传染病患者产生的废弃物。</w:t>
                  </w:r>
                </w:p>
              </w:tc>
              <w:tc>
                <w:tcPr>
                  <w:tcW w:w="3004" w:type="dxa"/>
                  <w:tcBorders>
                    <w:tl2br w:val="nil"/>
                    <w:tr2bl w:val="nil"/>
                  </w:tcBorders>
                  <w:noWrap w:val="0"/>
                  <w:vAlign w:val="center"/>
                </w:tcPr>
                <w:p w14:paraId="243D73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1收集于符合《医疗废物专用包装袋、容器和警示标志标准》</w:t>
                  </w:r>
                  <w:r>
                    <w:rPr>
                      <w:rFonts w:hint="eastAsia"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HJ421</w:t>
                  </w:r>
                  <w:r>
                    <w:rPr>
                      <w:rFonts w:hint="eastAsia" w:ascii="Times New Roman" w:hAnsi="Times New Roman" w:eastAsia="宋体" w:cs="Times New Roman"/>
                      <w:color w:val="auto"/>
                      <w:kern w:val="0"/>
                      <w:sz w:val="18"/>
                      <w:szCs w:val="18"/>
                      <w:highlight w:val="none"/>
                      <w:lang w:eastAsia="zh-CN" w:bidi="ar"/>
                    </w:rPr>
                    <w:t>）</w:t>
                  </w:r>
                  <w:r>
                    <w:rPr>
                      <w:rFonts w:hint="default" w:ascii="Times New Roman" w:hAnsi="Times New Roman" w:eastAsia="宋体" w:cs="Times New Roman"/>
                      <w:color w:val="auto"/>
                      <w:kern w:val="0"/>
                      <w:sz w:val="18"/>
                      <w:szCs w:val="18"/>
                      <w:highlight w:val="none"/>
                      <w:lang w:bidi="ar"/>
                    </w:rPr>
                    <w:t>的医疗废物包装袋中</w:t>
                  </w:r>
                  <w:r>
                    <w:rPr>
                      <w:rFonts w:hint="eastAsia" w:cs="Times New Roman"/>
                      <w:color w:val="auto"/>
                      <w:kern w:val="0"/>
                      <w:sz w:val="18"/>
                      <w:szCs w:val="18"/>
                      <w:highlight w:val="none"/>
                      <w:lang w:eastAsia="zh-CN" w:bidi="ar"/>
                    </w:rPr>
                    <w:t>；</w:t>
                  </w:r>
                </w:p>
                <w:p w14:paraId="6FDA6D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color w:val="auto"/>
                      <w:kern w:val="0"/>
                      <w:sz w:val="18"/>
                      <w:szCs w:val="18"/>
                      <w:highlight w:val="none"/>
                      <w:lang w:bidi="ar"/>
                    </w:rPr>
                    <w:t>2.病原微生物实验室废弃的病原体培养基、标本，菌种和毒种保存液及其容器，应在产生地点进行压力蒸汽灭菌或者使用其他方式消毒，然后按感染性废物收集处理</w:t>
                  </w:r>
                  <w:r>
                    <w:rPr>
                      <w:rFonts w:hint="eastAsia" w:cs="Times New Roman"/>
                      <w:color w:val="auto"/>
                      <w:kern w:val="0"/>
                      <w:sz w:val="18"/>
                      <w:szCs w:val="18"/>
                      <w:highlight w:val="none"/>
                      <w:lang w:eastAsia="zh-CN" w:bidi="ar"/>
                    </w:rPr>
                    <w:t>；</w:t>
                  </w:r>
                </w:p>
                <w:p w14:paraId="433F91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default" w:ascii="Times New Roman" w:hAnsi="Times New Roman" w:eastAsia="宋体" w:cs="Times New Roman"/>
                      <w:color w:val="auto"/>
                      <w:kern w:val="0"/>
                      <w:sz w:val="18"/>
                      <w:szCs w:val="18"/>
                      <w:highlight w:val="none"/>
                      <w:lang w:bidi="ar"/>
                    </w:rPr>
                    <w:t>3.隔离传染病患者或者疑似传染病患者产生的医疗废物应当使用双层医疗废物包装袋盛装。</w:t>
                  </w:r>
                </w:p>
              </w:tc>
            </w:tr>
            <w:tr w14:paraId="510EF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656" w:type="dxa"/>
                  <w:tcBorders>
                    <w:tl2br w:val="nil"/>
                    <w:tr2bl w:val="nil"/>
                  </w:tcBorders>
                  <w:noWrap w:val="0"/>
                  <w:vAlign w:val="center"/>
                </w:tcPr>
                <w:p w14:paraId="5BDCEA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损伤性废物</w:t>
                  </w:r>
                </w:p>
              </w:tc>
              <w:tc>
                <w:tcPr>
                  <w:tcW w:w="1193" w:type="dxa"/>
                  <w:tcBorders>
                    <w:tl2br w:val="nil"/>
                    <w:tr2bl w:val="nil"/>
                  </w:tcBorders>
                  <w:noWrap w:val="0"/>
                  <w:vAlign w:val="center"/>
                </w:tcPr>
                <w:p w14:paraId="0133F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能够刺伤或</w:t>
                  </w:r>
                </w:p>
                <w:p w14:paraId="6B11D7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者割伤人体</w:t>
                  </w:r>
                </w:p>
                <w:p w14:paraId="0E6D90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的废弃的</w:t>
                  </w:r>
                  <w:r>
                    <w:rPr>
                      <w:rFonts w:hint="eastAsia"/>
                      <w:color w:val="auto"/>
                      <w:sz w:val="18"/>
                      <w:szCs w:val="18"/>
                      <w:highlight w:val="none"/>
                      <w:lang w:eastAsia="zh-CN"/>
                    </w:rPr>
                    <w:t>医疗</w:t>
                  </w:r>
                </w:p>
                <w:p w14:paraId="7AD092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用锐器。</w:t>
                  </w:r>
                </w:p>
                <w:p w14:paraId="2472B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p>
              </w:tc>
              <w:tc>
                <w:tcPr>
                  <w:tcW w:w="3005" w:type="dxa"/>
                  <w:tcBorders>
                    <w:tl2br w:val="nil"/>
                    <w:tr2bl w:val="nil"/>
                  </w:tcBorders>
                  <w:noWrap w:val="0"/>
                  <w:vAlign w:val="center"/>
                </w:tcPr>
                <w:p w14:paraId="141491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1.废弃的金属类锐器，如针头、缝合针、针灸针、探针、穿刺针、解剖刀、手术刀、手术锯、备皮刀、钢钉和导丝等</w:t>
                  </w:r>
                  <w:r>
                    <w:rPr>
                      <w:rFonts w:hint="eastAsia"/>
                      <w:color w:val="auto"/>
                      <w:sz w:val="18"/>
                      <w:szCs w:val="18"/>
                      <w:highlight w:val="none"/>
                      <w:lang w:eastAsia="zh-CN"/>
                    </w:rPr>
                    <w:t>；</w:t>
                  </w:r>
                </w:p>
                <w:p w14:paraId="7CEAB2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2. 废弃的玻璃类锐器，如盖玻片、载玻片、玻璃安瓿等</w:t>
                  </w:r>
                  <w:r>
                    <w:rPr>
                      <w:rFonts w:hint="eastAsia"/>
                      <w:color w:val="auto"/>
                      <w:sz w:val="18"/>
                      <w:szCs w:val="18"/>
                      <w:highlight w:val="none"/>
                      <w:lang w:eastAsia="zh-CN"/>
                    </w:rPr>
                    <w:t>；</w:t>
                  </w:r>
                </w:p>
                <w:p w14:paraId="668E3B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3.废弃的其他材质类锐器。</w:t>
                  </w:r>
                </w:p>
              </w:tc>
              <w:tc>
                <w:tcPr>
                  <w:tcW w:w="3004" w:type="dxa"/>
                  <w:tcBorders>
                    <w:tl2br w:val="nil"/>
                    <w:tr2bl w:val="nil"/>
                  </w:tcBorders>
                  <w:noWrap w:val="0"/>
                  <w:vAlign w:val="center"/>
                </w:tcPr>
                <w:p w14:paraId="315AF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1.收集于符合《医疗废物专用包装袋、容器和警示标志标准》</w:t>
                  </w:r>
                  <w:r>
                    <w:rPr>
                      <w:rFonts w:hint="eastAsia"/>
                      <w:color w:val="auto"/>
                      <w:sz w:val="18"/>
                      <w:szCs w:val="18"/>
                      <w:highlight w:val="none"/>
                      <w:lang w:eastAsia="zh-CN"/>
                    </w:rPr>
                    <w:t>（</w:t>
                  </w:r>
                  <w:r>
                    <w:rPr>
                      <w:rFonts w:hint="eastAsia"/>
                      <w:color w:val="auto"/>
                      <w:sz w:val="18"/>
                      <w:szCs w:val="18"/>
                      <w:highlight w:val="none"/>
                    </w:rPr>
                    <w:t>HJ421</w:t>
                  </w:r>
                  <w:r>
                    <w:rPr>
                      <w:rFonts w:hint="eastAsia"/>
                      <w:color w:val="auto"/>
                      <w:sz w:val="18"/>
                      <w:szCs w:val="18"/>
                      <w:highlight w:val="none"/>
                      <w:lang w:eastAsia="zh-CN"/>
                    </w:rPr>
                    <w:t>）</w:t>
                  </w:r>
                  <w:r>
                    <w:rPr>
                      <w:rFonts w:hint="eastAsia"/>
                      <w:color w:val="auto"/>
                      <w:sz w:val="18"/>
                      <w:szCs w:val="18"/>
                      <w:highlight w:val="none"/>
                    </w:rPr>
                    <w:t>的利器盒中</w:t>
                  </w:r>
                  <w:r>
                    <w:rPr>
                      <w:rFonts w:hint="eastAsia"/>
                      <w:color w:val="auto"/>
                      <w:sz w:val="18"/>
                      <w:szCs w:val="18"/>
                      <w:highlight w:val="none"/>
                      <w:lang w:eastAsia="zh-CN"/>
                    </w:rPr>
                    <w:t>；</w:t>
                  </w:r>
                </w:p>
                <w:p w14:paraId="1C47B3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2利器盒达到3/4满时，应当封闭严密，按流程运送、贮存。</w:t>
                  </w:r>
                </w:p>
                <w:p w14:paraId="041A9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p>
              </w:tc>
            </w:tr>
            <w:tr w14:paraId="5C5D0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656" w:type="dxa"/>
                  <w:tcBorders>
                    <w:tl2br w:val="nil"/>
                    <w:tr2bl w:val="nil"/>
                  </w:tcBorders>
                  <w:noWrap w:val="0"/>
                  <w:vAlign w:val="center"/>
                </w:tcPr>
                <w:p w14:paraId="403209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病理性废物</w:t>
                  </w:r>
                </w:p>
              </w:tc>
              <w:tc>
                <w:tcPr>
                  <w:tcW w:w="1193" w:type="dxa"/>
                  <w:tcBorders>
                    <w:tl2br w:val="nil"/>
                    <w:tr2bl w:val="nil"/>
                  </w:tcBorders>
                  <w:noWrap w:val="0"/>
                  <w:vAlign w:val="center"/>
                </w:tcPr>
                <w:p w14:paraId="34ABF6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诊疗过程中</w:t>
                  </w:r>
                </w:p>
                <w:p w14:paraId="3726A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产生的人体</w:t>
                  </w:r>
                </w:p>
                <w:p w14:paraId="2BBEDF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废弃物和</w:t>
                  </w:r>
                  <w:r>
                    <w:rPr>
                      <w:rFonts w:hint="eastAsia"/>
                      <w:color w:val="auto"/>
                      <w:sz w:val="18"/>
                      <w:szCs w:val="18"/>
                      <w:highlight w:val="none"/>
                      <w:lang w:eastAsia="zh-CN"/>
                    </w:rPr>
                    <w:t>医疗</w:t>
                  </w:r>
                </w:p>
                <w:p w14:paraId="7C6E16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学实验动物</w:t>
                  </w:r>
                </w:p>
                <w:p w14:paraId="750A16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尸体等。</w:t>
                  </w:r>
                </w:p>
                <w:p w14:paraId="79538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p>
              </w:tc>
              <w:tc>
                <w:tcPr>
                  <w:tcW w:w="3005" w:type="dxa"/>
                  <w:tcBorders>
                    <w:tl2br w:val="nil"/>
                    <w:tr2bl w:val="nil"/>
                  </w:tcBorders>
                  <w:noWrap w:val="0"/>
                  <w:vAlign w:val="center"/>
                </w:tcPr>
                <w:p w14:paraId="01BCDA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1.手术及其他医学服务过程中产生的废弃的人体组织、器官</w:t>
                  </w:r>
                  <w:r>
                    <w:rPr>
                      <w:rFonts w:hint="eastAsia"/>
                      <w:color w:val="auto"/>
                      <w:sz w:val="18"/>
                      <w:szCs w:val="18"/>
                      <w:highlight w:val="none"/>
                      <w:lang w:eastAsia="zh-CN"/>
                    </w:rPr>
                    <w:t>；</w:t>
                  </w:r>
                </w:p>
                <w:p w14:paraId="06A41A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2.病理切片后废弃的人体组织、病理蜡块</w:t>
                  </w:r>
                  <w:r>
                    <w:rPr>
                      <w:rFonts w:hint="eastAsia"/>
                      <w:color w:val="auto"/>
                      <w:sz w:val="18"/>
                      <w:szCs w:val="18"/>
                      <w:highlight w:val="none"/>
                      <w:lang w:eastAsia="zh-CN"/>
                    </w:rPr>
                    <w:t>；</w:t>
                  </w:r>
                </w:p>
                <w:p w14:paraId="0979D1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3.废弃的医学实验动物的组织和尸体</w:t>
                  </w:r>
                  <w:r>
                    <w:rPr>
                      <w:rFonts w:hint="eastAsia"/>
                      <w:color w:val="auto"/>
                      <w:sz w:val="18"/>
                      <w:szCs w:val="18"/>
                      <w:highlight w:val="none"/>
                      <w:lang w:eastAsia="zh-CN"/>
                    </w:rPr>
                    <w:t>；</w:t>
                  </w:r>
                </w:p>
                <w:p w14:paraId="74A313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4.16周胎龄以下或重量不足500克的胚胎组织等</w:t>
                  </w:r>
                </w:p>
                <w:p w14:paraId="63DDE5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5.确诊、疑似传染病或携带传染病病原体的产妇的胎盘。</w:t>
                  </w:r>
                </w:p>
              </w:tc>
              <w:tc>
                <w:tcPr>
                  <w:tcW w:w="3004" w:type="dxa"/>
                  <w:tcBorders>
                    <w:tl2br w:val="nil"/>
                    <w:tr2bl w:val="nil"/>
                  </w:tcBorders>
                  <w:noWrap w:val="0"/>
                  <w:vAlign w:val="center"/>
                </w:tcPr>
                <w:p w14:paraId="5551B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1收集于符合《医疗废物专用包装袋、容器和警示标志标准》</w:t>
                  </w:r>
                  <w:r>
                    <w:rPr>
                      <w:rFonts w:hint="eastAsia"/>
                      <w:color w:val="auto"/>
                      <w:sz w:val="18"/>
                      <w:szCs w:val="18"/>
                      <w:highlight w:val="none"/>
                      <w:lang w:eastAsia="zh-CN"/>
                    </w:rPr>
                    <w:t>（</w:t>
                  </w:r>
                  <w:r>
                    <w:rPr>
                      <w:rFonts w:hint="eastAsia"/>
                      <w:color w:val="auto"/>
                      <w:sz w:val="18"/>
                      <w:szCs w:val="18"/>
                      <w:highlight w:val="none"/>
                    </w:rPr>
                    <w:t>HJ421</w:t>
                  </w:r>
                  <w:r>
                    <w:rPr>
                      <w:rFonts w:hint="eastAsia"/>
                      <w:color w:val="auto"/>
                      <w:sz w:val="18"/>
                      <w:szCs w:val="18"/>
                      <w:highlight w:val="none"/>
                      <w:lang w:eastAsia="zh-CN"/>
                    </w:rPr>
                    <w:t>）</w:t>
                  </w:r>
                  <w:r>
                    <w:rPr>
                      <w:rFonts w:hint="eastAsia"/>
                      <w:color w:val="auto"/>
                      <w:sz w:val="18"/>
                      <w:szCs w:val="18"/>
                      <w:highlight w:val="none"/>
                    </w:rPr>
                    <w:t>的医疗废物包装袋中</w:t>
                  </w:r>
                  <w:r>
                    <w:rPr>
                      <w:rFonts w:hint="eastAsia"/>
                      <w:color w:val="auto"/>
                      <w:sz w:val="18"/>
                      <w:szCs w:val="18"/>
                      <w:highlight w:val="none"/>
                      <w:lang w:eastAsia="zh-CN"/>
                    </w:rPr>
                    <w:t>；</w:t>
                  </w:r>
                </w:p>
                <w:p w14:paraId="63BD34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2确诊、疑似传染病产妇或携带传染病病原体的产妇的胎盘应使用双层医疗废物包装袋盛装</w:t>
                  </w:r>
                  <w:r>
                    <w:rPr>
                      <w:rFonts w:hint="eastAsia"/>
                      <w:color w:val="auto"/>
                      <w:sz w:val="18"/>
                      <w:szCs w:val="18"/>
                      <w:highlight w:val="none"/>
                      <w:lang w:eastAsia="zh-CN"/>
                    </w:rPr>
                    <w:t>；</w:t>
                  </w:r>
                </w:p>
                <w:p w14:paraId="05E9BB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3.可进行防腐或者低温保存。</w:t>
                  </w:r>
                </w:p>
              </w:tc>
            </w:tr>
            <w:tr w14:paraId="07B9B5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656" w:type="dxa"/>
                  <w:tcBorders>
                    <w:tl2br w:val="nil"/>
                    <w:tr2bl w:val="nil"/>
                  </w:tcBorders>
                  <w:noWrap w:val="0"/>
                  <w:vAlign w:val="center"/>
                </w:tcPr>
                <w:p w14:paraId="772E01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药物性废物</w:t>
                  </w:r>
                </w:p>
              </w:tc>
              <w:tc>
                <w:tcPr>
                  <w:tcW w:w="1193" w:type="dxa"/>
                  <w:tcBorders>
                    <w:tl2br w:val="nil"/>
                    <w:tr2bl w:val="nil"/>
                  </w:tcBorders>
                  <w:noWrap w:val="0"/>
                  <w:vAlign w:val="center"/>
                </w:tcPr>
                <w:p w14:paraId="7EB2E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过期、淘汰</w:t>
                  </w:r>
                  <w:r>
                    <w:rPr>
                      <w:rFonts w:hint="eastAsia"/>
                      <w:color w:val="auto"/>
                      <w:sz w:val="18"/>
                      <w:szCs w:val="18"/>
                      <w:highlight w:val="none"/>
                      <w:lang w:eastAsia="zh-CN"/>
                    </w:rPr>
                    <w:t>、</w:t>
                  </w:r>
                </w:p>
                <w:p w14:paraId="3F5200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变质或者被</w:t>
                  </w:r>
                </w:p>
                <w:p w14:paraId="4C90D8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污染的废弃</w:t>
                  </w:r>
                </w:p>
                <w:p w14:paraId="0A517D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的药物。</w:t>
                  </w:r>
                </w:p>
              </w:tc>
              <w:tc>
                <w:tcPr>
                  <w:tcW w:w="3005" w:type="dxa"/>
                  <w:tcBorders>
                    <w:tl2br w:val="nil"/>
                    <w:tr2bl w:val="nil"/>
                  </w:tcBorders>
                  <w:noWrap w:val="0"/>
                  <w:vAlign w:val="center"/>
                </w:tcPr>
                <w:p w14:paraId="58D650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1.废弃的一般性药物</w:t>
                  </w:r>
                  <w:r>
                    <w:rPr>
                      <w:rFonts w:hint="eastAsia"/>
                      <w:color w:val="auto"/>
                      <w:sz w:val="18"/>
                      <w:szCs w:val="18"/>
                      <w:highlight w:val="none"/>
                      <w:lang w:eastAsia="zh-CN"/>
                    </w:rPr>
                    <w:t>:</w:t>
                  </w:r>
                </w:p>
                <w:p w14:paraId="67D87F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2.废弃的细胞毒性药物和遗传毒性药物</w:t>
                  </w:r>
                  <w:r>
                    <w:rPr>
                      <w:rFonts w:hint="eastAsia"/>
                      <w:color w:val="auto"/>
                      <w:sz w:val="18"/>
                      <w:szCs w:val="18"/>
                      <w:highlight w:val="none"/>
                      <w:lang w:eastAsia="zh-CN"/>
                    </w:rPr>
                    <w:t>；</w:t>
                  </w:r>
                </w:p>
                <w:p w14:paraId="776AAE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3.废弃的疫苗及血液制品。</w:t>
                  </w:r>
                </w:p>
              </w:tc>
              <w:tc>
                <w:tcPr>
                  <w:tcW w:w="3004" w:type="dxa"/>
                  <w:tcBorders>
                    <w:tl2br w:val="nil"/>
                    <w:tr2bl w:val="nil"/>
                  </w:tcBorders>
                  <w:noWrap w:val="0"/>
                  <w:vAlign w:val="center"/>
                </w:tcPr>
                <w:p w14:paraId="744519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1.少量的药物性废物可以并入感染性废物中，但应在标签中注明</w:t>
                  </w:r>
                  <w:r>
                    <w:rPr>
                      <w:rFonts w:hint="eastAsia"/>
                      <w:color w:val="auto"/>
                      <w:sz w:val="18"/>
                      <w:szCs w:val="18"/>
                      <w:highlight w:val="none"/>
                      <w:lang w:eastAsia="zh-CN"/>
                    </w:rPr>
                    <w:t>；</w:t>
                  </w:r>
                </w:p>
                <w:p w14:paraId="3DD3C7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2.批量废弃的药物性废物</w:t>
                  </w:r>
                  <w:r>
                    <w:rPr>
                      <w:rFonts w:hint="eastAsia"/>
                      <w:color w:val="auto"/>
                      <w:sz w:val="18"/>
                      <w:szCs w:val="18"/>
                      <w:highlight w:val="none"/>
                      <w:lang w:eastAsia="zh-CN"/>
                    </w:rPr>
                    <w:t>，</w:t>
                  </w:r>
                  <w:r>
                    <w:rPr>
                      <w:rFonts w:hint="eastAsia"/>
                      <w:color w:val="auto"/>
                      <w:sz w:val="18"/>
                      <w:szCs w:val="18"/>
                      <w:highlight w:val="none"/>
                    </w:rPr>
                    <w:t>收集后应交由具备相应资质的医疗废物处置单位或者危险废物处置单位等进行处置。</w:t>
                  </w:r>
                </w:p>
              </w:tc>
            </w:tr>
            <w:tr w14:paraId="01C8A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656" w:type="dxa"/>
                  <w:tcBorders>
                    <w:tl2br w:val="nil"/>
                    <w:tr2bl w:val="nil"/>
                  </w:tcBorders>
                  <w:noWrap w:val="0"/>
                  <w:vAlign w:val="center"/>
                </w:tcPr>
                <w:p w14:paraId="0C5C34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highlight w:val="none"/>
                      <w:lang w:val="en-US" w:eastAsia="zh-CN"/>
                    </w:rPr>
                  </w:pPr>
                  <w:r>
                    <w:rPr>
                      <w:rFonts w:hint="eastAsia"/>
                      <w:color w:val="auto"/>
                      <w:sz w:val="18"/>
                      <w:szCs w:val="18"/>
                      <w:highlight w:val="none"/>
                      <w:lang w:val="en-US" w:eastAsia="zh-CN"/>
                    </w:rPr>
                    <w:t>化学性废物</w:t>
                  </w:r>
                </w:p>
              </w:tc>
              <w:tc>
                <w:tcPr>
                  <w:tcW w:w="1193" w:type="dxa"/>
                  <w:tcBorders>
                    <w:tl2br w:val="nil"/>
                    <w:tr2bl w:val="nil"/>
                  </w:tcBorders>
                  <w:noWrap w:val="0"/>
                  <w:vAlign w:val="center"/>
                </w:tcPr>
                <w:p w14:paraId="68C45F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具有毒性、</w:t>
                  </w:r>
                </w:p>
                <w:p w14:paraId="6831B7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腐蚀性、易</w:t>
                  </w:r>
                </w:p>
                <w:p w14:paraId="034906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燃性、反应</w:t>
                  </w:r>
                </w:p>
                <w:p w14:paraId="7D4D2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性的废弃的</w:t>
                  </w:r>
                </w:p>
                <w:p w14:paraId="2C7137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olor w:val="auto"/>
                      <w:sz w:val="18"/>
                      <w:szCs w:val="18"/>
                      <w:highlight w:val="none"/>
                      <w:lang w:eastAsia="zh-CN"/>
                    </w:rPr>
                  </w:pPr>
                  <w:r>
                    <w:rPr>
                      <w:rFonts w:hint="eastAsia" w:eastAsia="宋体"/>
                      <w:color w:val="auto"/>
                      <w:sz w:val="18"/>
                      <w:szCs w:val="18"/>
                      <w:highlight w:val="none"/>
                      <w:lang w:eastAsia="zh-CN"/>
                    </w:rPr>
                    <w:t>化学物品。</w:t>
                  </w:r>
                </w:p>
              </w:tc>
              <w:tc>
                <w:tcPr>
                  <w:tcW w:w="3005" w:type="dxa"/>
                  <w:tcBorders>
                    <w:tl2br w:val="nil"/>
                    <w:tr2bl w:val="nil"/>
                  </w:tcBorders>
                  <w:noWrap w:val="0"/>
                  <w:vAlign w:val="center"/>
                </w:tcPr>
                <w:p w14:paraId="345C47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列入《国家危险废物名录》中的废弃危险化学品，如甲醛、二甲苯等</w:t>
                  </w:r>
                  <w:r>
                    <w:rPr>
                      <w:rFonts w:hint="eastAsia"/>
                      <w:color w:val="auto"/>
                      <w:sz w:val="18"/>
                      <w:szCs w:val="18"/>
                      <w:highlight w:val="none"/>
                      <w:lang w:eastAsia="zh-CN"/>
                    </w:rPr>
                    <w:t>；</w:t>
                  </w:r>
                  <w:r>
                    <w:rPr>
                      <w:rFonts w:hint="eastAsia"/>
                      <w:color w:val="auto"/>
                      <w:sz w:val="18"/>
                      <w:szCs w:val="18"/>
                      <w:highlight w:val="none"/>
                    </w:rPr>
                    <w:t>非特定行业来源的危险废物，如含汞血压计、含汞体温计，废弃的牙科汞合金材料及其残余物等。</w:t>
                  </w:r>
                </w:p>
              </w:tc>
              <w:tc>
                <w:tcPr>
                  <w:tcW w:w="3004" w:type="dxa"/>
                  <w:tcBorders>
                    <w:tl2br w:val="nil"/>
                    <w:tr2bl w:val="nil"/>
                  </w:tcBorders>
                  <w:noWrap w:val="0"/>
                  <w:vAlign w:val="center"/>
                </w:tcPr>
                <w:p w14:paraId="1ACF54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1.收集于容器中</w:t>
                  </w:r>
                  <w:r>
                    <w:rPr>
                      <w:rFonts w:hint="eastAsia"/>
                      <w:color w:val="auto"/>
                      <w:sz w:val="18"/>
                      <w:szCs w:val="18"/>
                      <w:highlight w:val="none"/>
                      <w:lang w:eastAsia="zh-CN"/>
                    </w:rPr>
                    <w:t>，</w:t>
                  </w:r>
                  <w:r>
                    <w:rPr>
                      <w:rFonts w:hint="eastAsia"/>
                      <w:color w:val="auto"/>
                      <w:sz w:val="18"/>
                      <w:szCs w:val="18"/>
                      <w:highlight w:val="none"/>
                    </w:rPr>
                    <w:t>粘贴标签并</w:t>
                  </w:r>
                  <w:r>
                    <w:rPr>
                      <w:rFonts w:hint="eastAsia"/>
                      <w:color w:val="auto"/>
                      <w:sz w:val="18"/>
                      <w:szCs w:val="18"/>
                      <w:highlight w:val="none"/>
                      <w:lang w:eastAsia="zh-CN"/>
                    </w:rPr>
                    <w:t>：</w:t>
                  </w:r>
                  <w:r>
                    <w:rPr>
                      <w:rFonts w:hint="eastAsia"/>
                      <w:color w:val="auto"/>
                      <w:sz w:val="18"/>
                      <w:szCs w:val="18"/>
                      <w:highlight w:val="none"/>
                    </w:rPr>
                    <w:t>注明主要成分</w:t>
                  </w:r>
                  <w:r>
                    <w:rPr>
                      <w:rFonts w:hint="eastAsia"/>
                      <w:color w:val="auto"/>
                      <w:sz w:val="18"/>
                      <w:szCs w:val="18"/>
                      <w:highlight w:val="none"/>
                      <w:lang w:eastAsia="zh-CN"/>
                    </w:rPr>
                    <w:t>：</w:t>
                  </w:r>
                </w:p>
                <w:p w14:paraId="295E6C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18"/>
                      <w:szCs w:val="18"/>
                      <w:highlight w:val="none"/>
                    </w:rPr>
                  </w:pPr>
                  <w:r>
                    <w:rPr>
                      <w:rFonts w:hint="eastAsia"/>
                      <w:color w:val="auto"/>
                      <w:sz w:val="18"/>
                      <w:szCs w:val="18"/>
                      <w:highlight w:val="none"/>
                    </w:rPr>
                    <w:t>2.收集后应交由具备相应资质的医疗废物处置单位或者危险废物处置单位等进行处置。</w:t>
                  </w:r>
                </w:p>
              </w:tc>
            </w:tr>
          </w:tbl>
          <w:p w14:paraId="0D4C7D7D">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default" w:eastAsia="宋体"/>
                <w:color w:val="auto"/>
                <w:kern w:val="0"/>
                <w:sz w:val="24"/>
                <w:szCs w:val="21"/>
                <w:highlight w:val="none"/>
                <w:lang w:val="en-US" w:eastAsia="zh-CN"/>
              </w:rPr>
            </w:pPr>
            <w:r>
              <w:rPr>
                <w:rFonts w:hint="eastAsia"/>
                <w:color w:val="auto"/>
                <w:kern w:val="0"/>
                <w:sz w:val="24"/>
                <w:szCs w:val="21"/>
                <w:highlight w:val="none"/>
                <w:lang w:val="en-US" w:eastAsia="zh-CN"/>
              </w:rPr>
              <w:t>本项目医疗废物产生情况如下：</w:t>
            </w:r>
          </w:p>
          <w:p w14:paraId="2F7C03D1">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eastAsia="宋体"/>
                <w:color w:val="auto"/>
                <w:kern w:val="0"/>
                <w:sz w:val="24"/>
                <w:szCs w:val="21"/>
                <w:highlight w:val="none"/>
                <w:lang w:eastAsia="zh-CN"/>
              </w:rPr>
            </w:pPr>
            <w:r>
              <w:rPr>
                <w:rFonts w:hint="eastAsia"/>
                <w:color w:val="auto"/>
                <w:kern w:val="0"/>
                <w:sz w:val="24"/>
                <w:szCs w:val="21"/>
                <w:highlight w:val="none"/>
                <w:lang w:val="en-US" w:eastAsia="zh-CN"/>
              </w:rPr>
              <w:t>①</w:t>
            </w:r>
            <w:r>
              <w:rPr>
                <w:rFonts w:hint="eastAsia"/>
                <w:color w:val="auto"/>
                <w:kern w:val="0"/>
                <w:sz w:val="24"/>
                <w:szCs w:val="21"/>
                <w:highlight w:val="none"/>
              </w:rPr>
              <w:t>感染性废物</w:t>
            </w:r>
          </w:p>
          <w:p w14:paraId="2CCDF5BB">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kern w:val="0"/>
                <w:sz w:val="24"/>
                <w:szCs w:val="21"/>
                <w:highlight w:val="none"/>
              </w:rPr>
            </w:pPr>
            <w:r>
              <w:rPr>
                <w:rFonts w:hint="eastAsia"/>
                <w:color w:val="auto"/>
                <w:kern w:val="0"/>
                <w:sz w:val="24"/>
                <w:szCs w:val="21"/>
                <w:highlight w:val="none"/>
              </w:rPr>
              <w:t>项目运营中产生的感染性废物包括</w:t>
            </w:r>
            <w:r>
              <w:rPr>
                <w:rFonts w:hint="eastAsia"/>
                <w:color w:val="auto"/>
                <w:kern w:val="0"/>
                <w:sz w:val="24"/>
                <w:szCs w:val="21"/>
                <w:highlight w:val="none"/>
                <w:lang w:eastAsia="zh-CN"/>
              </w:rPr>
              <w:t>：</w:t>
            </w:r>
            <w:r>
              <w:rPr>
                <w:rFonts w:hint="eastAsia"/>
                <w:color w:val="auto"/>
                <w:kern w:val="0"/>
                <w:sz w:val="24"/>
                <w:szCs w:val="21"/>
                <w:highlight w:val="none"/>
              </w:rPr>
              <w:t>工作人员及非工作人员在进入实验区时，需使用一次性实验服、帽子、口罩及手套</w:t>
            </w:r>
            <w:r>
              <w:rPr>
                <w:rFonts w:hint="eastAsia"/>
                <w:color w:val="auto"/>
                <w:kern w:val="0"/>
                <w:sz w:val="24"/>
                <w:szCs w:val="21"/>
                <w:highlight w:val="none"/>
                <w:lang w:eastAsia="zh-CN"/>
              </w:rPr>
              <w:t>；</w:t>
            </w:r>
            <w:r>
              <w:rPr>
                <w:rFonts w:hint="eastAsia"/>
                <w:color w:val="auto"/>
                <w:kern w:val="0"/>
                <w:sz w:val="24"/>
                <w:szCs w:val="21"/>
                <w:highlight w:val="none"/>
              </w:rPr>
              <w:t>检测过程中使用的废移液管吸头、消毒纱布</w:t>
            </w:r>
            <w:r>
              <w:rPr>
                <w:rFonts w:hint="eastAsia"/>
                <w:color w:val="auto"/>
                <w:kern w:val="0"/>
                <w:sz w:val="24"/>
                <w:szCs w:val="21"/>
                <w:highlight w:val="none"/>
                <w:lang w:eastAsia="zh-CN"/>
              </w:rPr>
              <w:t>；</w:t>
            </w:r>
            <w:r>
              <w:rPr>
                <w:rFonts w:hint="eastAsia"/>
                <w:color w:val="auto"/>
                <w:kern w:val="0"/>
                <w:sz w:val="24"/>
                <w:szCs w:val="21"/>
                <w:highlight w:val="none"/>
              </w:rPr>
              <w:t>项目检测实验过程中产生的各种废液</w:t>
            </w:r>
            <w:r>
              <w:rPr>
                <w:rFonts w:hint="eastAsia"/>
                <w:color w:val="auto"/>
                <w:kern w:val="0"/>
                <w:sz w:val="24"/>
                <w:szCs w:val="21"/>
                <w:highlight w:val="none"/>
                <w:lang w:eastAsia="zh-CN"/>
              </w:rPr>
              <w:t>（</w:t>
            </w:r>
            <w:r>
              <w:rPr>
                <w:rFonts w:hint="eastAsia"/>
                <w:color w:val="auto"/>
                <w:kern w:val="0"/>
                <w:sz w:val="24"/>
                <w:szCs w:val="21"/>
                <w:highlight w:val="none"/>
              </w:rPr>
              <w:t>试剂配置废液、检测废液</w:t>
            </w:r>
            <w:r>
              <w:rPr>
                <w:rFonts w:hint="eastAsia"/>
                <w:color w:val="auto"/>
                <w:kern w:val="0"/>
                <w:sz w:val="24"/>
                <w:szCs w:val="21"/>
                <w:highlight w:val="none"/>
                <w:lang w:eastAsia="zh-CN"/>
              </w:rPr>
              <w:t>）；</w:t>
            </w:r>
            <w:r>
              <w:rPr>
                <w:rFonts w:hint="eastAsia"/>
                <w:color w:val="auto"/>
                <w:kern w:val="0"/>
                <w:sz w:val="24"/>
                <w:szCs w:val="21"/>
                <w:highlight w:val="none"/>
              </w:rPr>
              <w:t>废弃的血液、血清</w:t>
            </w:r>
            <w:r>
              <w:rPr>
                <w:rFonts w:hint="eastAsia"/>
                <w:color w:val="auto"/>
                <w:kern w:val="0"/>
                <w:sz w:val="24"/>
                <w:szCs w:val="21"/>
                <w:highlight w:val="none"/>
                <w:lang w:eastAsia="zh-CN"/>
              </w:rPr>
              <w:t>；</w:t>
            </w:r>
            <w:r>
              <w:rPr>
                <w:rFonts w:hint="eastAsia"/>
                <w:color w:val="auto"/>
                <w:kern w:val="0"/>
                <w:sz w:val="24"/>
                <w:szCs w:val="21"/>
                <w:highlight w:val="none"/>
              </w:rPr>
              <w:t>废弃医学样本</w:t>
            </w:r>
            <w:r>
              <w:rPr>
                <w:rFonts w:hint="eastAsia"/>
                <w:color w:val="auto"/>
                <w:kern w:val="0"/>
                <w:sz w:val="24"/>
                <w:szCs w:val="21"/>
                <w:highlight w:val="none"/>
                <w:lang w:eastAsia="zh-CN"/>
              </w:rPr>
              <w:t>；</w:t>
            </w:r>
            <w:r>
              <w:rPr>
                <w:rFonts w:hint="eastAsia"/>
                <w:color w:val="auto"/>
                <w:kern w:val="0"/>
                <w:sz w:val="24"/>
                <w:szCs w:val="21"/>
                <w:highlight w:val="none"/>
              </w:rPr>
              <w:t>废培养基等，</w:t>
            </w:r>
            <w:r>
              <w:rPr>
                <w:rFonts w:hint="eastAsia"/>
                <w:color w:val="auto"/>
                <w:kern w:val="0"/>
                <w:sz w:val="24"/>
                <w:szCs w:val="21"/>
                <w:highlight w:val="none"/>
                <w:lang w:eastAsia="zh-CN"/>
              </w:rPr>
              <w:t>根据建设单位提供资料，</w:t>
            </w:r>
            <w:r>
              <w:rPr>
                <w:rFonts w:hint="eastAsia"/>
                <w:color w:val="auto"/>
                <w:kern w:val="0"/>
                <w:sz w:val="24"/>
                <w:szCs w:val="21"/>
                <w:highlight w:val="none"/>
              </w:rPr>
              <w:t>产生量约为0.5t/a</w:t>
            </w:r>
            <w:r>
              <w:rPr>
                <w:rFonts w:hint="eastAsia"/>
                <w:color w:val="auto"/>
                <w:kern w:val="0"/>
                <w:sz w:val="24"/>
                <w:szCs w:val="21"/>
                <w:highlight w:val="none"/>
                <w:lang w:eastAsia="zh-CN"/>
              </w:rPr>
              <w:t>。</w:t>
            </w:r>
            <w:r>
              <w:rPr>
                <w:rFonts w:hint="eastAsia"/>
                <w:color w:val="auto"/>
                <w:kern w:val="0"/>
                <w:sz w:val="24"/>
                <w:szCs w:val="21"/>
                <w:highlight w:val="none"/>
              </w:rPr>
              <w:t>该部分废物经分类收集并进行杀菌消毒处理后，</w:t>
            </w:r>
            <w:r>
              <w:rPr>
                <w:rFonts w:hint="eastAsia"/>
                <w:color w:val="auto"/>
                <w:kern w:val="0"/>
                <w:sz w:val="24"/>
                <w:szCs w:val="21"/>
                <w:highlight w:val="none"/>
                <w:lang w:eastAsia="zh-CN"/>
              </w:rPr>
              <w:t>依托医院现有</w:t>
            </w:r>
            <w:r>
              <w:rPr>
                <w:rFonts w:hint="eastAsia"/>
                <w:color w:val="auto"/>
                <w:kern w:val="0"/>
                <w:sz w:val="24"/>
                <w:szCs w:val="21"/>
                <w:highlight w:val="none"/>
                <w:lang w:val="en-US" w:eastAsia="zh-CN"/>
              </w:rPr>
              <w:t>1座35m</w:t>
            </w:r>
            <w:r>
              <w:rPr>
                <w:rFonts w:hint="eastAsia"/>
                <w:color w:val="auto"/>
                <w:kern w:val="0"/>
                <w:sz w:val="24"/>
                <w:szCs w:val="21"/>
                <w:highlight w:val="none"/>
                <w:vertAlign w:val="superscript"/>
                <w:lang w:val="en-US" w:eastAsia="zh-CN"/>
              </w:rPr>
              <w:t>2</w:t>
            </w:r>
            <w:r>
              <w:rPr>
                <w:rFonts w:hint="eastAsia"/>
                <w:color w:val="auto"/>
                <w:kern w:val="0"/>
                <w:sz w:val="24"/>
                <w:szCs w:val="21"/>
                <w:highlight w:val="none"/>
                <w:vertAlign w:val="baseline"/>
                <w:lang w:val="en-US" w:eastAsia="zh-CN"/>
              </w:rPr>
              <w:t>的危险废物贮存间（</w:t>
            </w:r>
            <w:r>
              <w:rPr>
                <w:rFonts w:hint="eastAsia" w:eastAsiaTheme="minorEastAsia"/>
                <w:color w:val="auto"/>
                <w:szCs w:val="21"/>
                <w:lang w:val="en-US" w:eastAsia="zh-CN"/>
              </w:rPr>
              <w:t>医疗废物贮存间</w:t>
            </w:r>
            <w:r>
              <w:rPr>
                <w:rFonts w:hint="eastAsia"/>
                <w:color w:val="auto"/>
                <w:kern w:val="0"/>
                <w:sz w:val="24"/>
                <w:szCs w:val="21"/>
                <w:highlight w:val="none"/>
                <w:vertAlign w:val="baseline"/>
                <w:lang w:val="en-US" w:eastAsia="zh-CN"/>
              </w:rPr>
              <w:t>）暂存</w:t>
            </w:r>
            <w:r>
              <w:rPr>
                <w:rFonts w:hint="eastAsia"/>
                <w:color w:val="auto"/>
                <w:kern w:val="0"/>
                <w:sz w:val="24"/>
                <w:szCs w:val="21"/>
                <w:highlight w:val="none"/>
              </w:rPr>
              <w:t>后</w:t>
            </w:r>
            <w:r>
              <w:rPr>
                <w:rFonts w:hint="eastAsia"/>
                <w:color w:val="auto"/>
                <w:kern w:val="0"/>
                <w:sz w:val="24"/>
                <w:szCs w:val="21"/>
                <w:highlight w:val="none"/>
                <w:lang w:eastAsia="zh-CN"/>
              </w:rPr>
              <w:t>委托相关</w:t>
            </w:r>
            <w:r>
              <w:rPr>
                <w:rFonts w:hint="eastAsia"/>
                <w:color w:val="auto"/>
                <w:kern w:val="0"/>
                <w:sz w:val="24"/>
                <w:szCs w:val="21"/>
                <w:highlight w:val="none"/>
              </w:rPr>
              <w:t>资质单位清运</w:t>
            </w:r>
            <w:r>
              <w:rPr>
                <w:rFonts w:hint="eastAsia"/>
                <w:color w:val="auto"/>
                <w:kern w:val="0"/>
                <w:sz w:val="24"/>
                <w:szCs w:val="21"/>
                <w:highlight w:val="none"/>
                <w:lang w:eastAsia="zh-CN"/>
              </w:rPr>
              <w:t>及</w:t>
            </w:r>
            <w:r>
              <w:rPr>
                <w:rFonts w:hint="eastAsia"/>
                <w:color w:val="auto"/>
                <w:kern w:val="0"/>
                <w:sz w:val="24"/>
                <w:szCs w:val="21"/>
                <w:highlight w:val="none"/>
              </w:rPr>
              <w:t>处置。</w:t>
            </w:r>
          </w:p>
          <w:p w14:paraId="457F8E5B">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kern w:val="0"/>
                <w:sz w:val="24"/>
                <w:szCs w:val="21"/>
                <w:highlight w:val="none"/>
              </w:rPr>
            </w:pPr>
            <w:r>
              <w:rPr>
                <w:rFonts w:hint="eastAsia"/>
                <w:color w:val="auto"/>
                <w:kern w:val="0"/>
                <w:sz w:val="24"/>
                <w:szCs w:val="21"/>
                <w:highlight w:val="none"/>
                <w:lang w:val="en-US" w:eastAsia="zh-CN"/>
              </w:rPr>
              <w:t>②</w:t>
            </w:r>
            <w:r>
              <w:rPr>
                <w:rFonts w:hint="eastAsia"/>
                <w:color w:val="auto"/>
                <w:kern w:val="0"/>
                <w:sz w:val="24"/>
                <w:szCs w:val="21"/>
                <w:highlight w:val="none"/>
              </w:rPr>
              <w:t>损伤性废物</w:t>
            </w:r>
          </w:p>
          <w:p w14:paraId="72F90CAD">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kern w:val="0"/>
                <w:sz w:val="24"/>
                <w:szCs w:val="21"/>
                <w:highlight w:val="none"/>
              </w:rPr>
            </w:pPr>
            <w:r>
              <w:rPr>
                <w:rFonts w:hint="eastAsia"/>
                <w:color w:val="auto"/>
                <w:kern w:val="0"/>
                <w:sz w:val="24"/>
                <w:szCs w:val="21"/>
                <w:highlight w:val="none"/>
              </w:rPr>
              <w:t>项目涉及的损伤性废物主要为</w:t>
            </w:r>
            <w:r>
              <w:rPr>
                <w:rFonts w:hint="eastAsia"/>
                <w:color w:val="auto"/>
                <w:kern w:val="0"/>
                <w:sz w:val="24"/>
                <w:szCs w:val="21"/>
                <w:highlight w:val="none"/>
                <w:lang w:eastAsia="zh-CN"/>
              </w:rPr>
              <w:t>废弃的注射器、各种针头、</w:t>
            </w:r>
            <w:r>
              <w:rPr>
                <w:rFonts w:hint="eastAsia"/>
                <w:color w:val="auto"/>
                <w:kern w:val="0"/>
                <w:sz w:val="24"/>
                <w:szCs w:val="21"/>
                <w:highlight w:val="none"/>
              </w:rPr>
              <w:t>载玻片、玻璃试管等。产生量约为0.</w:t>
            </w:r>
            <w:r>
              <w:rPr>
                <w:rFonts w:hint="eastAsia"/>
                <w:color w:val="auto"/>
                <w:kern w:val="0"/>
                <w:sz w:val="24"/>
                <w:szCs w:val="21"/>
                <w:highlight w:val="none"/>
                <w:lang w:val="en-US" w:eastAsia="zh-CN"/>
              </w:rPr>
              <w:t>3</w:t>
            </w:r>
            <w:r>
              <w:rPr>
                <w:rFonts w:hint="eastAsia"/>
                <w:color w:val="auto"/>
                <w:kern w:val="0"/>
                <w:sz w:val="24"/>
                <w:szCs w:val="21"/>
                <w:highlight w:val="none"/>
              </w:rPr>
              <w:t>t/a。根据《国家危险废物名录》</w:t>
            </w:r>
            <w:r>
              <w:rPr>
                <w:rFonts w:hint="eastAsia"/>
                <w:color w:val="auto"/>
                <w:kern w:val="0"/>
                <w:sz w:val="24"/>
                <w:szCs w:val="21"/>
                <w:highlight w:val="none"/>
                <w:lang w:eastAsia="zh-CN"/>
              </w:rPr>
              <w:t>（</w:t>
            </w:r>
            <w:r>
              <w:rPr>
                <w:rFonts w:hint="eastAsia"/>
                <w:color w:val="auto"/>
                <w:kern w:val="0"/>
                <w:sz w:val="24"/>
                <w:szCs w:val="21"/>
                <w:highlight w:val="none"/>
              </w:rPr>
              <w:t>202</w:t>
            </w:r>
            <w:r>
              <w:rPr>
                <w:rFonts w:hint="eastAsia"/>
                <w:color w:val="auto"/>
                <w:kern w:val="0"/>
                <w:sz w:val="24"/>
                <w:szCs w:val="21"/>
                <w:highlight w:val="none"/>
                <w:lang w:val="en-US" w:eastAsia="zh-CN"/>
              </w:rPr>
              <w:t>5</w:t>
            </w:r>
            <w:r>
              <w:rPr>
                <w:rFonts w:hint="eastAsia"/>
                <w:color w:val="auto"/>
                <w:kern w:val="0"/>
                <w:sz w:val="24"/>
                <w:szCs w:val="21"/>
                <w:highlight w:val="none"/>
              </w:rPr>
              <w:t>年版</w:t>
            </w:r>
            <w:r>
              <w:rPr>
                <w:rFonts w:hint="eastAsia"/>
                <w:color w:val="auto"/>
                <w:kern w:val="0"/>
                <w:sz w:val="24"/>
                <w:szCs w:val="21"/>
                <w:highlight w:val="none"/>
                <w:lang w:eastAsia="zh-CN"/>
              </w:rPr>
              <w:t>）</w:t>
            </w:r>
            <w:r>
              <w:rPr>
                <w:rFonts w:hint="eastAsia"/>
                <w:color w:val="auto"/>
                <w:kern w:val="0"/>
                <w:sz w:val="24"/>
                <w:szCs w:val="21"/>
                <w:highlight w:val="none"/>
              </w:rPr>
              <w:t>，该部分废物类别为HW01，废物代码为841-002-01损伤性废物。该部分废物经分类收集后，</w:t>
            </w:r>
            <w:r>
              <w:rPr>
                <w:rFonts w:hint="eastAsia"/>
                <w:color w:val="auto"/>
                <w:kern w:val="0"/>
                <w:sz w:val="24"/>
                <w:szCs w:val="21"/>
                <w:highlight w:val="none"/>
                <w:lang w:eastAsia="zh-CN"/>
              </w:rPr>
              <w:t>依托医院现有</w:t>
            </w:r>
            <w:r>
              <w:rPr>
                <w:rFonts w:hint="eastAsia"/>
                <w:color w:val="auto"/>
                <w:kern w:val="0"/>
                <w:sz w:val="24"/>
                <w:szCs w:val="21"/>
                <w:highlight w:val="none"/>
                <w:lang w:val="en-US" w:eastAsia="zh-CN"/>
              </w:rPr>
              <w:t>1座35m</w:t>
            </w:r>
            <w:r>
              <w:rPr>
                <w:rFonts w:hint="eastAsia"/>
                <w:color w:val="auto"/>
                <w:kern w:val="0"/>
                <w:sz w:val="24"/>
                <w:szCs w:val="21"/>
                <w:highlight w:val="none"/>
                <w:vertAlign w:val="superscript"/>
                <w:lang w:val="en-US" w:eastAsia="zh-CN"/>
              </w:rPr>
              <w:t>2</w:t>
            </w:r>
            <w:r>
              <w:rPr>
                <w:rFonts w:hint="eastAsia"/>
                <w:color w:val="auto"/>
                <w:kern w:val="0"/>
                <w:sz w:val="24"/>
                <w:szCs w:val="21"/>
                <w:highlight w:val="none"/>
                <w:vertAlign w:val="baseline"/>
                <w:lang w:val="en-US" w:eastAsia="zh-CN"/>
              </w:rPr>
              <w:t>的危险废物贮存间暂存</w:t>
            </w:r>
            <w:r>
              <w:rPr>
                <w:rFonts w:hint="eastAsia"/>
                <w:color w:val="auto"/>
                <w:kern w:val="0"/>
                <w:sz w:val="24"/>
                <w:szCs w:val="21"/>
                <w:highlight w:val="none"/>
              </w:rPr>
              <w:t>后</w:t>
            </w:r>
            <w:r>
              <w:rPr>
                <w:rFonts w:hint="eastAsia"/>
                <w:color w:val="auto"/>
                <w:kern w:val="0"/>
                <w:sz w:val="24"/>
                <w:szCs w:val="21"/>
                <w:highlight w:val="none"/>
                <w:lang w:eastAsia="zh-CN"/>
              </w:rPr>
              <w:t>委托相关</w:t>
            </w:r>
            <w:r>
              <w:rPr>
                <w:rFonts w:hint="eastAsia"/>
                <w:color w:val="auto"/>
                <w:kern w:val="0"/>
                <w:sz w:val="24"/>
                <w:szCs w:val="21"/>
                <w:highlight w:val="none"/>
              </w:rPr>
              <w:t>资质单位清运</w:t>
            </w:r>
            <w:r>
              <w:rPr>
                <w:rFonts w:hint="eastAsia"/>
                <w:color w:val="auto"/>
                <w:kern w:val="0"/>
                <w:sz w:val="24"/>
                <w:szCs w:val="21"/>
                <w:highlight w:val="none"/>
                <w:lang w:eastAsia="zh-CN"/>
              </w:rPr>
              <w:t>及</w:t>
            </w:r>
            <w:r>
              <w:rPr>
                <w:rFonts w:hint="eastAsia"/>
                <w:color w:val="auto"/>
                <w:kern w:val="0"/>
                <w:sz w:val="24"/>
                <w:szCs w:val="21"/>
                <w:highlight w:val="none"/>
              </w:rPr>
              <w:t>处置。</w:t>
            </w:r>
          </w:p>
          <w:p w14:paraId="419E39B9">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kern w:val="0"/>
                <w:sz w:val="24"/>
                <w:szCs w:val="21"/>
                <w:highlight w:val="none"/>
              </w:rPr>
            </w:pPr>
            <w:r>
              <w:rPr>
                <w:rFonts w:hint="eastAsia"/>
                <w:color w:val="auto"/>
                <w:kern w:val="0"/>
                <w:sz w:val="24"/>
                <w:szCs w:val="21"/>
                <w:highlight w:val="none"/>
                <w:lang w:val="en-US" w:eastAsia="zh-CN"/>
              </w:rPr>
              <w:t>③</w:t>
            </w:r>
            <w:r>
              <w:rPr>
                <w:rFonts w:hint="eastAsia"/>
                <w:color w:val="auto"/>
                <w:kern w:val="0"/>
                <w:sz w:val="24"/>
                <w:szCs w:val="21"/>
                <w:highlight w:val="none"/>
              </w:rPr>
              <w:t>病理性废物</w:t>
            </w:r>
          </w:p>
          <w:p w14:paraId="2BAC381E">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kern w:val="0"/>
                <w:sz w:val="24"/>
                <w:szCs w:val="21"/>
                <w:highlight w:val="none"/>
              </w:rPr>
            </w:pPr>
            <w:r>
              <w:rPr>
                <w:rFonts w:hint="eastAsia"/>
                <w:color w:val="auto"/>
                <w:kern w:val="0"/>
                <w:sz w:val="24"/>
                <w:szCs w:val="21"/>
                <w:highlight w:val="none"/>
              </w:rPr>
              <w:t>项目涉及的病理性废物主要为病理切片后废弃的人体组织、</w:t>
            </w:r>
            <w:r>
              <w:rPr>
                <w:rFonts w:hint="eastAsia"/>
                <w:color w:val="auto"/>
                <w:kern w:val="0"/>
                <w:sz w:val="24"/>
                <w:szCs w:val="21"/>
                <w:highlight w:val="none"/>
                <w:lang w:eastAsia="zh-CN"/>
              </w:rPr>
              <w:t>病死动物、尸块</w:t>
            </w:r>
            <w:r>
              <w:rPr>
                <w:rFonts w:hint="eastAsia"/>
                <w:color w:val="auto"/>
                <w:kern w:val="0"/>
                <w:sz w:val="24"/>
                <w:szCs w:val="21"/>
                <w:highlight w:val="none"/>
              </w:rPr>
              <w:t>。根据</w:t>
            </w:r>
            <w:r>
              <w:rPr>
                <w:rFonts w:hint="eastAsia"/>
                <w:color w:val="auto"/>
                <w:kern w:val="0"/>
                <w:sz w:val="24"/>
                <w:szCs w:val="21"/>
                <w:highlight w:val="none"/>
                <w:lang w:eastAsia="zh-CN"/>
              </w:rPr>
              <w:t>建设单位</w:t>
            </w:r>
            <w:r>
              <w:rPr>
                <w:rFonts w:hint="eastAsia"/>
                <w:color w:val="auto"/>
                <w:kern w:val="0"/>
                <w:sz w:val="24"/>
                <w:szCs w:val="21"/>
                <w:highlight w:val="none"/>
              </w:rPr>
              <w:t>提供</w:t>
            </w:r>
            <w:r>
              <w:rPr>
                <w:rFonts w:hint="eastAsia"/>
                <w:color w:val="auto"/>
                <w:kern w:val="0"/>
                <w:sz w:val="24"/>
                <w:szCs w:val="21"/>
                <w:highlight w:val="none"/>
                <w:lang w:eastAsia="zh-CN"/>
              </w:rPr>
              <w:t>资料</w:t>
            </w:r>
            <w:r>
              <w:rPr>
                <w:rFonts w:hint="eastAsia"/>
                <w:color w:val="auto"/>
                <w:kern w:val="0"/>
                <w:sz w:val="24"/>
                <w:szCs w:val="21"/>
                <w:highlight w:val="none"/>
              </w:rPr>
              <w:t>，产生量约为0.</w:t>
            </w:r>
            <w:r>
              <w:rPr>
                <w:rFonts w:hint="eastAsia"/>
                <w:color w:val="auto"/>
                <w:kern w:val="0"/>
                <w:sz w:val="24"/>
                <w:szCs w:val="21"/>
                <w:highlight w:val="none"/>
                <w:lang w:val="en-US" w:eastAsia="zh-CN"/>
              </w:rPr>
              <w:t>15</w:t>
            </w:r>
            <w:r>
              <w:rPr>
                <w:rFonts w:hint="eastAsia"/>
                <w:color w:val="auto"/>
                <w:kern w:val="0"/>
                <w:sz w:val="24"/>
                <w:szCs w:val="21"/>
                <w:highlight w:val="none"/>
              </w:rPr>
              <w:t>t/a.根据《国家危险废物名录》</w:t>
            </w:r>
            <w:r>
              <w:rPr>
                <w:rFonts w:hint="eastAsia"/>
                <w:color w:val="auto"/>
                <w:kern w:val="0"/>
                <w:sz w:val="24"/>
                <w:szCs w:val="21"/>
                <w:highlight w:val="none"/>
                <w:lang w:eastAsia="zh-CN"/>
              </w:rPr>
              <w:t>（</w:t>
            </w:r>
            <w:r>
              <w:rPr>
                <w:rFonts w:hint="eastAsia"/>
                <w:color w:val="auto"/>
                <w:kern w:val="0"/>
                <w:sz w:val="24"/>
                <w:szCs w:val="21"/>
                <w:highlight w:val="none"/>
              </w:rPr>
              <w:t>202</w:t>
            </w:r>
            <w:r>
              <w:rPr>
                <w:rFonts w:hint="eastAsia"/>
                <w:color w:val="auto"/>
                <w:kern w:val="0"/>
                <w:sz w:val="24"/>
                <w:szCs w:val="21"/>
                <w:highlight w:val="none"/>
                <w:lang w:val="en-US" w:eastAsia="zh-CN"/>
              </w:rPr>
              <w:t>5</w:t>
            </w:r>
            <w:r>
              <w:rPr>
                <w:rFonts w:hint="eastAsia"/>
                <w:color w:val="auto"/>
                <w:kern w:val="0"/>
                <w:sz w:val="24"/>
                <w:szCs w:val="21"/>
                <w:highlight w:val="none"/>
              </w:rPr>
              <w:t>年版</w:t>
            </w:r>
            <w:r>
              <w:rPr>
                <w:rFonts w:hint="eastAsia"/>
                <w:color w:val="auto"/>
                <w:kern w:val="0"/>
                <w:sz w:val="24"/>
                <w:szCs w:val="21"/>
                <w:highlight w:val="none"/>
                <w:lang w:eastAsia="zh-CN"/>
              </w:rPr>
              <w:t>）</w:t>
            </w:r>
            <w:r>
              <w:rPr>
                <w:rFonts w:hint="eastAsia"/>
                <w:color w:val="auto"/>
                <w:kern w:val="0"/>
                <w:sz w:val="24"/>
                <w:szCs w:val="21"/>
                <w:highlight w:val="none"/>
              </w:rPr>
              <w:t>，该部分废物类别为HW01</w:t>
            </w:r>
            <w:r>
              <w:rPr>
                <w:rFonts w:hint="eastAsia"/>
                <w:color w:val="auto"/>
                <w:kern w:val="0"/>
                <w:sz w:val="24"/>
                <w:szCs w:val="21"/>
                <w:highlight w:val="none"/>
                <w:lang w:eastAsia="zh-CN"/>
              </w:rPr>
              <w:t>，</w:t>
            </w:r>
            <w:r>
              <w:rPr>
                <w:rFonts w:hint="eastAsia"/>
                <w:color w:val="auto"/>
                <w:kern w:val="0"/>
                <w:sz w:val="24"/>
                <w:szCs w:val="21"/>
                <w:highlight w:val="none"/>
              </w:rPr>
              <w:t>废物代码为841-003-01病理性废物。该部分废物经分类收集后，</w:t>
            </w:r>
            <w:r>
              <w:rPr>
                <w:rFonts w:hint="eastAsia"/>
                <w:color w:val="auto"/>
                <w:kern w:val="0"/>
                <w:sz w:val="24"/>
                <w:szCs w:val="21"/>
                <w:highlight w:val="none"/>
                <w:lang w:eastAsia="zh-CN"/>
              </w:rPr>
              <w:t>依托医院现有</w:t>
            </w:r>
            <w:r>
              <w:rPr>
                <w:rFonts w:hint="eastAsia"/>
                <w:color w:val="auto"/>
                <w:kern w:val="0"/>
                <w:sz w:val="24"/>
                <w:szCs w:val="21"/>
                <w:highlight w:val="none"/>
                <w:lang w:val="en-US" w:eastAsia="zh-CN"/>
              </w:rPr>
              <w:t>1座35m</w:t>
            </w:r>
            <w:r>
              <w:rPr>
                <w:rFonts w:hint="eastAsia"/>
                <w:color w:val="auto"/>
                <w:kern w:val="0"/>
                <w:sz w:val="24"/>
                <w:szCs w:val="21"/>
                <w:highlight w:val="none"/>
                <w:vertAlign w:val="superscript"/>
                <w:lang w:val="en-US" w:eastAsia="zh-CN"/>
              </w:rPr>
              <w:t>2</w:t>
            </w:r>
            <w:r>
              <w:rPr>
                <w:rFonts w:hint="eastAsia"/>
                <w:color w:val="auto"/>
                <w:kern w:val="0"/>
                <w:sz w:val="24"/>
                <w:szCs w:val="21"/>
                <w:highlight w:val="none"/>
                <w:vertAlign w:val="baseline"/>
                <w:lang w:val="en-US" w:eastAsia="zh-CN"/>
              </w:rPr>
              <w:t>的危险废物贮存间（</w:t>
            </w:r>
            <w:r>
              <w:rPr>
                <w:rFonts w:hint="eastAsia" w:eastAsiaTheme="minorEastAsia"/>
                <w:color w:val="auto"/>
                <w:szCs w:val="21"/>
                <w:lang w:val="en-US" w:eastAsia="zh-CN"/>
              </w:rPr>
              <w:t>医疗废物贮存间</w:t>
            </w:r>
            <w:r>
              <w:rPr>
                <w:rFonts w:hint="eastAsia"/>
                <w:color w:val="auto"/>
                <w:kern w:val="0"/>
                <w:sz w:val="24"/>
                <w:szCs w:val="21"/>
                <w:highlight w:val="none"/>
                <w:vertAlign w:val="baseline"/>
                <w:lang w:val="en-US" w:eastAsia="zh-CN"/>
              </w:rPr>
              <w:t>）暂存</w:t>
            </w:r>
            <w:r>
              <w:rPr>
                <w:rFonts w:hint="eastAsia"/>
                <w:color w:val="auto"/>
                <w:kern w:val="0"/>
                <w:sz w:val="24"/>
                <w:szCs w:val="21"/>
                <w:highlight w:val="none"/>
              </w:rPr>
              <w:t>后</w:t>
            </w:r>
            <w:r>
              <w:rPr>
                <w:rFonts w:hint="eastAsia"/>
                <w:color w:val="auto"/>
                <w:kern w:val="0"/>
                <w:sz w:val="24"/>
                <w:szCs w:val="21"/>
                <w:highlight w:val="none"/>
                <w:lang w:eastAsia="zh-CN"/>
              </w:rPr>
              <w:t>委托相关</w:t>
            </w:r>
            <w:r>
              <w:rPr>
                <w:rFonts w:hint="eastAsia"/>
                <w:color w:val="auto"/>
                <w:kern w:val="0"/>
                <w:sz w:val="24"/>
                <w:szCs w:val="21"/>
                <w:highlight w:val="none"/>
              </w:rPr>
              <w:t>资质单位清运</w:t>
            </w:r>
            <w:r>
              <w:rPr>
                <w:rFonts w:hint="eastAsia"/>
                <w:color w:val="auto"/>
                <w:kern w:val="0"/>
                <w:sz w:val="24"/>
                <w:szCs w:val="21"/>
                <w:highlight w:val="none"/>
                <w:lang w:eastAsia="zh-CN"/>
              </w:rPr>
              <w:t>及</w:t>
            </w:r>
            <w:r>
              <w:rPr>
                <w:rFonts w:hint="eastAsia"/>
                <w:color w:val="auto"/>
                <w:kern w:val="0"/>
                <w:sz w:val="24"/>
                <w:szCs w:val="21"/>
                <w:highlight w:val="none"/>
              </w:rPr>
              <w:t>处置。</w:t>
            </w:r>
          </w:p>
          <w:p w14:paraId="7DC91AC4">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kern w:val="0"/>
                <w:sz w:val="24"/>
                <w:szCs w:val="21"/>
                <w:highlight w:val="none"/>
              </w:rPr>
            </w:pPr>
            <w:r>
              <w:rPr>
                <w:rFonts w:hint="eastAsia"/>
                <w:color w:val="auto"/>
                <w:kern w:val="0"/>
                <w:sz w:val="24"/>
                <w:szCs w:val="21"/>
                <w:highlight w:val="none"/>
                <w:lang w:val="en-US" w:eastAsia="zh-CN"/>
              </w:rPr>
              <w:t>④</w:t>
            </w:r>
            <w:r>
              <w:rPr>
                <w:rFonts w:hint="eastAsia"/>
                <w:color w:val="auto"/>
                <w:kern w:val="0"/>
                <w:sz w:val="24"/>
                <w:szCs w:val="21"/>
                <w:highlight w:val="none"/>
              </w:rPr>
              <w:t>化学性废物</w:t>
            </w:r>
          </w:p>
          <w:p w14:paraId="42A3AC52">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kern w:val="0"/>
                <w:sz w:val="24"/>
                <w:szCs w:val="21"/>
                <w:highlight w:val="none"/>
                <w:lang w:val="en-US" w:eastAsia="zh-CN"/>
              </w:rPr>
            </w:pPr>
            <w:r>
              <w:rPr>
                <w:rFonts w:hint="eastAsia"/>
                <w:color w:val="auto"/>
                <w:kern w:val="0"/>
                <w:sz w:val="24"/>
                <w:szCs w:val="21"/>
                <w:highlight w:val="none"/>
              </w:rPr>
              <w:t>项目涉及的药物性废物主要为实验室废弃的化学试剂</w:t>
            </w:r>
            <w:r>
              <w:rPr>
                <w:rFonts w:hint="eastAsia"/>
                <w:color w:val="auto"/>
                <w:kern w:val="0"/>
                <w:sz w:val="24"/>
                <w:szCs w:val="21"/>
                <w:highlight w:val="none"/>
                <w:lang w:eastAsia="zh-CN"/>
              </w:rPr>
              <w:t>、溶剂</w:t>
            </w:r>
            <w:r>
              <w:rPr>
                <w:rFonts w:hint="eastAsia"/>
                <w:color w:val="auto"/>
                <w:kern w:val="0"/>
                <w:sz w:val="24"/>
                <w:szCs w:val="21"/>
                <w:highlight w:val="none"/>
              </w:rPr>
              <w:t>等。根据</w:t>
            </w:r>
            <w:r>
              <w:rPr>
                <w:rFonts w:hint="eastAsia"/>
                <w:color w:val="auto"/>
                <w:kern w:val="0"/>
                <w:sz w:val="24"/>
                <w:szCs w:val="21"/>
                <w:highlight w:val="none"/>
                <w:lang w:eastAsia="zh-CN"/>
              </w:rPr>
              <w:t>建设单位提供数据</w:t>
            </w:r>
            <w:r>
              <w:rPr>
                <w:rFonts w:hint="eastAsia"/>
                <w:color w:val="auto"/>
                <w:kern w:val="0"/>
                <w:sz w:val="24"/>
                <w:szCs w:val="21"/>
                <w:highlight w:val="none"/>
              </w:rPr>
              <w:t>，实验室废弃的化学试剂</w:t>
            </w:r>
            <w:r>
              <w:rPr>
                <w:rFonts w:hint="eastAsia"/>
                <w:color w:val="auto"/>
                <w:kern w:val="0"/>
                <w:sz w:val="24"/>
                <w:szCs w:val="21"/>
                <w:highlight w:val="none"/>
                <w:lang w:eastAsia="zh-CN"/>
              </w:rPr>
              <w:t>较少，</w:t>
            </w:r>
            <w:r>
              <w:rPr>
                <w:rFonts w:hint="eastAsia"/>
                <w:color w:val="auto"/>
                <w:kern w:val="0"/>
                <w:sz w:val="24"/>
                <w:szCs w:val="21"/>
                <w:highlight w:val="none"/>
              </w:rPr>
              <w:t>产生量约为0.0</w:t>
            </w:r>
            <w:r>
              <w:rPr>
                <w:rFonts w:hint="eastAsia"/>
                <w:color w:val="auto"/>
                <w:kern w:val="0"/>
                <w:sz w:val="24"/>
                <w:szCs w:val="21"/>
                <w:highlight w:val="none"/>
                <w:lang w:val="en-US" w:eastAsia="zh-CN"/>
              </w:rPr>
              <w:t>1</w:t>
            </w:r>
            <w:r>
              <w:rPr>
                <w:rFonts w:hint="eastAsia"/>
                <w:color w:val="auto"/>
                <w:kern w:val="0"/>
                <w:sz w:val="24"/>
                <w:szCs w:val="21"/>
                <w:highlight w:val="none"/>
              </w:rPr>
              <w:t>t/a。该部分废物均属于《国家危险废物名录》</w:t>
            </w:r>
            <w:r>
              <w:rPr>
                <w:rFonts w:hint="eastAsia"/>
                <w:color w:val="auto"/>
                <w:kern w:val="0"/>
                <w:sz w:val="24"/>
                <w:szCs w:val="21"/>
                <w:highlight w:val="none"/>
                <w:lang w:eastAsia="zh-CN"/>
              </w:rPr>
              <w:t>（</w:t>
            </w:r>
            <w:r>
              <w:rPr>
                <w:rFonts w:hint="eastAsia"/>
                <w:color w:val="auto"/>
                <w:kern w:val="0"/>
                <w:sz w:val="24"/>
                <w:szCs w:val="21"/>
                <w:highlight w:val="none"/>
              </w:rPr>
              <w:t>202</w:t>
            </w:r>
            <w:r>
              <w:rPr>
                <w:rFonts w:hint="eastAsia"/>
                <w:color w:val="auto"/>
                <w:kern w:val="0"/>
                <w:sz w:val="24"/>
                <w:szCs w:val="21"/>
                <w:highlight w:val="none"/>
                <w:lang w:val="en-US" w:eastAsia="zh-CN"/>
              </w:rPr>
              <w:t>5</w:t>
            </w:r>
            <w:r>
              <w:rPr>
                <w:rFonts w:hint="eastAsia"/>
                <w:color w:val="auto"/>
                <w:kern w:val="0"/>
                <w:sz w:val="24"/>
                <w:szCs w:val="21"/>
                <w:highlight w:val="none"/>
              </w:rPr>
              <w:t>年版</w:t>
            </w:r>
            <w:r>
              <w:rPr>
                <w:rFonts w:hint="eastAsia"/>
                <w:color w:val="auto"/>
                <w:kern w:val="0"/>
                <w:sz w:val="24"/>
                <w:szCs w:val="21"/>
                <w:highlight w:val="none"/>
                <w:lang w:eastAsia="zh-CN"/>
              </w:rPr>
              <w:t>）</w:t>
            </w:r>
            <w:r>
              <w:rPr>
                <w:rFonts w:hint="eastAsia"/>
                <w:color w:val="auto"/>
                <w:kern w:val="0"/>
                <w:sz w:val="24"/>
                <w:szCs w:val="21"/>
                <w:highlight w:val="none"/>
              </w:rPr>
              <w:t>中HW01医疗废物类别，代码为841-004-01化学性废物。该部分废物经分类收集用容器密闭存放后，</w:t>
            </w:r>
            <w:r>
              <w:rPr>
                <w:rFonts w:hint="eastAsia"/>
                <w:color w:val="auto"/>
                <w:kern w:val="0"/>
                <w:sz w:val="24"/>
                <w:szCs w:val="21"/>
                <w:highlight w:val="none"/>
                <w:lang w:eastAsia="zh-CN"/>
              </w:rPr>
              <w:t>依托医院现有</w:t>
            </w:r>
            <w:r>
              <w:rPr>
                <w:rFonts w:hint="eastAsia"/>
                <w:color w:val="auto"/>
                <w:kern w:val="0"/>
                <w:sz w:val="24"/>
                <w:szCs w:val="21"/>
                <w:highlight w:val="none"/>
                <w:lang w:val="en-US" w:eastAsia="zh-CN"/>
              </w:rPr>
              <w:t>1座35m</w:t>
            </w:r>
            <w:r>
              <w:rPr>
                <w:rFonts w:hint="eastAsia"/>
                <w:color w:val="auto"/>
                <w:kern w:val="0"/>
                <w:sz w:val="24"/>
                <w:szCs w:val="21"/>
                <w:highlight w:val="none"/>
                <w:vertAlign w:val="superscript"/>
                <w:lang w:val="en-US" w:eastAsia="zh-CN"/>
              </w:rPr>
              <w:t>2</w:t>
            </w:r>
            <w:r>
              <w:rPr>
                <w:rFonts w:hint="eastAsia"/>
                <w:color w:val="auto"/>
                <w:kern w:val="0"/>
                <w:sz w:val="24"/>
                <w:szCs w:val="21"/>
                <w:highlight w:val="none"/>
                <w:vertAlign w:val="baseline"/>
                <w:lang w:val="en-US" w:eastAsia="zh-CN"/>
              </w:rPr>
              <w:t>的危险废物贮存间（</w:t>
            </w:r>
            <w:r>
              <w:rPr>
                <w:rFonts w:hint="eastAsia" w:eastAsiaTheme="minorEastAsia"/>
                <w:color w:val="auto"/>
                <w:szCs w:val="21"/>
                <w:lang w:val="en-US" w:eastAsia="zh-CN"/>
              </w:rPr>
              <w:t>医疗废物贮存间</w:t>
            </w:r>
            <w:r>
              <w:rPr>
                <w:rFonts w:hint="eastAsia"/>
                <w:color w:val="auto"/>
                <w:kern w:val="0"/>
                <w:sz w:val="24"/>
                <w:szCs w:val="21"/>
                <w:highlight w:val="none"/>
                <w:vertAlign w:val="baseline"/>
                <w:lang w:val="en-US" w:eastAsia="zh-CN"/>
              </w:rPr>
              <w:t>）暂存</w:t>
            </w:r>
            <w:r>
              <w:rPr>
                <w:rFonts w:hint="eastAsia"/>
                <w:color w:val="auto"/>
                <w:kern w:val="0"/>
                <w:sz w:val="24"/>
                <w:szCs w:val="21"/>
                <w:highlight w:val="none"/>
              </w:rPr>
              <w:t>后</w:t>
            </w:r>
            <w:r>
              <w:rPr>
                <w:rFonts w:hint="eastAsia"/>
                <w:color w:val="auto"/>
                <w:kern w:val="0"/>
                <w:sz w:val="24"/>
                <w:szCs w:val="21"/>
                <w:highlight w:val="none"/>
                <w:lang w:eastAsia="zh-CN"/>
              </w:rPr>
              <w:t>委托相关</w:t>
            </w:r>
            <w:r>
              <w:rPr>
                <w:rFonts w:hint="eastAsia"/>
                <w:color w:val="auto"/>
                <w:kern w:val="0"/>
                <w:sz w:val="24"/>
                <w:szCs w:val="21"/>
                <w:highlight w:val="none"/>
              </w:rPr>
              <w:t>资质单位清运</w:t>
            </w:r>
            <w:r>
              <w:rPr>
                <w:rFonts w:hint="eastAsia"/>
                <w:color w:val="auto"/>
                <w:kern w:val="0"/>
                <w:sz w:val="24"/>
                <w:szCs w:val="21"/>
                <w:highlight w:val="none"/>
                <w:lang w:eastAsia="zh-CN"/>
              </w:rPr>
              <w:t>及</w:t>
            </w:r>
            <w:r>
              <w:rPr>
                <w:rFonts w:hint="eastAsia"/>
                <w:color w:val="auto"/>
                <w:kern w:val="0"/>
                <w:sz w:val="24"/>
                <w:szCs w:val="21"/>
                <w:highlight w:val="none"/>
              </w:rPr>
              <w:t>处置。</w:t>
            </w:r>
          </w:p>
          <w:p w14:paraId="292EE4B9">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kern w:val="0"/>
                <w:sz w:val="24"/>
                <w:szCs w:val="21"/>
                <w:highlight w:val="none"/>
              </w:rPr>
            </w:pPr>
            <w:r>
              <w:rPr>
                <w:rFonts w:hint="eastAsia"/>
                <w:color w:val="auto"/>
                <w:kern w:val="0"/>
                <w:sz w:val="24"/>
                <w:szCs w:val="21"/>
                <w:highlight w:val="none"/>
                <w:lang w:val="en-US" w:eastAsia="zh-CN"/>
              </w:rPr>
              <w:t>⑤</w:t>
            </w:r>
            <w:r>
              <w:rPr>
                <w:rFonts w:hint="eastAsia"/>
                <w:color w:val="auto"/>
                <w:kern w:val="0"/>
                <w:sz w:val="24"/>
                <w:szCs w:val="21"/>
                <w:highlight w:val="none"/>
              </w:rPr>
              <w:t>药物性废物</w:t>
            </w:r>
          </w:p>
          <w:p w14:paraId="09A9D78E">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kern w:val="0"/>
                <w:sz w:val="24"/>
                <w:szCs w:val="21"/>
                <w:highlight w:val="none"/>
              </w:rPr>
            </w:pPr>
            <w:r>
              <w:rPr>
                <w:rFonts w:hint="eastAsia"/>
                <w:color w:val="auto"/>
                <w:kern w:val="0"/>
                <w:sz w:val="24"/>
                <w:szCs w:val="21"/>
                <w:highlight w:val="none"/>
              </w:rPr>
              <w:t>项目涉及的药物性废物主要为</w:t>
            </w:r>
            <w:r>
              <w:rPr>
                <w:rFonts w:hint="eastAsia"/>
                <w:color w:val="auto"/>
                <w:kern w:val="0"/>
                <w:sz w:val="24"/>
                <w:szCs w:val="21"/>
                <w:highlight w:val="none"/>
                <w:lang w:val="en-US" w:eastAsia="zh-CN"/>
              </w:rPr>
              <w:t>过期药品及血液制品</w:t>
            </w:r>
            <w:r>
              <w:rPr>
                <w:rFonts w:hint="eastAsia"/>
                <w:color w:val="auto"/>
                <w:kern w:val="0"/>
                <w:sz w:val="24"/>
                <w:szCs w:val="21"/>
                <w:highlight w:val="none"/>
              </w:rPr>
              <w:t>等。根据业主提供的数据，产生量约为0.02t/a。该部分废物均属于《国家危险废物名录》</w:t>
            </w:r>
            <w:r>
              <w:rPr>
                <w:rFonts w:hint="eastAsia"/>
                <w:color w:val="auto"/>
                <w:kern w:val="0"/>
                <w:sz w:val="24"/>
                <w:szCs w:val="21"/>
                <w:highlight w:val="none"/>
                <w:lang w:eastAsia="zh-CN"/>
              </w:rPr>
              <w:t>（</w:t>
            </w:r>
            <w:r>
              <w:rPr>
                <w:rFonts w:hint="eastAsia"/>
                <w:color w:val="auto"/>
                <w:kern w:val="0"/>
                <w:sz w:val="24"/>
                <w:szCs w:val="21"/>
                <w:highlight w:val="none"/>
              </w:rPr>
              <w:t>202</w:t>
            </w:r>
            <w:r>
              <w:rPr>
                <w:rFonts w:hint="eastAsia"/>
                <w:color w:val="auto"/>
                <w:kern w:val="0"/>
                <w:sz w:val="24"/>
                <w:szCs w:val="21"/>
                <w:highlight w:val="none"/>
                <w:lang w:val="en-US" w:eastAsia="zh-CN"/>
              </w:rPr>
              <w:t>5</w:t>
            </w:r>
            <w:r>
              <w:rPr>
                <w:rFonts w:hint="eastAsia"/>
                <w:color w:val="auto"/>
                <w:kern w:val="0"/>
                <w:sz w:val="24"/>
                <w:szCs w:val="21"/>
                <w:highlight w:val="none"/>
              </w:rPr>
              <w:t>年版</w:t>
            </w:r>
            <w:r>
              <w:rPr>
                <w:rFonts w:hint="eastAsia"/>
                <w:color w:val="auto"/>
                <w:kern w:val="0"/>
                <w:sz w:val="24"/>
                <w:szCs w:val="21"/>
                <w:highlight w:val="none"/>
                <w:lang w:eastAsia="zh-CN"/>
              </w:rPr>
              <w:t>）</w:t>
            </w:r>
            <w:r>
              <w:rPr>
                <w:rFonts w:hint="eastAsia"/>
                <w:color w:val="auto"/>
                <w:kern w:val="0"/>
                <w:sz w:val="24"/>
                <w:szCs w:val="21"/>
                <w:highlight w:val="none"/>
              </w:rPr>
              <w:t>中HW01医疗废物类别，代码为841-005-01药物性废物。该部分废物经分类收集用容器密闭存放后，</w:t>
            </w:r>
            <w:r>
              <w:rPr>
                <w:rFonts w:hint="eastAsia"/>
                <w:color w:val="auto"/>
                <w:kern w:val="0"/>
                <w:sz w:val="24"/>
                <w:szCs w:val="21"/>
                <w:highlight w:val="none"/>
                <w:lang w:eastAsia="zh-CN"/>
              </w:rPr>
              <w:t>依托医院现有</w:t>
            </w:r>
            <w:r>
              <w:rPr>
                <w:rFonts w:hint="eastAsia"/>
                <w:color w:val="auto"/>
                <w:kern w:val="0"/>
                <w:sz w:val="24"/>
                <w:szCs w:val="21"/>
                <w:highlight w:val="none"/>
                <w:lang w:val="en-US" w:eastAsia="zh-CN"/>
              </w:rPr>
              <w:t>1座35m</w:t>
            </w:r>
            <w:r>
              <w:rPr>
                <w:rFonts w:hint="eastAsia"/>
                <w:color w:val="auto"/>
                <w:kern w:val="0"/>
                <w:sz w:val="24"/>
                <w:szCs w:val="21"/>
                <w:highlight w:val="none"/>
                <w:vertAlign w:val="superscript"/>
                <w:lang w:val="en-US" w:eastAsia="zh-CN"/>
              </w:rPr>
              <w:t>2</w:t>
            </w:r>
            <w:r>
              <w:rPr>
                <w:rFonts w:hint="eastAsia"/>
                <w:color w:val="auto"/>
                <w:kern w:val="0"/>
                <w:sz w:val="24"/>
                <w:szCs w:val="21"/>
                <w:highlight w:val="none"/>
                <w:vertAlign w:val="baseline"/>
                <w:lang w:val="en-US" w:eastAsia="zh-CN"/>
              </w:rPr>
              <w:t>的危险废物贮存间（</w:t>
            </w:r>
            <w:r>
              <w:rPr>
                <w:rFonts w:hint="eastAsia" w:eastAsiaTheme="minorEastAsia"/>
                <w:color w:val="auto"/>
                <w:szCs w:val="21"/>
                <w:lang w:val="en-US" w:eastAsia="zh-CN"/>
              </w:rPr>
              <w:t>医疗废物贮存间</w:t>
            </w:r>
            <w:r>
              <w:rPr>
                <w:rFonts w:hint="eastAsia"/>
                <w:color w:val="auto"/>
                <w:kern w:val="0"/>
                <w:sz w:val="24"/>
                <w:szCs w:val="21"/>
                <w:highlight w:val="none"/>
                <w:vertAlign w:val="baseline"/>
                <w:lang w:val="en-US" w:eastAsia="zh-CN"/>
              </w:rPr>
              <w:t>）暂存</w:t>
            </w:r>
            <w:r>
              <w:rPr>
                <w:rFonts w:hint="eastAsia"/>
                <w:color w:val="auto"/>
                <w:kern w:val="0"/>
                <w:sz w:val="24"/>
                <w:szCs w:val="21"/>
                <w:highlight w:val="none"/>
              </w:rPr>
              <w:t>后</w:t>
            </w:r>
            <w:r>
              <w:rPr>
                <w:rFonts w:hint="eastAsia"/>
                <w:color w:val="auto"/>
                <w:kern w:val="0"/>
                <w:sz w:val="24"/>
                <w:szCs w:val="21"/>
                <w:highlight w:val="none"/>
                <w:lang w:eastAsia="zh-CN"/>
              </w:rPr>
              <w:t>委托相关</w:t>
            </w:r>
            <w:r>
              <w:rPr>
                <w:rFonts w:hint="eastAsia"/>
                <w:color w:val="auto"/>
                <w:kern w:val="0"/>
                <w:sz w:val="24"/>
                <w:szCs w:val="21"/>
                <w:highlight w:val="none"/>
              </w:rPr>
              <w:t>资质单位清运</w:t>
            </w:r>
            <w:r>
              <w:rPr>
                <w:rFonts w:hint="eastAsia"/>
                <w:color w:val="auto"/>
                <w:kern w:val="0"/>
                <w:sz w:val="24"/>
                <w:szCs w:val="21"/>
                <w:highlight w:val="none"/>
                <w:lang w:eastAsia="zh-CN"/>
              </w:rPr>
              <w:t>及</w:t>
            </w:r>
            <w:r>
              <w:rPr>
                <w:rFonts w:hint="eastAsia"/>
                <w:color w:val="auto"/>
                <w:kern w:val="0"/>
                <w:sz w:val="24"/>
                <w:szCs w:val="21"/>
                <w:highlight w:val="none"/>
              </w:rPr>
              <w:t>处置。</w:t>
            </w:r>
          </w:p>
          <w:p w14:paraId="12FABF89">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kern w:val="0"/>
                <w:sz w:val="24"/>
                <w:szCs w:val="21"/>
                <w:highlight w:val="none"/>
              </w:rPr>
            </w:pPr>
            <w:r>
              <w:rPr>
                <w:rFonts w:hint="eastAsia"/>
                <w:color w:val="auto"/>
                <w:kern w:val="0"/>
                <w:sz w:val="24"/>
                <w:szCs w:val="21"/>
                <w:highlight w:val="none"/>
                <w:lang w:val="en-US" w:eastAsia="zh-CN"/>
              </w:rPr>
              <w:t>4</w:t>
            </w:r>
            <w:r>
              <w:rPr>
                <w:rFonts w:hint="eastAsia"/>
                <w:color w:val="auto"/>
                <w:kern w:val="0"/>
                <w:sz w:val="24"/>
                <w:szCs w:val="21"/>
                <w:highlight w:val="none"/>
              </w:rPr>
              <w:t>）</w:t>
            </w:r>
            <w:r>
              <w:rPr>
                <w:rFonts w:hint="eastAsia"/>
                <w:color w:val="auto"/>
                <w:kern w:val="0"/>
                <w:sz w:val="24"/>
                <w:szCs w:val="21"/>
                <w:highlight w:val="none"/>
                <w:lang w:val="en-US" w:eastAsia="zh-CN"/>
              </w:rPr>
              <w:t>其他</w:t>
            </w:r>
            <w:r>
              <w:rPr>
                <w:rFonts w:hint="eastAsia"/>
                <w:color w:val="auto"/>
                <w:kern w:val="0"/>
                <w:sz w:val="24"/>
                <w:szCs w:val="21"/>
                <w:highlight w:val="none"/>
              </w:rPr>
              <w:t>危险废物</w:t>
            </w:r>
          </w:p>
          <w:p w14:paraId="65894FE6">
            <w:pPr>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eastAsia" w:ascii="宋体" w:hAnsi="宋体"/>
                <w:color w:val="auto"/>
                <w:sz w:val="24"/>
                <w:highlight w:val="none"/>
              </w:rPr>
              <w:t>①</w:t>
            </w:r>
            <w:r>
              <w:rPr>
                <w:rFonts w:hint="default" w:ascii="Times New Roman" w:hAnsi="Times New Roman" w:cs="Times New Roman"/>
                <w:color w:val="auto"/>
                <w:lang w:val="en-US" w:eastAsia="zh-CN"/>
              </w:rPr>
              <w:t>废活性炭</w:t>
            </w:r>
          </w:p>
          <w:p w14:paraId="6A085CEE">
            <w:pPr>
              <w:keepNext w:val="0"/>
              <w:keepLines w:val="0"/>
              <w:suppressLineNumbers w:val="0"/>
              <w:spacing w:before="0" w:beforeAutospacing="0" w:after="0" w:afterAutospacing="0"/>
              <w:ind w:left="0" w:right="0" w:firstLine="480"/>
              <w:rPr>
                <w:rFonts w:hint="eastAsia"/>
                <w:color w:val="auto"/>
              </w:rPr>
            </w:pPr>
            <w:r>
              <w:rPr>
                <w:rFonts w:hint="eastAsia"/>
                <w:color w:val="auto"/>
                <w:lang w:val="en-US" w:eastAsia="zh-CN"/>
              </w:rPr>
              <w:t>项目</w:t>
            </w:r>
            <w:r>
              <w:rPr>
                <w:rFonts w:hint="eastAsia"/>
                <w:color w:val="auto"/>
                <w:lang w:eastAsia="zh-CN"/>
              </w:rPr>
              <w:t>实验室产生的有机</w:t>
            </w:r>
            <w:r>
              <w:rPr>
                <w:rFonts w:hint="eastAsia"/>
                <w:color w:val="auto"/>
              </w:rPr>
              <w:t>废气采取“</w:t>
            </w:r>
            <w:r>
              <w:rPr>
                <w:rFonts w:hint="eastAsia"/>
                <w:color w:val="auto"/>
                <w:lang w:val="en-US" w:eastAsia="zh-CN"/>
              </w:rPr>
              <w:t>二</w:t>
            </w:r>
            <w:r>
              <w:rPr>
                <w:rFonts w:hint="eastAsia"/>
                <w:color w:val="auto"/>
              </w:rPr>
              <w:t>级活性炭吸附”处理，根据</w:t>
            </w:r>
            <w:r>
              <w:rPr>
                <w:rFonts w:hint="eastAsia"/>
                <w:color w:val="auto"/>
                <w:lang w:eastAsia="zh-CN"/>
              </w:rPr>
              <w:t>废气污染</w:t>
            </w:r>
            <w:r>
              <w:rPr>
                <w:rFonts w:hint="eastAsia"/>
                <w:color w:val="auto"/>
              </w:rPr>
              <w:t>源强计算，</w:t>
            </w:r>
            <w:r>
              <w:rPr>
                <w:rFonts w:hint="eastAsia"/>
                <w:color w:val="auto"/>
                <w:lang w:val="en-US" w:eastAsia="zh-CN"/>
              </w:rPr>
              <w:t>有机废气有组织产生量0.177t/a，</w:t>
            </w:r>
            <w:r>
              <w:rPr>
                <w:rFonts w:hint="eastAsia"/>
                <w:color w:val="auto"/>
              </w:rPr>
              <w:t>被活性炭吸附的</w:t>
            </w:r>
            <w:r>
              <w:rPr>
                <w:rFonts w:hint="eastAsia"/>
                <w:color w:val="auto"/>
                <w:lang w:val="en-US" w:eastAsia="zh-CN"/>
              </w:rPr>
              <w:t>有机</w:t>
            </w:r>
            <w:r>
              <w:rPr>
                <w:rFonts w:hint="eastAsia"/>
                <w:color w:val="auto"/>
              </w:rPr>
              <w:t>废气量约为</w:t>
            </w:r>
            <w:r>
              <w:rPr>
                <w:rFonts w:hint="eastAsia"/>
                <w:color w:val="auto"/>
                <w:lang w:val="en-US" w:eastAsia="zh-CN"/>
              </w:rPr>
              <w:t>0.159</w:t>
            </w:r>
            <w:r>
              <w:rPr>
                <w:rFonts w:hint="eastAsia"/>
                <w:color w:val="auto"/>
              </w:rPr>
              <w:t>t/a。根据《省生态环境厅关于将排污单位活性炭使用更换纳入排污许可管理的通知》等文件要求参照以下公式计算活性炭更换周期。</w:t>
            </w:r>
          </w:p>
          <w:p w14:paraId="77DF0984">
            <w:pPr>
              <w:keepNext w:val="0"/>
              <w:keepLines w:val="0"/>
              <w:suppressLineNumbers w:val="0"/>
              <w:adjustRightInd w:val="0"/>
              <w:snapToGrid w:val="0"/>
              <w:spacing w:before="156" w:beforeAutospacing="0" w:after="0" w:afterAutospacing="0"/>
              <w:ind w:left="0" w:right="0" w:firstLine="480"/>
              <w:jc w:val="center"/>
              <w:rPr>
                <w:rFonts w:hint="eastAsia" w:cs="宋体"/>
                <w:color w:val="auto"/>
              </w:rPr>
            </w:pPr>
            <w:r>
              <w:rPr>
                <w:rFonts w:hint="eastAsia" w:cs="宋体"/>
                <w:color w:val="auto"/>
              </w:rPr>
              <w:drawing>
                <wp:inline distT="0" distB="0" distL="114300" distR="114300">
                  <wp:extent cx="1804035" cy="1625600"/>
                  <wp:effectExtent l="0" t="0" r="571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1804035" cy="1625600"/>
                          </a:xfrm>
                          <a:prstGeom prst="rect">
                            <a:avLst/>
                          </a:prstGeom>
                          <a:noFill/>
                          <a:ln>
                            <a:noFill/>
                          </a:ln>
                        </pic:spPr>
                      </pic:pic>
                    </a:graphicData>
                  </a:graphic>
                </wp:inline>
              </w:drawing>
            </w:r>
          </w:p>
          <w:p w14:paraId="3475DF2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kern w:val="0"/>
                <w:szCs w:val="20"/>
              </w:rPr>
            </w:pPr>
          </w:p>
          <w:p w14:paraId="4DE9A2A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kern w:val="0"/>
                <w:szCs w:val="20"/>
              </w:rPr>
            </w:pPr>
            <w:r>
              <w:rPr>
                <w:rFonts w:hint="eastAsia"/>
                <w:b/>
                <w:color w:val="auto"/>
                <w:kern w:val="0"/>
                <w:szCs w:val="20"/>
              </w:rPr>
              <w:t>表4.4-</w:t>
            </w:r>
            <w:r>
              <w:rPr>
                <w:rFonts w:hint="eastAsia"/>
                <w:b/>
                <w:color w:val="auto"/>
                <w:kern w:val="0"/>
                <w:szCs w:val="20"/>
                <w:lang w:val="en-US" w:eastAsia="zh-CN"/>
              </w:rPr>
              <w:t>4</w:t>
            </w:r>
            <w:r>
              <w:rPr>
                <w:rFonts w:hint="eastAsia"/>
                <w:b/>
                <w:color w:val="auto"/>
                <w:kern w:val="0"/>
                <w:szCs w:val="20"/>
              </w:rPr>
              <w:t xml:space="preserve">  废气处理设施活性炭更换周期情况表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044"/>
              <w:gridCol w:w="871"/>
              <w:gridCol w:w="874"/>
              <w:gridCol w:w="1404"/>
              <w:gridCol w:w="936"/>
              <w:gridCol w:w="894"/>
              <w:gridCol w:w="907"/>
            </w:tblGrid>
            <w:tr w14:paraId="58E5A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Align w:val="center"/>
                </w:tcPr>
                <w:p w14:paraId="7A4C7CA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b/>
                      <w:color w:val="auto"/>
                      <w:sz w:val="18"/>
                      <w:szCs w:val="18"/>
                      <w:lang w:eastAsia="zh-CN"/>
                    </w:rPr>
                  </w:pPr>
                  <w:r>
                    <w:rPr>
                      <w:rFonts w:hint="eastAsia"/>
                      <w:b/>
                      <w:color w:val="auto"/>
                      <w:sz w:val="18"/>
                      <w:szCs w:val="18"/>
                      <w:lang w:eastAsia="zh-CN"/>
                    </w:rPr>
                    <w:t>产生工序</w:t>
                  </w:r>
                </w:p>
              </w:tc>
              <w:tc>
                <w:tcPr>
                  <w:tcW w:w="667" w:type="pct"/>
                  <w:vAlign w:val="center"/>
                </w:tcPr>
                <w:p w14:paraId="7C5B412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18"/>
                      <w:szCs w:val="18"/>
                    </w:rPr>
                  </w:pPr>
                  <w:r>
                    <w:rPr>
                      <w:rFonts w:hint="eastAsia"/>
                      <w:b/>
                      <w:color w:val="auto"/>
                      <w:sz w:val="18"/>
                      <w:szCs w:val="18"/>
                    </w:rPr>
                    <w:t>活性炭装置</w:t>
                  </w:r>
                </w:p>
              </w:tc>
              <w:tc>
                <w:tcPr>
                  <w:tcW w:w="557" w:type="pct"/>
                  <w:vAlign w:val="center"/>
                </w:tcPr>
                <w:p w14:paraId="00894D1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18"/>
                      <w:szCs w:val="18"/>
                    </w:rPr>
                  </w:pPr>
                  <w:r>
                    <w:rPr>
                      <w:rFonts w:hint="eastAsia"/>
                      <w:b/>
                      <w:color w:val="auto"/>
                      <w:sz w:val="18"/>
                      <w:szCs w:val="18"/>
                    </w:rPr>
                    <w:t>活性炭填充量m（kg）</w:t>
                  </w:r>
                </w:p>
              </w:tc>
              <w:tc>
                <w:tcPr>
                  <w:tcW w:w="558" w:type="pct"/>
                  <w:vAlign w:val="center"/>
                </w:tcPr>
                <w:p w14:paraId="5355D69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color w:val="auto"/>
                      <w:sz w:val="18"/>
                      <w:szCs w:val="18"/>
                    </w:rPr>
                  </w:pPr>
                  <w:r>
                    <w:rPr>
                      <w:rFonts w:hint="eastAsia"/>
                      <w:b/>
                      <w:color w:val="auto"/>
                      <w:sz w:val="18"/>
                      <w:szCs w:val="18"/>
                    </w:rPr>
                    <w:t>动态吸附量s（%）</w:t>
                  </w:r>
                </w:p>
              </w:tc>
              <w:tc>
                <w:tcPr>
                  <w:tcW w:w="895" w:type="pct"/>
                  <w:vAlign w:val="center"/>
                </w:tcPr>
                <w:p w14:paraId="7C3A1975">
                  <w:pPr>
                    <w:keepNext w:val="0"/>
                    <w:keepLines w:val="0"/>
                    <w:widowControl/>
                    <w:suppressLineNumbers w:val="0"/>
                    <w:spacing w:before="0" w:beforeAutospacing="0" w:after="0" w:afterAutospacing="0" w:line="240" w:lineRule="auto"/>
                    <w:ind w:left="0" w:right="0" w:firstLine="0" w:firstLineChars="0"/>
                    <w:jc w:val="center"/>
                    <w:rPr>
                      <w:rFonts w:hint="eastAsia"/>
                      <w:b/>
                      <w:color w:val="auto"/>
                      <w:sz w:val="18"/>
                      <w:szCs w:val="18"/>
                    </w:rPr>
                  </w:pPr>
                  <w:r>
                    <w:rPr>
                      <w:rFonts w:hint="eastAsia"/>
                      <w:b/>
                      <w:bCs/>
                      <w:color w:val="auto"/>
                      <w:sz w:val="18"/>
                      <w:szCs w:val="18"/>
                    </w:rPr>
                    <w:t>活性炭削减非甲烷总烃浓度c（mg/m</w:t>
                  </w:r>
                  <w:r>
                    <w:rPr>
                      <w:rFonts w:hint="eastAsia"/>
                      <w:b/>
                      <w:bCs/>
                      <w:color w:val="auto"/>
                      <w:sz w:val="18"/>
                      <w:szCs w:val="18"/>
                      <w:vertAlign w:val="superscript"/>
                    </w:rPr>
                    <w:t>3</w:t>
                  </w:r>
                  <w:r>
                    <w:rPr>
                      <w:rFonts w:hint="eastAsia"/>
                      <w:b/>
                      <w:bCs/>
                      <w:color w:val="auto"/>
                      <w:sz w:val="18"/>
                      <w:szCs w:val="18"/>
                    </w:rPr>
                    <w:t>）</w:t>
                  </w:r>
                </w:p>
              </w:tc>
              <w:tc>
                <w:tcPr>
                  <w:tcW w:w="576" w:type="pct"/>
                  <w:vAlign w:val="center"/>
                </w:tcPr>
                <w:p w14:paraId="2E06EF8E">
                  <w:pPr>
                    <w:keepNext w:val="0"/>
                    <w:keepLines w:val="0"/>
                    <w:widowControl/>
                    <w:suppressLineNumbers w:val="0"/>
                    <w:spacing w:before="0" w:beforeAutospacing="0" w:after="0" w:afterAutospacing="0" w:line="240" w:lineRule="auto"/>
                    <w:ind w:left="0" w:right="0" w:firstLine="0" w:firstLineChars="0"/>
                    <w:jc w:val="center"/>
                    <w:rPr>
                      <w:rFonts w:hint="eastAsia"/>
                      <w:b/>
                      <w:color w:val="auto"/>
                      <w:sz w:val="18"/>
                      <w:szCs w:val="18"/>
                    </w:rPr>
                  </w:pPr>
                  <w:r>
                    <w:rPr>
                      <w:rFonts w:hint="eastAsia"/>
                      <w:b/>
                      <w:bCs/>
                      <w:color w:val="auto"/>
                      <w:sz w:val="18"/>
                      <w:szCs w:val="18"/>
                    </w:rPr>
                    <w:t>风量Q（m</w:t>
                  </w:r>
                  <w:r>
                    <w:rPr>
                      <w:rFonts w:hint="eastAsia"/>
                      <w:b/>
                      <w:bCs/>
                      <w:color w:val="auto"/>
                      <w:sz w:val="18"/>
                      <w:szCs w:val="18"/>
                      <w:vertAlign w:val="superscript"/>
                    </w:rPr>
                    <w:t>3</w:t>
                  </w:r>
                  <w:r>
                    <w:rPr>
                      <w:rFonts w:hint="eastAsia"/>
                      <w:b/>
                      <w:bCs/>
                      <w:color w:val="auto"/>
                      <w:sz w:val="18"/>
                      <w:szCs w:val="18"/>
                    </w:rPr>
                    <w:t>/h）</w:t>
                  </w:r>
                </w:p>
              </w:tc>
              <w:tc>
                <w:tcPr>
                  <w:tcW w:w="571" w:type="pct"/>
                  <w:vAlign w:val="center"/>
                </w:tcPr>
                <w:p w14:paraId="652C8700">
                  <w:pPr>
                    <w:keepNext w:val="0"/>
                    <w:keepLines w:val="0"/>
                    <w:widowControl/>
                    <w:suppressLineNumbers w:val="0"/>
                    <w:spacing w:before="0" w:beforeAutospacing="0" w:after="0" w:afterAutospacing="0" w:line="240" w:lineRule="auto"/>
                    <w:ind w:left="0" w:right="0" w:firstLine="0" w:firstLineChars="0"/>
                    <w:jc w:val="center"/>
                    <w:rPr>
                      <w:rFonts w:hint="eastAsia"/>
                      <w:b/>
                      <w:color w:val="auto"/>
                      <w:sz w:val="18"/>
                      <w:szCs w:val="18"/>
                    </w:rPr>
                  </w:pPr>
                  <w:r>
                    <w:rPr>
                      <w:rFonts w:hint="eastAsia"/>
                      <w:b/>
                      <w:bCs/>
                      <w:color w:val="auto"/>
                      <w:sz w:val="18"/>
                      <w:szCs w:val="18"/>
                    </w:rPr>
                    <w:t>运行时间t（h/d</w:t>
                  </w:r>
                  <w:r>
                    <w:rPr>
                      <w:rFonts w:hint="eastAsia"/>
                      <w:b/>
                      <w:bCs/>
                      <w:color w:val="auto"/>
                      <w:sz w:val="18"/>
                      <w:szCs w:val="18"/>
                      <w:lang w:eastAsia="zh-CN"/>
                    </w:rPr>
                    <w:t>）</w:t>
                  </w:r>
                </w:p>
              </w:tc>
              <w:tc>
                <w:tcPr>
                  <w:tcW w:w="579" w:type="pct"/>
                  <w:vAlign w:val="center"/>
                </w:tcPr>
                <w:p w14:paraId="46A2E3F7">
                  <w:pPr>
                    <w:keepNext w:val="0"/>
                    <w:keepLines w:val="0"/>
                    <w:widowControl/>
                    <w:suppressLineNumbers w:val="0"/>
                    <w:spacing w:before="0" w:beforeAutospacing="0" w:after="0" w:afterAutospacing="0" w:line="240" w:lineRule="auto"/>
                    <w:ind w:left="0" w:right="0" w:firstLine="0" w:firstLineChars="0"/>
                    <w:jc w:val="center"/>
                    <w:rPr>
                      <w:rFonts w:hint="eastAsia"/>
                      <w:b/>
                      <w:color w:val="auto"/>
                      <w:sz w:val="18"/>
                      <w:szCs w:val="18"/>
                    </w:rPr>
                  </w:pPr>
                  <w:r>
                    <w:rPr>
                      <w:rFonts w:hint="eastAsia"/>
                      <w:b/>
                      <w:bCs/>
                      <w:color w:val="auto"/>
                      <w:sz w:val="18"/>
                      <w:szCs w:val="18"/>
                    </w:rPr>
                    <w:t>更换周期T（天）</w:t>
                  </w:r>
                </w:p>
              </w:tc>
            </w:tr>
            <w:tr w14:paraId="735CA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3" w:type="pct"/>
                  <w:vAlign w:val="center"/>
                </w:tcPr>
                <w:p w14:paraId="5DF0EAF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宋体"/>
                      <w:color w:val="auto"/>
                      <w:kern w:val="0"/>
                      <w:sz w:val="18"/>
                      <w:szCs w:val="18"/>
                      <w:lang w:val="en-US" w:eastAsia="zh-CN" w:bidi="ar"/>
                    </w:rPr>
                  </w:pPr>
                  <w:r>
                    <w:rPr>
                      <w:rFonts w:hint="eastAsia" w:cs="等线"/>
                      <w:color w:val="auto"/>
                      <w:kern w:val="2"/>
                      <w:sz w:val="18"/>
                      <w:szCs w:val="18"/>
                      <w:lang w:val="en-US" w:eastAsia="zh-CN"/>
                    </w:rPr>
                    <w:t>实验室有机废气处理</w:t>
                  </w:r>
                </w:p>
              </w:tc>
              <w:tc>
                <w:tcPr>
                  <w:tcW w:w="667" w:type="pct"/>
                  <w:vAlign w:val="center"/>
                </w:tcPr>
                <w:p w14:paraId="66EDF6A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z w:val="18"/>
                      <w:szCs w:val="18"/>
                      <w:lang w:val="en-US" w:eastAsia="zh-CN"/>
                    </w:rPr>
                  </w:pPr>
                  <w:r>
                    <w:rPr>
                      <w:rFonts w:hint="eastAsia"/>
                      <w:color w:val="auto"/>
                      <w:sz w:val="18"/>
                      <w:szCs w:val="18"/>
                      <w:lang w:val="en-US" w:eastAsia="zh-CN"/>
                    </w:rPr>
                    <w:t>二级活性炭吸附装置</w:t>
                  </w:r>
                </w:p>
              </w:tc>
              <w:tc>
                <w:tcPr>
                  <w:tcW w:w="557" w:type="pct"/>
                  <w:vAlign w:val="center"/>
                </w:tcPr>
                <w:p w14:paraId="59562D5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auto"/>
                      <w:sz w:val="18"/>
                      <w:szCs w:val="18"/>
                      <w:lang w:val="en-US" w:eastAsia="zh-CN"/>
                    </w:rPr>
                  </w:pPr>
                  <w:r>
                    <w:rPr>
                      <w:rFonts w:hint="eastAsia"/>
                      <w:bCs/>
                      <w:color w:val="auto"/>
                      <w:sz w:val="18"/>
                      <w:szCs w:val="18"/>
                      <w:lang w:val="en-US" w:eastAsia="zh-CN"/>
                    </w:rPr>
                    <w:t>350</w:t>
                  </w:r>
                </w:p>
              </w:tc>
              <w:tc>
                <w:tcPr>
                  <w:tcW w:w="558" w:type="pct"/>
                  <w:vAlign w:val="center"/>
                </w:tcPr>
                <w:p w14:paraId="1E3E457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bCs/>
                      <w:color w:val="auto"/>
                      <w:sz w:val="18"/>
                      <w:szCs w:val="18"/>
                      <w:lang w:val="en-US" w:eastAsia="zh-CN"/>
                    </w:rPr>
                  </w:pPr>
                  <w:r>
                    <w:rPr>
                      <w:rFonts w:hint="eastAsia"/>
                      <w:bCs/>
                      <w:color w:val="auto"/>
                      <w:sz w:val="18"/>
                      <w:szCs w:val="18"/>
                      <w:lang w:val="en-US" w:eastAsia="zh-CN"/>
                    </w:rPr>
                    <w:t>10</w:t>
                  </w:r>
                </w:p>
              </w:tc>
              <w:tc>
                <w:tcPr>
                  <w:tcW w:w="895" w:type="pct"/>
                  <w:vAlign w:val="center"/>
                </w:tcPr>
                <w:p w14:paraId="569EF62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auto"/>
                      <w:sz w:val="18"/>
                      <w:szCs w:val="18"/>
                      <w:lang w:val="en-US" w:eastAsia="zh-CN"/>
                    </w:rPr>
                  </w:pPr>
                  <w:r>
                    <w:rPr>
                      <w:rFonts w:hint="eastAsia"/>
                      <w:bCs/>
                      <w:color w:val="auto"/>
                      <w:sz w:val="18"/>
                      <w:szCs w:val="18"/>
                      <w:lang w:val="en-US" w:eastAsia="zh-CN"/>
                    </w:rPr>
                    <w:t>16.56</w:t>
                  </w:r>
                </w:p>
              </w:tc>
              <w:tc>
                <w:tcPr>
                  <w:tcW w:w="576" w:type="pct"/>
                  <w:vAlign w:val="center"/>
                </w:tcPr>
                <w:p w14:paraId="24F0CAC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auto"/>
                      <w:sz w:val="18"/>
                      <w:szCs w:val="18"/>
                      <w:lang w:val="en-US" w:eastAsia="zh-CN"/>
                    </w:rPr>
                  </w:pPr>
                  <w:r>
                    <w:rPr>
                      <w:rFonts w:hint="eastAsia"/>
                      <w:bCs/>
                      <w:color w:val="auto"/>
                      <w:sz w:val="18"/>
                      <w:szCs w:val="18"/>
                      <w:lang w:val="en-US" w:eastAsia="zh-CN"/>
                    </w:rPr>
                    <w:t>4000</w:t>
                  </w:r>
                </w:p>
              </w:tc>
              <w:tc>
                <w:tcPr>
                  <w:tcW w:w="571" w:type="pct"/>
                  <w:vAlign w:val="center"/>
                </w:tcPr>
                <w:p w14:paraId="01FE9B8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auto"/>
                      <w:sz w:val="18"/>
                      <w:szCs w:val="18"/>
                      <w:lang w:val="en-US" w:eastAsia="zh-CN"/>
                    </w:rPr>
                  </w:pPr>
                  <w:r>
                    <w:rPr>
                      <w:rFonts w:hint="eastAsia"/>
                      <w:bCs/>
                      <w:color w:val="auto"/>
                      <w:sz w:val="18"/>
                      <w:szCs w:val="18"/>
                      <w:lang w:val="en-US" w:eastAsia="zh-CN"/>
                    </w:rPr>
                    <w:t>8</w:t>
                  </w:r>
                </w:p>
              </w:tc>
              <w:tc>
                <w:tcPr>
                  <w:tcW w:w="579" w:type="pct"/>
                  <w:vAlign w:val="center"/>
                </w:tcPr>
                <w:p w14:paraId="01F269E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Cs/>
                      <w:color w:val="auto"/>
                      <w:sz w:val="18"/>
                      <w:szCs w:val="18"/>
                      <w:lang w:val="en-US" w:eastAsia="zh-CN"/>
                    </w:rPr>
                  </w:pPr>
                  <w:r>
                    <w:rPr>
                      <w:rFonts w:hint="eastAsia"/>
                      <w:bCs/>
                      <w:color w:val="auto"/>
                      <w:sz w:val="18"/>
                      <w:szCs w:val="18"/>
                      <w:lang w:val="en-US" w:eastAsia="zh-CN"/>
                    </w:rPr>
                    <w:t>66</w:t>
                  </w:r>
                </w:p>
              </w:tc>
            </w:tr>
          </w:tbl>
          <w:p w14:paraId="6499F683">
            <w:pPr>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line="440" w:lineRule="exact"/>
              <w:ind w:left="0" w:right="0" w:firstLine="480" w:firstLineChars="200"/>
              <w:jc w:val="left"/>
              <w:textAlignment w:val="auto"/>
              <w:rPr>
                <w:rFonts w:hint="eastAsia"/>
                <w:color w:val="auto"/>
                <w:kern w:val="0"/>
                <w:sz w:val="24"/>
                <w:highlight w:val="none"/>
              </w:rPr>
            </w:pPr>
            <w:r>
              <w:rPr>
                <w:rFonts w:hint="eastAsia"/>
                <w:color w:val="auto"/>
              </w:rPr>
              <w:t>参照《关于深入开展涉VOCs治理重点工作入户核查通知》中相关要求，由上表</w:t>
            </w:r>
            <w:r>
              <w:rPr>
                <w:rFonts w:hint="eastAsia"/>
                <w:color w:val="auto"/>
                <w:lang w:eastAsia="zh-CN"/>
              </w:rPr>
              <w:t>计算</w:t>
            </w:r>
            <w:r>
              <w:rPr>
                <w:rFonts w:hint="eastAsia"/>
                <w:color w:val="auto"/>
              </w:rPr>
              <w:t>可知，</w:t>
            </w:r>
            <w:r>
              <w:rPr>
                <w:rFonts w:hint="eastAsia"/>
                <w:color w:val="auto"/>
                <w:lang w:val="en-US" w:eastAsia="zh-CN"/>
              </w:rPr>
              <w:t>建设项目</w:t>
            </w:r>
            <w:r>
              <w:rPr>
                <w:rFonts w:hint="eastAsia"/>
                <w:color w:val="auto"/>
              </w:rPr>
              <w:t>需</w:t>
            </w:r>
            <w:r>
              <w:rPr>
                <w:rFonts w:hint="eastAsia"/>
                <w:color w:val="auto"/>
                <w:lang w:val="en-US" w:eastAsia="zh-CN"/>
              </w:rPr>
              <w:t>66日</w:t>
            </w:r>
            <w:r>
              <w:rPr>
                <w:rFonts w:hint="eastAsia"/>
                <w:color w:val="auto"/>
              </w:rPr>
              <w:t>更换一次活性炭</w:t>
            </w:r>
            <w:r>
              <w:rPr>
                <w:rFonts w:hint="eastAsia"/>
                <w:color w:val="auto"/>
                <w:lang w:eastAsia="zh-CN"/>
              </w:rPr>
              <w:t>，</w:t>
            </w:r>
            <w:r>
              <w:rPr>
                <w:rFonts w:hint="default" w:ascii="Times New Roman" w:hAnsi="Times New Roman" w:cs="Times New Roman"/>
                <w:color w:val="auto"/>
                <w:highlight w:val="none"/>
                <w:lang w:val="en-US" w:eastAsia="zh-CN"/>
              </w:rPr>
              <w:t>建议企业每</w:t>
            </w:r>
            <w:r>
              <w:rPr>
                <w:rFonts w:hint="eastAsia" w:cs="Times New Roman"/>
                <w:color w:val="auto"/>
                <w:highlight w:val="none"/>
                <w:lang w:val="en-US" w:eastAsia="zh-CN"/>
              </w:rPr>
              <w:t>60日</w:t>
            </w:r>
            <w:r>
              <w:rPr>
                <w:rFonts w:hint="default" w:ascii="Times New Roman" w:hAnsi="Times New Roman" w:cs="Times New Roman"/>
                <w:color w:val="auto"/>
                <w:highlight w:val="none"/>
                <w:lang w:val="en-US" w:eastAsia="zh-CN"/>
              </w:rPr>
              <w:t>更换一次活性炭。</w:t>
            </w:r>
            <w:r>
              <w:rPr>
                <w:rFonts w:hint="eastAsia"/>
                <w:color w:val="auto"/>
              </w:rPr>
              <w:t>根据新鲜活性炭用量及吸附废气的量</w:t>
            </w:r>
            <w:r>
              <w:rPr>
                <w:rFonts w:hint="eastAsia"/>
                <w:color w:val="auto"/>
                <w:lang w:val="en-US" w:eastAsia="zh-CN"/>
              </w:rPr>
              <w:t>计算</w:t>
            </w:r>
            <w:r>
              <w:rPr>
                <w:rFonts w:hint="eastAsia"/>
                <w:color w:val="auto"/>
              </w:rPr>
              <w:t>得废活性炭产生量</w:t>
            </w:r>
            <w:r>
              <w:rPr>
                <w:rFonts w:hint="eastAsia"/>
                <w:color w:val="auto"/>
                <w:lang w:val="en-US" w:eastAsia="zh-CN"/>
              </w:rPr>
              <w:t>=300/60</w:t>
            </w:r>
            <w:r>
              <w:rPr>
                <w:rFonts w:hint="default"/>
                <w:color w:val="auto"/>
                <w:lang w:val="en-US" w:eastAsia="zh-CN"/>
              </w:rPr>
              <w:t>×</w:t>
            </w:r>
            <w:r>
              <w:rPr>
                <w:rFonts w:hint="eastAsia"/>
                <w:color w:val="auto"/>
                <w:lang w:val="en-US" w:eastAsia="zh-CN"/>
              </w:rPr>
              <w:t>0.35+0.159=1.909</w:t>
            </w:r>
            <w:r>
              <w:rPr>
                <w:rFonts w:hint="eastAsia"/>
                <w:color w:val="auto"/>
              </w:rPr>
              <w:t>t/a。</w:t>
            </w:r>
            <w:r>
              <w:rPr>
                <w:rFonts w:hint="default"/>
                <w:color w:val="auto"/>
              </w:rPr>
              <w:t>经查询</w:t>
            </w:r>
            <w:r>
              <w:rPr>
                <w:rFonts w:hint="eastAsia"/>
                <w:color w:val="auto"/>
                <w:lang w:eastAsia="zh-CN"/>
              </w:rPr>
              <w:t>其</w:t>
            </w:r>
            <w:r>
              <w:rPr>
                <w:rFonts w:hint="default"/>
                <w:color w:val="auto"/>
              </w:rPr>
              <w:t>属于危险废物（HW49其他废物，900-</w:t>
            </w:r>
            <w:r>
              <w:rPr>
                <w:rFonts w:hint="eastAsia"/>
                <w:color w:val="auto"/>
                <w:lang w:val="en-US" w:eastAsia="zh-CN"/>
              </w:rPr>
              <w:t>039</w:t>
            </w:r>
            <w:r>
              <w:rPr>
                <w:rFonts w:hint="default"/>
                <w:color w:val="auto"/>
              </w:rPr>
              <w:t>-49）</w:t>
            </w:r>
            <w:r>
              <w:rPr>
                <w:rFonts w:hint="eastAsia"/>
                <w:color w:val="auto"/>
              </w:rPr>
              <w:t>，</w:t>
            </w:r>
            <w:r>
              <w:rPr>
                <w:rFonts w:hint="eastAsia"/>
                <w:color w:val="auto"/>
                <w:kern w:val="0"/>
                <w:sz w:val="24"/>
                <w:highlight w:val="none"/>
              </w:rPr>
              <w:t>暂存于</w:t>
            </w:r>
            <w:r>
              <w:rPr>
                <w:rFonts w:hint="eastAsia"/>
                <w:color w:val="auto"/>
                <w:kern w:val="0"/>
                <w:sz w:val="24"/>
                <w:highlight w:val="none"/>
                <w:lang w:eastAsia="zh-CN"/>
              </w:rPr>
              <w:t>现有</w:t>
            </w:r>
            <w:r>
              <w:rPr>
                <w:rFonts w:hint="eastAsia"/>
                <w:color w:val="auto"/>
                <w:kern w:val="0"/>
                <w:sz w:val="24"/>
                <w:szCs w:val="21"/>
                <w:highlight w:val="none"/>
                <w:lang w:val="en-US" w:eastAsia="zh-CN"/>
              </w:rPr>
              <w:t>1座35m</w:t>
            </w:r>
            <w:r>
              <w:rPr>
                <w:rFonts w:hint="eastAsia"/>
                <w:color w:val="auto"/>
                <w:kern w:val="0"/>
                <w:sz w:val="24"/>
                <w:szCs w:val="21"/>
                <w:highlight w:val="none"/>
                <w:vertAlign w:val="superscript"/>
                <w:lang w:val="en-US" w:eastAsia="zh-CN"/>
              </w:rPr>
              <w:t>2</w:t>
            </w:r>
            <w:r>
              <w:rPr>
                <w:rFonts w:hint="eastAsia"/>
                <w:color w:val="auto"/>
                <w:kern w:val="0"/>
                <w:sz w:val="24"/>
                <w:szCs w:val="21"/>
                <w:highlight w:val="none"/>
                <w:vertAlign w:val="baseline"/>
                <w:lang w:val="en-US" w:eastAsia="zh-CN"/>
              </w:rPr>
              <w:t>危险废物贮存间（</w:t>
            </w:r>
            <w:r>
              <w:rPr>
                <w:rFonts w:hint="eastAsia" w:eastAsiaTheme="minorEastAsia"/>
                <w:color w:val="auto"/>
                <w:szCs w:val="21"/>
                <w:lang w:val="en-US" w:eastAsia="zh-CN"/>
              </w:rPr>
              <w:t>医疗废物贮存间</w:t>
            </w:r>
            <w:r>
              <w:rPr>
                <w:rFonts w:hint="eastAsia"/>
                <w:color w:val="auto"/>
                <w:kern w:val="0"/>
                <w:sz w:val="24"/>
                <w:szCs w:val="21"/>
                <w:highlight w:val="none"/>
                <w:vertAlign w:val="baseline"/>
                <w:lang w:val="en-US" w:eastAsia="zh-CN"/>
              </w:rPr>
              <w:t>）</w:t>
            </w:r>
            <w:r>
              <w:rPr>
                <w:rFonts w:hint="eastAsia"/>
                <w:color w:val="auto"/>
                <w:kern w:val="0"/>
                <w:sz w:val="24"/>
                <w:highlight w:val="none"/>
              </w:rPr>
              <w:t>后，</w:t>
            </w:r>
            <w:r>
              <w:rPr>
                <w:rFonts w:hint="eastAsia"/>
                <w:color w:val="auto"/>
              </w:rPr>
              <w:t>委托有资质单位安全处置。</w:t>
            </w:r>
          </w:p>
          <w:p w14:paraId="04FF5F3B">
            <w:pPr>
              <w:keepNext w:val="0"/>
              <w:keepLines w:val="0"/>
              <w:pageBreakBefore w:val="0"/>
              <w:suppressLineNumbers w:val="0"/>
              <w:kinsoku/>
              <w:wordWrap w:val="0"/>
              <w:overflowPunct/>
              <w:topLinePunct/>
              <w:autoSpaceDE/>
              <w:autoSpaceDN/>
              <w:bidi w:val="0"/>
              <w:adjustRightInd w:val="0"/>
              <w:snapToGrid w:val="0"/>
              <w:spacing w:before="0" w:beforeAutospacing="0" w:after="0" w:afterAutospacing="0" w:line="440" w:lineRule="exact"/>
              <w:ind w:left="0" w:right="0" w:firstLine="480" w:firstLineChars="200"/>
              <w:jc w:val="left"/>
              <w:textAlignment w:val="auto"/>
              <w:rPr>
                <w:rFonts w:hint="eastAsia"/>
                <w:color w:val="auto"/>
                <w:sz w:val="24"/>
                <w:highlight w:val="none"/>
              </w:rPr>
            </w:pPr>
            <w:r>
              <w:rPr>
                <w:rFonts w:hint="eastAsia"/>
                <w:color w:val="auto"/>
                <w:kern w:val="0"/>
                <w:sz w:val="24"/>
                <w:highlight w:val="none"/>
              </w:rPr>
              <w:t>根据生态环境部2020年6月23日发表的《关于印发</w:t>
            </w:r>
            <w:r>
              <w:rPr>
                <w:rFonts w:hint="eastAsia"/>
                <w:color w:val="auto"/>
                <w:kern w:val="0"/>
                <w:sz w:val="24"/>
                <w:highlight w:val="none"/>
                <w:lang w:eastAsia="zh-CN"/>
              </w:rPr>
              <w:t>〈</w:t>
            </w:r>
            <w:r>
              <w:rPr>
                <w:rFonts w:hint="eastAsia"/>
                <w:color w:val="auto"/>
                <w:kern w:val="0"/>
                <w:sz w:val="24"/>
                <w:highlight w:val="none"/>
              </w:rPr>
              <w:t>2020年挥发性有机物治理攻坚方案</w:t>
            </w:r>
            <w:r>
              <w:rPr>
                <w:rFonts w:hint="eastAsia"/>
                <w:color w:val="auto"/>
                <w:kern w:val="0"/>
                <w:sz w:val="24"/>
                <w:highlight w:val="none"/>
                <w:lang w:eastAsia="zh-CN"/>
              </w:rPr>
              <w:t>〉</w:t>
            </w:r>
            <w:r>
              <w:rPr>
                <w:rFonts w:hint="eastAsia"/>
                <w:color w:val="auto"/>
                <w:kern w:val="0"/>
                <w:sz w:val="24"/>
                <w:highlight w:val="none"/>
              </w:rPr>
              <w:t>的通知》文件要求，采用活性炭吸附技术的，应选择碘值不低于800毫克/克的活性炭，并按设计要求足量添加、及时更换。</w:t>
            </w:r>
          </w:p>
          <w:p w14:paraId="297ED827">
            <w:pPr>
              <w:keepNext w:val="0"/>
              <w:keepLines w:val="0"/>
              <w:pageBreakBefore w:val="0"/>
              <w:suppressLineNumbers w:val="0"/>
              <w:kinsoku/>
              <w:overflowPunct/>
              <w:autoSpaceDE/>
              <w:autoSpaceDN/>
              <w:bidi w:val="0"/>
              <w:spacing w:before="0" w:beforeAutospacing="0" w:after="0" w:afterAutospacing="0" w:line="440" w:lineRule="exact"/>
              <w:ind w:left="0" w:right="0"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②污水处理污泥</w:t>
            </w:r>
          </w:p>
          <w:p w14:paraId="612F182D">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本项目</w:t>
            </w:r>
            <w:r>
              <w:rPr>
                <w:rFonts w:hint="eastAsia" w:eastAsiaTheme="minorEastAsia"/>
                <w:color w:val="auto"/>
                <w:szCs w:val="21"/>
                <w:lang w:val="en-US" w:eastAsia="zh-CN"/>
              </w:rPr>
              <w:t>医疗</w:t>
            </w:r>
            <w:r>
              <w:rPr>
                <w:rFonts w:hint="eastAsia" w:eastAsiaTheme="minorEastAsia"/>
                <w:color w:val="auto"/>
                <w:szCs w:val="21"/>
              </w:rPr>
              <w:t>废水量为</w:t>
            </w:r>
            <w:r>
              <w:rPr>
                <w:rFonts w:hint="eastAsia" w:eastAsiaTheme="minorEastAsia"/>
                <w:color w:val="auto"/>
                <w:szCs w:val="21"/>
                <w:lang w:val="en-US" w:eastAsia="zh-CN"/>
              </w:rPr>
              <w:t>708.3t</w:t>
            </w:r>
            <w:r>
              <w:rPr>
                <w:rFonts w:hint="eastAsia" w:eastAsiaTheme="minorEastAsia"/>
                <w:color w:val="auto"/>
                <w:szCs w:val="21"/>
              </w:rPr>
              <w:t>/a，根据《集中式污染治理设施产排污系数手册》（2010年修订），污泥量由如下公式计算而得：</w:t>
            </w:r>
          </w:p>
          <w:p w14:paraId="193A2AE7">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物理污泥量：S=K</w:t>
            </w:r>
            <w:r>
              <w:rPr>
                <w:rFonts w:hint="eastAsia" w:eastAsiaTheme="minorEastAsia"/>
                <w:color w:val="auto"/>
                <w:szCs w:val="21"/>
                <w:vertAlign w:val="subscript"/>
              </w:rPr>
              <w:t>4</w:t>
            </w:r>
            <w:r>
              <w:rPr>
                <w:rFonts w:hint="eastAsia" w:eastAsiaTheme="minorEastAsia"/>
                <w:color w:val="auto"/>
                <w:szCs w:val="21"/>
              </w:rPr>
              <w:t>Q+K</w:t>
            </w:r>
            <w:r>
              <w:rPr>
                <w:rFonts w:hint="eastAsia" w:eastAsiaTheme="minorEastAsia"/>
                <w:color w:val="auto"/>
                <w:szCs w:val="21"/>
                <w:vertAlign w:val="subscript"/>
              </w:rPr>
              <w:t>3</w:t>
            </w:r>
            <w:r>
              <w:rPr>
                <w:rFonts w:hint="eastAsia" w:eastAsiaTheme="minorEastAsia"/>
                <w:color w:val="auto"/>
                <w:szCs w:val="21"/>
              </w:rPr>
              <w:t>C</w:t>
            </w:r>
          </w:p>
          <w:p w14:paraId="6600F19C">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式中：S—含水率 80%的污泥产生量，t/a；</w:t>
            </w:r>
          </w:p>
          <w:p w14:paraId="04A5DBBB">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k</w:t>
            </w:r>
            <w:r>
              <w:rPr>
                <w:rFonts w:hint="eastAsia" w:eastAsiaTheme="minorEastAsia"/>
                <w:color w:val="auto"/>
                <w:szCs w:val="21"/>
                <w:vertAlign w:val="subscript"/>
              </w:rPr>
              <w:t>3</w:t>
            </w:r>
            <w:r>
              <w:rPr>
                <w:rFonts w:hint="eastAsia" w:eastAsiaTheme="minorEastAsia"/>
                <w:color w:val="auto"/>
                <w:szCs w:val="21"/>
              </w:rPr>
              <w:t>—化学污泥产生系数，t/t -絮凝剂，取4.53；</w:t>
            </w:r>
          </w:p>
          <w:p w14:paraId="4E886969">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K</w:t>
            </w:r>
            <w:r>
              <w:rPr>
                <w:rFonts w:hint="eastAsia" w:eastAsiaTheme="minorEastAsia"/>
                <w:color w:val="auto"/>
                <w:szCs w:val="21"/>
                <w:vertAlign w:val="subscript"/>
              </w:rPr>
              <w:t>4</w:t>
            </w:r>
            <w:r>
              <w:rPr>
                <w:rFonts w:hint="eastAsia" w:eastAsiaTheme="minorEastAsia"/>
                <w:color w:val="auto"/>
                <w:szCs w:val="21"/>
              </w:rPr>
              <w:t>—工业废水集中处理设施的物理与生化污泥综合产生系数，t/万t</w:t>
            </w:r>
            <w:r>
              <w:rPr>
                <w:rFonts w:hint="eastAsia" w:eastAsiaTheme="minorEastAsia"/>
                <w:color w:val="auto"/>
                <w:szCs w:val="21"/>
                <w:lang w:eastAsia="zh-CN"/>
              </w:rPr>
              <w:t>－</w:t>
            </w:r>
            <w:r>
              <w:rPr>
                <w:rFonts w:hint="eastAsia" w:eastAsiaTheme="minorEastAsia"/>
                <w:color w:val="auto"/>
                <w:szCs w:val="21"/>
              </w:rPr>
              <w:t>废水，取6；</w:t>
            </w:r>
          </w:p>
          <w:p w14:paraId="5397D8CA">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Q—废水处理量，取</w:t>
            </w:r>
            <w:r>
              <w:rPr>
                <w:rFonts w:hint="eastAsia" w:eastAsiaTheme="minorEastAsia"/>
                <w:color w:val="auto"/>
                <w:szCs w:val="21"/>
                <w:lang w:val="en-US" w:eastAsia="zh-CN"/>
              </w:rPr>
              <w:t>0.0708</w:t>
            </w:r>
            <w:r>
              <w:rPr>
                <w:rFonts w:hint="eastAsia" w:eastAsiaTheme="minorEastAsia"/>
                <w:color w:val="auto"/>
                <w:szCs w:val="21"/>
              </w:rPr>
              <w:t>万t/年；</w:t>
            </w:r>
          </w:p>
          <w:p w14:paraId="199FE441">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C—无机絮凝剂使用总量，t/a，本项目</w:t>
            </w:r>
            <w:r>
              <w:rPr>
                <w:rFonts w:hint="eastAsia" w:eastAsiaTheme="minorEastAsia"/>
                <w:color w:val="auto"/>
                <w:szCs w:val="21"/>
                <w:lang w:eastAsia="zh-CN"/>
              </w:rPr>
              <w:t>有机</w:t>
            </w:r>
            <w:r>
              <w:rPr>
                <w:rFonts w:hint="eastAsia" w:eastAsiaTheme="minorEastAsia"/>
                <w:color w:val="auto"/>
                <w:szCs w:val="21"/>
              </w:rPr>
              <w:t>絮凝剂使用量较少，对污泥产生量影响不大，可忽略不计；</w:t>
            </w:r>
          </w:p>
          <w:p w14:paraId="2B43E450">
            <w:pPr>
              <w:keepNext w:val="0"/>
              <w:keepLines w:val="0"/>
              <w:suppressLineNumbers w:val="0"/>
              <w:spacing w:before="0" w:beforeAutospacing="0" w:after="0" w:afterAutospacing="0" w:line="360" w:lineRule="auto"/>
              <w:ind w:left="0" w:right="0" w:firstLine="480" w:firstLineChars="200"/>
              <w:rPr>
                <w:rFonts w:hint="eastAsia" w:eastAsiaTheme="minorEastAsia"/>
                <w:color w:val="auto"/>
                <w:szCs w:val="21"/>
              </w:rPr>
            </w:pPr>
            <w:r>
              <w:rPr>
                <w:rFonts w:hint="eastAsia" w:eastAsiaTheme="minorEastAsia"/>
                <w:color w:val="auto"/>
                <w:szCs w:val="21"/>
              </w:rPr>
              <w:t>根据上式，项目污泥产生约</w:t>
            </w:r>
            <w:r>
              <w:rPr>
                <w:rFonts w:hint="eastAsia" w:eastAsiaTheme="minorEastAsia"/>
                <w:color w:val="auto"/>
                <w:szCs w:val="21"/>
                <w:lang w:val="en-US" w:eastAsia="zh-CN"/>
              </w:rPr>
              <w:t>0.425</w:t>
            </w:r>
            <w:r>
              <w:rPr>
                <w:rFonts w:hint="eastAsia" w:eastAsiaTheme="minorEastAsia"/>
                <w:color w:val="auto"/>
                <w:szCs w:val="21"/>
              </w:rPr>
              <w:t>t/a（含水率</w:t>
            </w:r>
            <w:r>
              <w:rPr>
                <w:rFonts w:hint="eastAsia" w:eastAsiaTheme="minorEastAsia"/>
                <w:color w:val="auto"/>
                <w:szCs w:val="21"/>
                <w:lang w:val="en-US" w:eastAsia="zh-CN"/>
              </w:rPr>
              <w:t>80</w:t>
            </w:r>
            <w:r>
              <w:rPr>
                <w:rFonts w:hint="eastAsia" w:eastAsiaTheme="minorEastAsia"/>
                <w:color w:val="auto"/>
                <w:szCs w:val="21"/>
              </w:rPr>
              <w:t>%）。压滤后含水率按</w:t>
            </w:r>
            <w:r>
              <w:rPr>
                <w:rFonts w:hint="eastAsia" w:eastAsiaTheme="minorEastAsia"/>
                <w:color w:val="auto"/>
                <w:szCs w:val="21"/>
                <w:lang w:val="en-US" w:eastAsia="zh-CN"/>
              </w:rPr>
              <w:t>70</w:t>
            </w:r>
            <w:r>
              <w:rPr>
                <w:rFonts w:hint="eastAsia" w:eastAsiaTheme="minorEastAsia"/>
                <w:color w:val="auto"/>
                <w:szCs w:val="21"/>
              </w:rPr>
              <w:t>%计，则本项目污水</w:t>
            </w:r>
            <w:r>
              <w:rPr>
                <w:rFonts w:hint="eastAsia" w:eastAsiaTheme="minorEastAsia"/>
                <w:color w:val="auto"/>
                <w:szCs w:val="21"/>
                <w:lang w:eastAsia="zh-CN"/>
              </w:rPr>
              <w:t>处理</w:t>
            </w:r>
            <w:r>
              <w:rPr>
                <w:rFonts w:hint="eastAsia" w:eastAsiaTheme="minorEastAsia"/>
                <w:color w:val="auto"/>
                <w:szCs w:val="21"/>
              </w:rPr>
              <w:t>站</w:t>
            </w:r>
            <w:r>
              <w:rPr>
                <w:rFonts w:hint="eastAsia" w:eastAsiaTheme="minorEastAsia"/>
                <w:color w:val="auto"/>
                <w:szCs w:val="21"/>
                <w:lang w:eastAsia="zh-CN"/>
              </w:rPr>
              <w:t>医疗废水处理</w:t>
            </w:r>
            <w:r>
              <w:rPr>
                <w:rFonts w:hint="eastAsia" w:eastAsiaTheme="minorEastAsia"/>
                <w:color w:val="auto"/>
                <w:szCs w:val="21"/>
              </w:rPr>
              <w:t>产生的污泥量约为</w:t>
            </w:r>
            <w:r>
              <w:rPr>
                <w:rFonts w:hint="eastAsia" w:eastAsiaTheme="minorEastAsia"/>
                <w:color w:val="auto"/>
                <w:szCs w:val="21"/>
                <w:lang w:val="en-US" w:eastAsia="zh-CN"/>
              </w:rPr>
              <w:t>0.283t</w:t>
            </w:r>
            <w:r>
              <w:rPr>
                <w:rFonts w:hint="eastAsia" w:eastAsiaTheme="minorEastAsia"/>
                <w:color w:val="auto"/>
                <w:szCs w:val="21"/>
              </w:rPr>
              <w:t>/</w:t>
            </w:r>
            <w:r>
              <w:rPr>
                <w:rFonts w:hint="eastAsia" w:eastAsiaTheme="minorEastAsia"/>
                <w:color w:val="auto"/>
                <w:szCs w:val="21"/>
                <w:lang w:val="en-US" w:eastAsia="zh-CN"/>
              </w:rPr>
              <w:t>a</w:t>
            </w:r>
            <w:r>
              <w:rPr>
                <w:rFonts w:hint="eastAsia" w:eastAsiaTheme="minorEastAsia"/>
                <w:color w:val="auto"/>
                <w:szCs w:val="21"/>
              </w:rPr>
              <w:t>；</w:t>
            </w:r>
          </w:p>
          <w:p w14:paraId="7212BFA5">
            <w:pPr>
              <w:keepNext w:val="0"/>
              <w:keepLines w:val="0"/>
              <w:suppressLineNumbers w:val="0"/>
              <w:spacing w:before="0" w:beforeAutospacing="0" w:after="0" w:afterAutospacing="0"/>
              <w:ind w:left="0" w:right="0"/>
              <w:rPr>
                <w:rFonts w:hint="default"/>
                <w:color w:val="auto"/>
                <w:sz w:val="24"/>
                <w:highlight w:val="none"/>
                <w:lang w:val="en-US" w:eastAsia="zh-CN"/>
              </w:rPr>
            </w:pPr>
            <w:r>
              <w:rPr>
                <w:rFonts w:hint="eastAsia" w:eastAsiaTheme="minorEastAsia"/>
                <w:color w:val="auto"/>
                <w:szCs w:val="21"/>
              </w:rPr>
              <w:t>根据《医疗机构水污染物排放标准》（GB18466-2005）中4.3</w:t>
            </w:r>
            <w:r>
              <w:rPr>
                <w:rFonts w:hint="eastAsia" w:eastAsiaTheme="minorEastAsia"/>
                <w:color w:val="auto"/>
                <w:szCs w:val="21"/>
                <w:lang w:val="en-US" w:eastAsia="zh-CN"/>
              </w:rPr>
              <w:t>.1</w:t>
            </w:r>
            <w:r>
              <w:rPr>
                <w:rFonts w:hint="eastAsia" w:eastAsiaTheme="minorEastAsia"/>
                <w:color w:val="auto"/>
                <w:szCs w:val="21"/>
                <w:lang w:eastAsia="zh-CN"/>
              </w:rPr>
              <w:t>款规定，</w:t>
            </w:r>
            <w:r>
              <w:rPr>
                <w:rFonts w:hint="eastAsia" w:eastAsiaTheme="minorEastAsia"/>
                <w:color w:val="auto"/>
                <w:szCs w:val="21"/>
              </w:rPr>
              <w:t>污水处理站</w:t>
            </w:r>
            <w:r>
              <w:rPr>
                <w:rFonts w:hint="eastAsia" w:eastAsiaTheme="minorEastAsia"/>
                <w:color w:val="auto"/>
                <w:szCs w:val="21"/>
                <w:lang w:eastAsia="zh-CN"/>
              </w:rPr>
              <w:t>医疗废水处理</w:t>
            </w:r>
            <w:r>
              <w:rPr>
                <w:rFonts w:hint="eastAsia" w:eastAsiaTheme="minorEastAsia"/>
                <w:color w:val="auto"/>
                <w:szCs w:val="21"/>
              </w:rPr>
              <w:t>污泥属危险废物（危废代码</w:t>
            </w:r>
            <w:r>
              <w:rPr>
                <w:rFonts w:hint="eastAsia" w:eastAsiaTheme="minorEastAsia"/>
                <w:color w:val="auto"/>
                <w:szCs w:val="21"/>
                <w:lang w:eastAsia="zh-CN"/>
              </w:rPr>
              <w:t>按</w:t>
            </w:r>
            <w:r>
              <w:rPr>
                <w:rFonts w:hint="eastAsia" w:eastAsiaTheme="minorEastAsia"/>
                <w:color w:val="auto"/>
                <w:szCs w:val="21"/>
              </w:rPr>
              <w:t>841-001-01</w:t>
            </w:r>
            <w:r>
              <w:rPr>
                <w:rFonts w:hint="eastAsia" w:eastAsiaTheme="minorEastAsia"/>
                <w:color w:val="auto"/>
                <w:szCs w:val="21"/>
                <w:lang w:eastAsia="zh-CN"/>
              </w:rPr>
              <w:t>管理</w:t>
            </w:r>
            <w:r>
              <w:rPr>
                <w:rFonts w:hint="eastAsia" w:eastAsiaTheme="minorEastAsia"/>
                <w:color w:val="auto"/>
                <w:szCs w:val="21"/>
              </w:rPr>
              <w:t>），应按危险废物进行处理和处置。根据《排污许可证申请与核发技术规范</w:t>
            </w:r>
            <w:r>
              <w:rPr>
                <w:rFonts w:hint="eastAsia" w:eastAsiaTheme="minorEastAsia"/>
                <w:color w:val="auto"/>
                <w:szCs w:val="21"/>
                <w:lang w:val="en-US" w:eastAsia="zh-CN"/>
              </w:rPr>
              <w:t xml:space="preserve"> </w:t>
            </w:r>
            <w:r>
              <w:rPr>
                <w:rFonts w:hint="eastAsia" w:eastAsiaTheme="minorEastAsia"/>
                <w:color w:val="auto"/>
                <w:szCs w:val="21"/>
              </w:rPr>
              <w:t>医疗机构》（HJ1105-2020）</w:t>
            </w:r>
            <w:r>
              <w:rPr>
                <w:rFonts w:hint="eastAsia" w:eastAsiaTheme="minorEastAsia"/>
                <w:color w:val="auto"/>
                <w:szCs w:val="21"/>
                <w:lang w:val="en-US" w:eastAsia="zh-CN"/>
              </w:rPr>
              <w:t>4.5.1款要求</w:t>
            </w:r>
            <w:r>
              <w:rPr>
                <w:rFonts w:hint="eastAsia" w:eastAsiaTheme="minorEastAsia"/>
                <w:color w:val="auto"/>
                <w:szCs w:val="21"/>
              </w:rPr>
              <w:t>，污水处理站</w:t>
            </w:r>
            <w:r>
              <w:rPr>
                <w:rFonts w:hint="eastAsia" w:eastAsiaTheme="minorEastAsia"/>
                <w:color w:val="auto"/>
                <w:szCs w:val="21"/>
                <w:lang w:eastAsia="zh-CN"/>
              </w:rPr>
              <w:t>医疗废水处理</w:t>
            </w:r>
            <w:r>
              <w:rPr>
                <w:rFonts w:hint="eastAsia" w:eastAsiaTheme="minorEastAsia"/>
                <w:color w:val="auto"/>
                <w:szCs w:val="21"/>
              </w:rPr>
              <w:t>污泥属于危险废物</w:t>
            </w:r>
            <w:r>
              <w:rPr>
                <w:rFonts w:hint="eastAsia" w:eastAsiaTheme="minorEastAsia"/>
                <w:color w:val="auto"/>
                <w:szCs w:val="21"/>
                <w:lang w:eastAsia="zh-CN"/>
              </w:rPr>
              <w:t>。</w:t>
            </w:r>
          </w:p>
          <w:p w14:paraId="38DDAE3F">
            <w:pPr>
              <w:keepNext w:val="0"/>
              <w:keepLines w:val="0"/>
              <w:suppressLineNumbers w:val="0"/>
              <w:spacing w:before="0" w:beforeAutospacing="0" w:after="0" w:afterAutospacing="0"/>
              <w:ind w:left="0" w:right="0"/>
              <w:rPr>
                <w:rFonts w:hint="default"/>
                <w:color w:val="auto"/>
              </w:rPr>
            </w:pPr>
            <w:r>
              <w:rPr>
                <w:rFonts w:hint="default"/>
                <w:color w:val="auto"/>
              </w:rPr>
              <w:t>经查询</w:t>
            </w:r>
            <w:r>
              <w:rPr>
                <w:rFonts w:hint="eastAsia"/>
                <w:color w:val="auto"/>
                <w:lang w:eastAsia="zh-CN"/>
              </w:rPr>
              <w:t>医疗废水污水处理站污泥</w:t>
            </w:r>
            <w:r>
              <w:rPr>
                <w:rFonts w:hint="default"/>
                <w:color w:val="auto"/>
              </w:rPr>
              <w:t>属于危险废物（HW</w:t>
            </w:r>
            <w:r>
              <w:rPr>
                <w:rFonts w:hint="eastAsia"/>
                <w:color w:val="auto"/>
                <w:lang w:val="en-US" w:eastAsia="zh-CN"/>
              </w:rPr>
              <w:t>01</w:t>
            </w:r>
            <w:r>
              <w:rPr>
                <w:rFonts w:hint="eastAsia"/>
                <w:color w:val="auto"/>
                <w:lang w:eastAsia="zh-CN"/>
              </w:rPr>
              <w:t>类</w:t>
            </w:r>
            <w:r>
              <w:rPr>
                <w:rFonts w:hint="default"/>
                <w:color w:val="auto"/>
              </w:rPr>
              <w:t>，</w:t>
            </w:r>
            <w:r>
              <w:rPr>
                <w:rFonts w:hint="eastAsia"/>
                <w:color w:val="auto"/>
                <w:lang w:val="en-US" w:eastAsia="zh-CN"/>
              </w:rPr>
              <w:t>841-001-001</w:t>
            </w:r>
            <w:r>
              <w:rPr>
                <w:rFonts w:hint="default"/>
                <w:color w:val="auto"/>
              </w:rPr>
              <w:t>）</w:t>
            </w:r>
            <w:r>
              <w:rPr>
                <w:rFonts w:hint="eastAsia"/>
                <w:color w:val="auto"/>
              </w:rPr>
              <w:t>，</w:t>
            </w:r>
            <w:r>
              <w:rPr>
                <w:rFonts w:hint="eastAsia"/>
                <w:color w:val="auto"/>
                <w:lang w:eastAsia="zh-CN"/>
              </w:rPr>
              <w:t>消毒后</w:t>
            </w:r>
            <w:r>
              <w:rPr>
                <w:rFonts w:hint="eastAsia"/>
                <w:color w:val="auto"/>
                <w:kern w:val="0"/>
                <w:sz w:val="24"/>
                <w:highlight w:val="none"/>
              </w:rPr>
              <w:t>暂存于</w:t>
            </w:r>
            <w:r>
              <w:rPr>
                <w:rFonts w:hint="eastAsia"/>
                <w:color w:val="auto"/>
                <w:kern w:val="0"/>
                <w:sz w:val="24"/>
                <w:highlight w:val="none"/>
                <w:lang w:eastAsia="zh-CN"/>
              </w:rPr>
              <w:t>现有</w:t>
            </w:r>
            <w:r>
              <w:rPr>
                <w:rFonts w:hint="eastAsia"/>
                <w:color w:val="auto"/>
                <w:kern w:val="0"/>
                <w:sz w:val="24"/>
                <w:szCs w:val="21"/>
                <w:highlight w:val="none"/>
                <w:lang w:val="en-US" w:eastAsia="zh-CN"/>
              </w:rPr>
              <w:t>1座35m</w:t>
            </w:r>
            <w:r>
              <w:rPr>
                <w:rFonts w:hint="eastAsia"/>
                <w:color w:val="auto"/>
                <w:kern w:val="0"/>
                <w:sz w:val="24"/>
                <w:szCs w:val="21"/>
                <w:highlight w:val="none"/>
                <w:vertAlign w:val="superscript"/>
                <w:lang w:val="en-US" w:eastAsia="zh-CN"/>
              </w:rPr>
              <w:t>2</w:t>
            </w:r>
            <w:r>
              <w:rPr>
                <w:rFonts w:hint="eastAsia"/>
                <w:color w:val="auto"/>
                <w:kern w:val="0"/>
                <w:sz w:val="24"/>
                <w:szCs w:val="21"/>
                <w:highlight w:val="none"/>
                <w:vertAlign w:val="baseline"/>
                <w:lang w:val="en-US" w:eastAsia="zh-CN"/>
              </w:rPr>
              <w:t>危险废物贮存间（</w:t>
            </w:r>
            <w:r>
              <w:rPr>
                <w:rFonts w:hint="eastAsia" w:eastAsiaTheme="minorEastAsia"/>
                <w:color w:val="auto"/>
                <w:szCs w:val="21"/>
                <w:lang w:val="en-US" w:eastAsia="zh-CN"/>
              </w:rPr>
              <w:t>医疗废物贮存间</w:t>
            </w:r>
            <w:r>
              <w:rPr>
                <w:rFonts w:hint="eastAsia"/>
                <w:color w:val="auto"/>
                <w:kern w:val="0"/>
                <w:sz w:val="24"/>
                <w:szCs w:val="21"/>
                <w:highlight w:val="none"/>
                <w:vertAlign w:val="baseline"/>
                <w:lang w:val="en-US" w:eastAsia="zh-CN"/>
              </w:rPr>
              <w:t>）</w:t>
            </w:r>
            <w:r>
              <w:rPr>
                <w:rFonts w:hint="eastAsia"/>
                <w:color w:val="auto"/>
                <w:kern w:val="0"/>
                <w:sz w:val="24"/>
                <w:highlight w:val="none"/>
              </w:rPr>
              <w:t>后，</w:t>
            </w:r>
            <w:r>
              <w:rPr>
                <w:rFonts w:hint="eastAsia"/>
                <w:color w:val="auto"/>
              </w:rPr>
              <w:t>委托有资质单位安全处置</w:t>
            </w:r>
            <w:r>
              <w:rPr>
                <w:rFonts w:hint="default"/>
                <w:color w:val="auto"/>
                <w:sz w:val="24"/>
                <w:highlight w:val="none"/>
                <w:lang w:val="en-US" w:eastAsia="zh-CN"/>
              </w:rPr>
              <w:t>。</w:t>
            </w:r>
          </w:p>
          <w:p w14:paraId="08E0A133">
            <w:pPr>
              <w:keepNext w:val="0"/>
              <w:keepLines w:val="0"/>
              <w:numPr>
                <w:ilvl w:val="0"/>
                <w:numId w:val="0"/>
              </w:numPr>
              <w:suppressLineNumbers w:val="0"/>
              <w:bidi w:val="0"/>
              <w:spacing w:before="0" w:beforeAutospacing="0" w:after="0" w:afterAutospacing="0"/>
              <w:ind w:left="480" w:leftChars="200" w:right="0" w:rightChars="0"/>
              <w:rPr>
                <w:rFonts w:hint="eastAsia"/>
                <w:b/>
                <w:bCs/>
                <w:color w:val="auto"/>
                <w:lang w:val="en-US" w:eastAsia="zh-CN"/>
              </w:rPr>
            </w:pPr>
            <w:r>
              <w:rPr>
                <w:rFonts w:hint="eastAsia"/>
                <w:b/>
                <w:bCs/>
                <w:color w:val="auto"/>
                <w:lang w:val="en-US" w:eastAsia="zh-CN"/>
              </w:rPr>
              <w:t>4.3 环境管理要求</w:t>
            </w:r>
          </w:p>
          <w:p w14:paraId="5DC5491F">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（1）生活垃圾和一般固废管理要求</w:t>
            </w:r>
          </w:p>
          <w:p w14:paraId="101BEF4E">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本项目设置若干垃圾桶用于存放生活垃圾，委托环卫部门清运。</w:t>
            </w:r>
          </w:p>
          <w:p w14:paraId="3F063617">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本项目</w:t>
            </w:r>
            <w:r>
              <w:rPr>
                <w:rFonts w:hint="eastAsia" w:eastAsiaTheme="minorEastAsia"/>
                <w:color w:val="auto"/>
                <w:szCs w:val="21"/>
                <w:lang w:val="en-US" w:eastAsia="zh-CN"/>
              </w:rPr>
              <w:t>依托医院现有</w:t>
            </w:r>
            <w:r>
              <w:rPr>
                <w:rFonts w:hint="eastAsia" w:eastAsiaTheme="minorEastAsia"/>
                <w:color w:val="auto"/>
                <w:szCs w:val="21"/>
              </w:rPr>
              <w:t>一般固废库，用于存放项目生产过程中产生的</w:t>
            </w:r>
            <w:r>
              <w:rPr>
                <w:rFonts w:hint="eastAsia" w:eastAsiaTheme="minorEastAsia"/>
                <w:color w:val="auto"/>
                <w:szCs w:val="21"/>
                <w:lang w:eastAsia="zh-CN"/>
              </w:rPr>
              <w:t>一般固废，如废防渗透膜等（实验室一般固废暂存于实验室内部固定区域，暂存区面积约为2m</w:t>
            </w:r>
            <w:r>
              <w:rPr>
                <w:rFonts w:hint="eastAsia" w:eastAsiaTheme="minorEastAsia"/>
                <w:color w:val="auto"/>
                <w:szCs w:val="21"/>
                <w:vertAlign w:val="superscript"/>
                <w:lang w:eastAsia="zh-CN"/>
              </w:rPr>
              <w:t>2</w:t>
            </w:r>
            <w:r>
              <w:rPr>
                <w:rFonts w:hint="eastAsia" w:eastAsiaTheme="minorEastAsia"/>
                <w:color w:val="auto"/>
                <w:szCs w:val="21"/>
                <w:lang w:eastAsia="zh-CN"/>
              </w:rPr>
              <w:t>）</w:t>
            </w:r>
            <w:r>
              <w:rPr>
                <w:rFonts w:hint="eastAsia" w:eastAsiaTheme="minorEastAsia"/>
                <w:color w:val="auto"/>
                <w:szCs w:val="21"/>
              </w:rPr>
              <w:t>。一般固体废物贮存处置要求如下：</w:t>
            </w:r>
          </w:p>
          <w:p w14:paraId="7E9AEB2A">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一般工业固废的暂存场所应按照《一般工业固体废物贮存和填埋污染控制标准》（GB18599-2020）要求建设。</w:t>
            </w:r>
          </w:p>
          <w:p w14:paraId="0A375CA9">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①贮存、处置场的建设类型，必须与将要堆放的一般工业固体废物的类别相一致；</w:t>
            </w:r>
          </w:p>
          <w:p w14:paraId="3547965F">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②贮存、处置场应采取防止粉尘污染的措施；</w:t>
            </w:r>
          </w:p>
          <w:p w14:paraId="22C2A819">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③为加强监督管理，贮存、处置场应按GB15562.2设置环境保护图形标志；</w:t>
            </w:r>
          </w:p>
          <w:p w14:paraId="034F4D47">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④一般工业固体废物贮存、处置场禁止危险废物和生活垃圾混入；</w:t>
            </w:r>
          </w:p>
          <w:p w14:paraId="3C24100B">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⑤贮存、处置场的使用单位，应建立档案制度。应将入场的一般工业固体废物的种类和数量等资料详细记录在案，长期保存，供随时查阅。</w:t>
            </w:r>
          </w:p>
          <w:p w14:paraId="3E4CFFE3">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（2）危险废物</w:t>
            </w:r>
          </w:p>
          <w:p w14:paraId="05F1E722">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对于医疗废物应严格实施分类收集、定时委外处理的原则进行处置，参考《医疗废物管理条例》（国务院2003</w:t>
            </w:r>
            <w:r>
              <w:rPr>
                <w:rFonts w:hint="eastAsia" w:eastAsiaTheme="minorEastAsia"/>
                <w:color w:val="auto"/>
                <w:szCs w:val="21"/>
                <w:lang w:eastAsia="zh-CN"/>
              </w:rPr>
              <w:t>〕</w:t>
            </w:r>
            <w:r>
              <w:rPr>
                <w:rFonts w:hint="eastAsia" w:eastAsiaTheme="minorEastAsia"/>
                <w:color w:val="auto"/>
                <w:szCs w:val="21"/>
              </w:rPr>
              <w:t>第380</w:t>
            </w:r>
            <w:r>
              <w:rPr>
                <w:rFonts w:hint="eastAsia" w:eastAsiaTheme="minorEastAsia"/>
                <w:color w:val="auto"/>
                <w:szCs w:val="21"/>
                <w:lang w:eastAsia="zh-CN"/>
              </w:rPr>
              <w:t>号</w:t>
            </w:r>
            <w:r>
              <w:rPr>
                <w:rFonts w:hint="eastAsia" w:eastAsiaTheme="minorEastAsia"/>
                <w:color w:val="auto"/>
                <w:szCs w:val="21"/>
              </w:rPr>
              <w:t>令）以及《医疗卫生机构医疗废物管理办法》（</w:t>
            </w:r>
            <w:r>
              <w:rPr>
                <w:rFonts w:hint="eastAsia" w:eastAsiaTheme="minorEastAsia"/>
                <w:color w:val="auto"/>
                <w:szCs w:val="21"/>
                <w:lang w:eastAsia="zh-CN"/>
              </w:rPr>
              <w:t>卫健委〔2003〕36号</w:t>
            </w:r>
            <w:r>
              <w:rPr>
                <w:rFonts w:hint="eastAsia" w:eastAsiaTheme="minorEastAsia"/>
                <w:color w:val="auto"/>
                <w:szCs w:val="21"/>
              </w:rPr>
              <w:t>令），本项目医疗废物的污染防治措施如下：</w:t>
            </w:r>
          </w:p>
          <w:p w14:paraId="72ABE11F">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1）管理要求</w:t>
            </w:r>
          </w:p>
          <w:p w14:paraId="2CAC2A90">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a.医院应当对本单位从事医疗废物收集、运送、贮存、处置等工作的人员和管理人员，进行相关法律和专业技术、安全防护以及紧急处理等知识的培训。</w:t>
            </w:r>
          </w:p>
          <w:p w14:paraId="6A6FAC08">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b.医院应当采取有效的职业</w:t>
            </w:r>
            <w:r>
              <w:rPr>
                <w:rFonts w:hint="eastAsia" w:eastAsiaTheme="minorEastAsia"/>
                <w:color w:val="auto"/>
                <w:szCs w:val="21"/>
                <w:lang w:eastAsia="zh-CN"/>
              </w:rPr>
              <w:t>－</w:t>
            </w:r>
            <w:r>
              <w:rPr>
                <w:rFonts w:hint="eastAsia" w:eastAsiaTheme="minorEastAsia"/>
                <w:color w:val="auto"/>
                <w:szCs w:val="21"/>
              </w:rPr>
              <w:t>卫生防护措施，为从事医疗废物收集、运送、贮存、处置等工作的人员和管理人员，配备必要的防护用品，定期进行健康检查：必要时，对有关人员进行免疫接种，防止其受到健康</w:t>
            </w:r>
            <w:r>
              <w:rPr>
                <w:rFonts w:hint="eastAsia" w:eastAsiaTheme="minorEastAsia"/>
                <w:color w:val="auto"/>
                <w:szCs w:val="21"/>
                <w:lang w:eastAsia="zh-CN"/>
              </w:rPr>
              <w:t>损失</w:t>
            </w:r>
            <w:r>
              <w:rPr>
                <w:rFonts w:hint="eastAsia" w:eastAsiaTheme="minorEastAsia"/>
                <w:color w:val="auto"/>
                <w:szCs w:val="21"/>
              </w:rPr>
              <w:t>。</w:t>
            </w:r>
          </w:p>
          <w:p w14:paraId="468623EC">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c.医院应当依照《中华人民共和国固体废物污染环境防治法</w:t>
            </w:r>
            <w:r>
              <w:rPr>
                <w:rFonts w:hint="eastAsia" w:eastAsiaTheme="minorEastAsia"/>
                <w:color w:val="auto"/>
                <w:szCs w:val="21"/>
                <w:lang w:eastAsia="zh-CN"/>
              </w:rPr>
              <w:t>》《</w:t>
            </w:r>
            <w:r>
              <w:rPr>
                <w:rFonts w:hint="eastAsia" w:eastAsiaTheme="minorEastAsia"/>
                <w:color w:val="auto"/>
              </w:rPr>
              <w:t>危险废物转移联单》</w:t>
            </w:r>
            <w:r>
              <w:rPr>
                <w:rFonts w:hint="eastAsia" w:eastAsiaTheme="minorEastAsia"/>
                <w:color w:val="auto"/>
                <w:szCs w:val="21"/>
              </w:rPr>
              <w:t>的规定，执行危险废物转移联单管理制度。</w:t>
            </w:r>
          </w:p>
          <w:p w14:paraId="6381105D">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d.医院应当对医疗废物进行登记，登记内容应当包括医疗废物的来源、种类</w:t>
            </w:r>
            <w:r>
              <w:rPr>
                <w:rFonts w:hint="eastAsia" w:eastAsiaTheme="minorEastAsia"/>
                <w:color w:val="auto"/>
                <w:szCs w:val="21"/>
                <w:lang w:eastAsia="zh-CN"/>
              </w:rPr>
              <w:t>、</w:t>
            </w:r>
            <w:r>
              <w:rPr>
                <w:rFonts w:hint="eastAsia" w:eastAsiaTheme="minorEastAsia"/>
                <w:color w:val="auto"/>
                <w:szCs w:val="21"/>
              </w:rPr>
              <w:t>量或者数量、交接时间、处置方法、最终去向以及经办人签名等项目。登记资料至少保存3年。</w:t>
            </w:r>
          </w:p>
          <w:p w14:paraId="799D1D80">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e.发生医疗废物流失、</w:t>
            </w:r>
            <w:r>
              <w:rPr>
                <w:rFonts w:hint="eastAsia" w:eastAsiaTheme="minorEastAsia"/>
                <w:color w:val="auto"/>
                <w:szCs w:val="21"/>
                <w:lang w:eastAsia="zh-CN"/>
              </w:rPr>
              <w:t>泄漏</w:t>
            </w:r>
            <w:r>
              <w:rPr>
                <w:rFonts w:hint="eastAsia" w:eastAsiaTheme="minorEastAsia"/>
                <w:color w:val="auto"/>
                <w:szCs w:val="21"/>
              </w:rPr>
              <w:t>、扩散时，院方和医疗废物集中处置单位应当采取减少危害的紧急处理措施，对致病人员提供医疗救护和现场救援：同时向所在地的县级人民政府卫生行政主管部门、环境保护行政主管部门报告，并向可能受到危害的单位和居民通报。</w:t>
            </w:r>
          </w:p>
          <w:p w14:paraId="750CFB76">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2）收集要求</w:t>
            </w:r>
          </w:p>
          <w:p w14:paraId="40A7D22C">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a.根据医疗废物的类别，将医疗废物分置于符合《医疗废物专用包装物、容器的标准和譥示标识的规定》的包装物或者容器内；</w:t>
            </w:r>
          </w:p>
          <w:p w14:paraId="4B011689">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b.在盛装医疗废物前，应当对医疗废物包装物或者容器进行认真检查，确保无破损、渗漏和其他缺陷；</w:t>
            </w:r>
          </w:p>
          <w:p w14:paraId="51107236">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c.感染性废物、损伤性废物、药物性废物及化学性废物不能混合收集。少量的药物性废物可以混入感染性废物，但应当在标签上注明；</w:t>
            </w:r>
          </w:p>
          <w:p w14:paraId="4C350347">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d.废弃的麻醉、精神、放射性等药品及其相关的废物的管理，依照有关法律、行政法规和国家有关规定、标准执行：批量的含有汞的体温计、血压计等医疗器具</w:t>
            </w:r>
            <w:r>
              <w:rPr>
                <w:rFonts w:hint="eastAsia"/>
                <w:color w:val="auto"/>
                <w:lang w:val="en-US" w:eastAsia="zh-CN"/>
              </w:rPr>
              <w:t>报批</w:t>
            </w:r>
            <w:r>
              <w:rPr>
                <w:rFonts w:hint="eastAsia" w:eastAsiaTheme="minorEastAsia"/>
                <w:color w:val="auto"/>
                <w:szCs w:val="21"/>
              </w:rPr>
              <w:t>时，应当交由专门机构处置；</w:t>
            </w:r>
          </w:p>
          <w:p w14:paraId="6E0DA438">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e.放入包装物或者容器内的医疗废物不得取出；</w:t>
            </w:r>
          </w:p>
          <w:p w14:paraId="74CD076E">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f.院区内医疗废物产生地点应当有医疗废物分类收集方法的示意图或者文字说明；</w:t>
            </w:r>
          </w:p>
          <w:p w14:paraId="5BE03BB2">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g.盛装的医疗废物达到包装物或者容器的3/4时，应当使用有效的封口方式，使包装物或者容器的封口紧实、严密。</w:t>
            </w:r>
          </w:p>
          <w:p w14:paraId="37A3F862">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3）暂存要求</w:t>
            </w:r>
          </w:p>
          <w:p w14:paraId="3F055E58">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根据《医疗废物集中处置技术规范》，医疗废物暂存间设计需符合以下要求：</w:t>
            </w:r>
          </w:p>
          <w:p w14:paraId="398948F7">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a.必须与生活垃圾存放地分开，有防雨淋的装置，地基高度应确保设施内不受雨洪冲击或浸泡；</w:t>
            </w:r>
          </w:p>
          <w:p w14:paraId="19BAD7DE">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b.必须与医疗区、食品加工区和人员活动密集区隔开，方便医疗废物的装卸、装卸人员及运送车辆的出入；</w:t>
            </w:r>
          </w:p>
          <w:p w14:paraId="479EDA43">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c.应有严密的封闭措施，设专人管理，避免非工作人员进出，以及防鼠、防蚊蝇、防蟑螂、防盗以及预防儿童接触等安全措施；</w:t>
            </w:r>
          </w:p>
          <w:p w14:paraId="4703A78F">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d.地面和1.0m高的墙裙须进行防渗处理，地面有良好的排水性能，易于清洁和消毒，产生的废水应采用管道直接排入院区内的</w:t>
            </w:r>
            <w:r>
              <w:rPr>
                <w:rFonts w:hint="eastAsia" w:eastAsiaTheme="minorEastAsia"/>
                <w:color w:val="auto"/>
                <w:szCs w:val="21"/>
                <w:lang w:eastAsia="zh-CN"/>
              </w:rPr>
              <w:t>医院污水</w:t>
            </w:r>
            <w:r>
              <w:rPr>
                <w:rFonts w:hint="eastAsia" w:eastAsiaTheme="minorEastAsia"/>
                <w:color w:val="auto"/>
                <w:szCs w:val="21"/>
              </w:rPr>
              <w:t>消毒、处理系统，禁止将产生的废水直接排入外环境；</w:t>
            </w:r>
          </w:p>
          <w:p w14:paraId="4BC50039">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e.库房外宜设有供水龙头，以供暂时贮存库房的清洗用；</w:t>
            </w:r>
          </w:p>
          <w:p w14:paraId="5227E845">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f.避免阳光直射</w:t>
            </w:r>
            <w:r>
              <w:rPr>
                <w:rFonts w:hint="eastAsia" w:eastAsiaTheme="minorEastAsia"/>
                <w:color w:val="auto"/>
                <w:szCs w:val="21"/>
                <w:lang w:eastAsia="zh-CN"/>
              </w:rPr>
              <w:t>屋内</w:t>
            </w:r>
            <w:r>
              <w:rPr>
                <w:rFonts w:hint="eastAsia" w:eastAsiaTheme="minorEastAsia"/>
                <w:color w:val="auto"/>
                <w:szCs w:val="21"/>
              </w:rPr>
              <w:t>，应有良好的照明设备和通风条件；</w:t>
            </w:r>
          </w:p>
          <w:p w14:paraId="4A944D47">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g.库房内应张贴“禁止吸烟、饮食”的警示标识；</w:t>
            </w:r>
          </w:p>
          <w:p w14:paraId="435C6433">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h.应按GB15562.2和卫生、环保部门制定的专用医疗废物警示标识要求，在库房外的明显处同时设置危险废物和医疗废物的警示标识。</w:t>
            </w:r>
          </w:p>
          <w:p w14:paraId="2FF45B14">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i.医疗废物暂时贮存库房每天应在废物清运之后消毒冲洗，冲洗液应排入院区内的</w:t>
            </w:r>
            <w:r>
              <w:rPr>
                <w:rFonts w:hint="eastAsia" w:eastAsiaTheme="minorEastAsia"/>
                <w:color w:val="auto"/>
                <w:szCs w:val="21"/>
                <w:lang w:eastAsia="zh-CN"/>
              </w:rPr>
              <w:t>医院污水</w:t>
            </w:r>
            <w:r>
              <w:rPr>
                <w:rFonts w:hint="eastAsia" w:eastAsiaTheme="minorEastAsia"/>
                <w:color w:val="auto"/>
                <w:szCs w:val="21"/>
              </w:rPr>
              <w:t>消毒、处理系统。</w:t>
            </w:r>
          </w:p>
          <w:p w14:paraId="609415C9">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j.应防止医疗废物在暂时贮存库房和专用暂时贮存柜</w:t>
            </w:r>
            <w:r>
              <w:rPr>
                <w:rFonts w:hint="eastAsia" w:eastAsiaTheme="minorEastAsia"/>
                <w:color w:val="auto"/>
                <w:szCs w:val="21"/>
                <w:lang w:eastAsia="zh-CN"/>
              </w:rPr>
              <w:t>（</w:t>
            </w:r>
            <w:r>
              <w:rPr>
                <w:rFonts w:hint="eastAsia" w:eastAsiaTheme="minorEastAsia"/>
                <w:color w:val="auto"/>
                <w:szCs w:val="21"/>
              </w:rPr>
              <w:t>箱</w:t>
            </w:r>
            <w:r>
              <w:rPr>
                <w:rFonts w:hint="eastAsia" w:eastAsiaTheme="minorEastAsia"/>
                <w:color w:val="auto"/>
                <w:szCs w:val="21"/>
                <w:lang w:eastAsia="zh-CN"/>
              </w:rPr>
              <w:t>）</w:t>
            </w:r>
            <w:r>
              <w:rPr>
                <w:rFonts w:hint="eastAsia" w:eastAsiaTheme="minorEastAsia"/>
                <w:color w:val="auto"/>
                <w:szCs w:val="21"/>
              </w:rPr>
              <w:t>中腐败散发恶臭，尽量做到日产日清。确实不能做到日产日清，且当地最高气温高于25℃时，应将医疗废物低温暂时贮存，暂时贮存温度应低于20℃，时间最长不超过48小时。</w:t>
            </w:r>
          </w:p>
          <w:p w14:paraId="23E6F85E">
            <w:pPr>
              <w:keepNext w:val="0"/>
              <w:keepLines w:val="0"/>
              <w:suppressLineNumbers w:val="0"/>
              <w:spacing w:before="0" w:beforeAutospacing="0" w:after="0" w:afterAutospacing="0" w:line="360" w:lineRule="auto"/>
              <w:ind w:left="0" w:right="0" w:firstLine="480" w:firstLineChars="200"/>
              <w:jc w:val="left"/>
              <w:rPr>
                <w:rFonts w:hint="eastAsia" w:eastAsiaTheme="minorEastAsia"/>
                <w:color w:val="auto"/>
                <w:szCs w:val="21"/>
              </w:rPr>
            </w:pPr>
            <w:r>
              <w:rPr>
                <w:rFonts w:hint="eastAsia" w:eastAsiaTheme="minorEastAsia"/>
                <w:color w:val="auto"/>
                <w:szCs w:val="21"/>
              </w:rPr>
              <w:t>本项目</w:t>
            </w:r>
            <w:r>
              <w:rPr>
                <w:rFonts w:hint="eastAsia" w:eastAsiaTheme="minorEastAsia"/>
                <w:color w:val="auto"/>
                <w:szCs w:val="21"/>
                <w:lang w:val="en-US" w:eastAsia="zh-CN"/>
              </w:rPr>
              <w:t>依托院区西北侧35m</w:t>
            </w:r>
            <w:r>
              <w:rPr>
                <w:rFonts w:hint="eastAsia" w:eastAsiaTheme="minorEastAsia"/>
                <w:color w:val="auto"/>
                <w:szCs w:val="21"/>
                <w:vertAlign w:val="superscript"/>
                <w:lang w:val="en-US" w:eastAsia="zh-CN"/>
              </w:rPr>
              <w:t>2</w:t>
            </w:r>
            <w:r>
              <w:rPr>
                <w:rFonts w:hint="eastAsia" w:eastAsiaTheme="minorEastAsia"/>
                <w:color w:val="auto"/>
                <w:szCs w:val="21"/>
                <w:lang w:val="en-US" w:eastAsia="zh-CN"/>
              </w:rPr>
              <w:t>医疗废物贮存间（2#）</w:t>
            </w:r>
            <w:r>
              <w:rPr>
                <w:rFonts w:hint="eastAsia" w:eastAsiaTheme="minorEastAsia"/>
                <w:color w:val="auto"/>
                <w:szCs w:val="21"/>
              </w:rPr>
              <w:t>基本情况见下表：</w:t>
            </w:r>
          </w:p>
          <w:p w14:paraId="71FF78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b/>
                <w:color w:val="auto"/>
                <w:szCs w:val="21"/>
              </w:rPr>
            </w:pPr>
            <w:r>
              <w:rPr>
                <w:rFonts w:hint="eastAsia" w:eastAsiaTheme="minorEastAsia"/>
                <w:b/>
                <w:color w:val="auto"/>
                <w:szCs w:val="21"/>
              </w:rPr>
              <w:t>表4.</w:t>
            </w:r>
            <w:r>
              <w:rPr>
                <w:rFonts w:hint="eastAsia" w:eastAsiaTheme="minorEastAsia"/>
                <w:b/>
                <w:color w:val="auto"/>
                <w:szCs w:val="21"/>
                <w:lang w:val="en-US" w:eastAsia="zh-CN"/>
              </w:rPr>
              <w:t>4</w:t>
            </w:r>
            <w:r>
              <w:rPr>
                <w:rFonts w:hint="eastAsia" w:eastAsiaTheme="minorEastAsia"/>
                <w:b/>
                <w:color w:val="auto"/>
                <w:szCs w:val="21"/>
              </w:rPr>
              <w:t>-</w:t>
            </w:r>
            <w:r>
              <w:rPr>
                <w:rFonts w:hint="eastAsia" w:eastAsiaTheme="minorEastAsia"/>
                <w:b/>
                <w:color w:val="auto"/>
                <w:szCs w:val="21"/>
                <w:lang w:val="en-US" w:eastAsia="zh-CN"/>
              </w:rPr>
              <w:t xml:space="preserve">5 </w:t>
            </w:r>
            <w:r>
              <w:rPr>
                <w:rFonts w:hint="eastAsia" w:eastAsiaTheme="minorEastAsia"/>
                <w:b/>
                <w:color w:val="auto"/>
                <w:szCs w:val="21"/>
              </w:rPr>
              <w:t>危险废物贮存场所（设施）基本情况一览表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763"/>
              <w:gridCol w:w="1211"/>
              <w:gridCol w:w="691"/>
              <w:gridCol w:w="1177"/>
              <w:gridCol w:w="1070"/>
              <w:gridCol w:w="702"/>
              <w:gridCol w:w="536"/>
              <w:gridCol w:w="783"/>
              <w:gridCol w:w="466"/>
            </w:tblGrid>
            <w:tr w14:paraId="74473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tcBorders>
                    <w:tl2br w:val="nil"/>
                    <w:tr2bl w:val="nil"/>
                  </w:tcBorders>
                  <w:vAlign w:val="center"/>
                </w:tcPr>
                <w:p w14:paraId="3CC1D3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序号</w:t>
                  </w:r>
                </w:p>
              </w:tc>
              <w:tc>
                <w:tcPr>
                  <w:tcW w:w="485" w:type="pct"/>
                  <w:tcBorders>
                    <w:tl2br w:val="nil"/>
                    <w:tr2bl w:val="nil"/>
                  </w:tcBorders>
                  <w:vAlign w:val="center"/>
                </w:tcPr>
                <w:p w14:paraId="415C6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贮存场所</w:t>
                  </w:r>
                </w:p>
              </w:tc>
              <w:tc>
                <w:tcPr>
                  <w:tcW w:w="770" w:type="pct"/>
                  <w:tcBorders>
                    <w:tl2br w:val="nil"/>
                    <w:tr2bl w:val="nil"/>
                  </w:tcBorders>
                  <w:vAlign w:val="center"/>
                </w:tcPr>
                <w:p w14:paraId="378633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危废名称</w:t>
                  </w:r>
                </w:p>
              </w:tc>
              <w:tc>
                <w:tcPr>
                  <w:tcW w:w="439" w:type="pct"/>
                  <w:tcBorders>
                    <w:tl2br w:val="nil"/>
                    <w:tr2bl w:val="nil"/>
                  </w:tcBorders>
                  <w:vAlign w:val="center"/>
                </w:tcPr>
                <w:p w14:paraId="01B08F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危废类别</w:t>
                  </w:r>
                </w:p>
              </w:tc>
              <w:tc>
                <w:tcPr>
                  <w:tcW w:w="748" w:type="pct"/>
                  <w:tcBorders>
                    <w:tl2br w:val="nil"/>
                    <w:tr2bl w:val="nil"/>
                  </w:tcBorders>
                  <w:vAlign w:val="center"/>
                </w:tcPr>
                <w:p w14:paraId="28AFC6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危废代码</w:t>
                  </w:r>
                </w:p>
              </w:tc>
              <w:tc>
                <w:tcPr>
                  <w:tcW w:w="680" w:type="pct"/>
                  <w:tcBorders>
                    <w:tl2br w:val="nil"/>
                    <w:tr2bl w:val="nil"/>
                  </w:tcBorders>
                  <w:vAlign w:val="center"/>
                </w:tcPr>
                <w:p w14:paraId="0C6559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位置</w:t>
                  </w:r>
                </w:p>
              </w:tc>
              <w:tc>
                <w:tcPr>
                  <w:tcW w:w="446" w:type="pct"/>
                  <w:tcBorders>
                    <w:tl2br w:val="nil"/>
                    <w:tr2bl w:val="nil"/>
                  </w:tcBorders>
                  <w:vAlign w:val="center"/>
                </w:tcPr>
                <w:p w14:paraId="470E93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占地面积</w:t>
                  </w:r>
                </w:p>
              </w:tc>
              <w:tc>
                <w:tcPr>
                  <w:tcW w:w="341" w:type="pct"/>
                  <w:tcBorders>
                    <w:tl2br w:val="nil"/>
                    <w:tr2bl w:val="nil"/>
                  </w:tcBorders>
                  <w:vAlign w:val="center"/>
                </w:tcPr>
                <w:p w14:paraId="3259542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贮存方式</w:t>
                  </w:r>
                </w:p>
              </w:tc>
              <w:tc>
                <w:tcPr>
                  <w:tcW w:w="498" w:type="pct"/>
                  <w:tcBorders>
                    <w:tl2br w:val="nil"/>
                    <w:tr2bl w:val="nil"/>
                  </w:tcBorders>
                  <w:vAlign w:val="center"/>
                </w:tcPr>
                <w:p w14:paraId="57EF38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贮存能力</w:t>
                  </w:r>
                </w:p>
                <w:p w14:paraId="5B0CC4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t/</w:t>
                  </w:r>
                </w:p>
              </w:tc>
              <w:tc>
                <w:tcPr>
                  <w:tcW w:w="296" w:type="pct"/>
                  <w:tcBorders>
                    <w:tl2br w:val="nil"/>
                    <w:tr2bl w:val="nil"/>
                  </w:tcBorders>
                  <w:vAlign w:val="center"/>
                </w:tcPr>
                <w:p w14:paraId="4EA358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
                      <w:bCs/>
                      <w:snapToGrid w:val="0"/>
                      <w:color w:val="auto"/>
                      <w:kern w:val="24"/>
                      <w:sz w:val="18"/>
                      <w:szCs w:val="18"/>
                    </w:rPr>
                  </w:pPr>
                  <w:r>
                    <w:rPr>
                      <w:rFonts w:hint="eastAsia" w:eastAsiaTheme="minorEastAsia"/>
                      <w:b/>
                      <w:bCs/>
                      <w:snapToGrid w:val="0"/>
                      <w:color w:val="auto"/>
                      <w:kern w:val="24"/>
                      <w:sz w:val="18"/>
                      <w:szCs w:val="18"/>
                    </w:rPr>
                    <w:t>贮存周期</w:t>
                  </w:r>
                </w:p>
              </w:tc>
            </w:tr>
            <w:tr w14:paraId="04AC5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tcBorders>
                    <w:tl2br w:val="nil"/>
                    <w:tr2bl w:val="nil"/>
                  </w:tcBorders>
                  <w:vAlign w:val="center"/>
                </w:tcPr>
                <w:p w14:paraId="7E8916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r>
                    <w:rPr>
                      <w:rFonts w:hint="eastAsia" w:eastAsiaTheme="minorEastAsia"/>
                      <w:snapToGrid w:val="0"/>
                      <w:color w:val="auto"/>
                      <w:kern w:val="24"/>
                      <w:sz w:val="18"/>
                      <w:szCs w:val="18"/>
                    </w:rPr>
                    <w:t>1</w:t>
                  </w:r>
                </w:p>
              </w:tc>
              <w:tc>
                <w:tcPr>
                  <w:tcW w:w="485" w:type="pct"/>
                  <w:vMerge w:val="restart"/>
                  <w:tcBorders>
                    <w:tl2br w:val="nil"/>
                    <w:tr2bl w:val="nil"/>
                  </w:tcBorders>
                  <w:vAlign w:val="center"/>
                </w:tcPr>
                <w:p w14:paraId="76B194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default" w:eastAsiaTheme="minorEastAsia"/>
                      <w:snapToGrid w:val="0"/>
                      <w:color w:val="auto"/>
                      <w:kern w:val="24"/>
                      <w:sz w:val="18"/>
                      <w:szCs w:val="18"/>
                      <w:lang w:val="en-US" w:eastAsia="zh-CN"/>
                    </w:rPr>
                  </w:pPr>
                  <w:r>
                    <w:rPr>
                      <w:rFonts w:hint="eastAsia" w:eastAsiaTheme="minorEastAsia"/>
                      <w:snapToGrid w:val="0"/>
                      <w:color w:val="auto"/>
                      <w:kern w:val="24"/>
                      <w:sz w:val="18"/>
                      <w:szCs w:val="18"/>
                    </w:rPr>
                    <w:t>医疗废物贮存间</w:t>
                  </w:r>
                  <w:r>
                    <w:rPr>
                      <w:rFonts w:hint="eastAsia" w:eastAsiaTheme="minorEastAsia"/>
                      <w:snapToGrid w:val="0"/>
                      <w:color w:val="auto"/>
                      <w:kern w:val="24"/>
                      <w:sz w:val="18"/>
                      <w:szCs w:val="18"/>
                      <w:lang w:val="en-US" w:eastAsia="zh-CN"/>
                    </w:rPr>
                    <w:t>2#</w:t>
                  </w:r>
                </w:p>
              </w:tc>
              <w:tc>
                <w:tcPr>
                  <w:tcW w:w="770" w:type="pct"/>
                  <w:vMerge w:val="restart"/>
                  <w:tcBorders>
                    <w:tl2br w:val="nil"/>
                    <w:tr2bl w:val="nil"/>
                  </w:tcBorders>
                  <w:vAlign w:val="center"/>
                </w:tcPr>
                <w:p w14:paraId="6DE70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r>
                    <w:rPr>
                      <w:rFonts w:hint="eastAsia" w:eastAsiaTheme="minorEastAsia"/>
                      <w:snapToGrid w:val="0"/>
                      <w:color w:val="auto"/>
                      <w:kern w:val="0"/>
                      <w:sz w:val="18"/>
                      <w:szCs w:val="18"/>
                    </w:rPr>
                    <w:t>医疗废物</w:t>
                  </w:r>
                </w:p>
              </w:tc>
              <w:tc>
                <w:tcPr>
                  <w:tcW w:w="439" w:type="pct"/>
                  <w:vMerge w:val="restart"/>
                  <w:tcBorders>
                    <w:tl2br w:val="nil"/>
                    <w:tr2bl w:val="nil"/>
                  </w:tcBorders>
                  <w:vAlign w:val="center"/>
                </w:tcPr>
                <w:p w14:paraId="2B0538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r>
                    <w:rPr>
                      <w:rFonts w:hint="eastAsia" w:eastAsiaTheme="minorEastAsia"/>
                      <w:snapToGrid w:val="0"/>
                      <w:color w:val="auto"/>
                      <w:kern w:val="0"/>
                      <w:sz w:val="18"/>
                      <w:szCs w:val="18"/>
                    </w:rPr>
                    <w:t>HW01</w:t>
                  </w:r>
                </w:p>
              </w:tc>
              <w:tc>
                <w:tcPr>
                  <w:tcW w:w="748" w:type="pct"/>
                  <w:tcBorders>
                    <w:tl2br w:val="nil"/>
                    <w:tr2bl w:val="nil"/>
                  </w:tcBorders>
                  <w:vAlign w:val="center"/>
                </w:tcPr>
                <w:p w14:paraId="365291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snapToGrid w:val="0"/>
                      <w:color w:val="auto"/>
                      <w:kern w:val="0"/>
                      <w:sz w:val="18"/>
                      <w:szCs w:val="18"/>
                    </w:rPr>
                  </w:pPr>
                  <w:r>
                    <w:rPr>
                      <w:rFonts w:hint="eastAsia" w:eastAsiaTheme="minorEastAsia"/>
                      <w:color w:val="auto"/>
                      <w:sz w:val="18"/>
                      <w:szCs w:val="18"/>
                    </w:rPr>
                    <w:t>841-001-01</w:t>
                  </w:r>
                </w:p>
              </w:tc>
              <w:tc>
                <w:tcPr>
                  <w:tcW w:w="680" w:type="pct"/>
                  <w:vMerge w:val="restart"/>
                  <w:tcBorders>
                    <w:tl2br w:val="nil"/>
                    <w:tr2bl w:val="nil"/>
                  </w:tcBorders>
                  <w:vAlign w:val="center"/>
                </w:tcPr>
                <w:p w14:paraId="54A02B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r>
                    <w:rPr>
                      <w:rFonts w:hint="eastAsia" w:eastAsiaTheme="minorEastAsia"/>
                      <w:color w:val="auto"/>
                      <w:sz w:val="18"/>
                      <w:szCs w:val="18"/>
                      <w:shd w:val="clear" w:color="auto" w:fill="FFFFFF"/>
                      <w:lang w:val="en-US" w:eastAsia="zh-CN"/>
                    </w:rPr>
                    <w:t>院区内西北侧</w:t>
                  </w:r>
                </w:p>
              </w:tc>
              <w:tc>
                <w:tcPr>
                  <w:tcW w:w="446" w:type="pct"/>
                  <w:vMerge w:val="restart"/>
                  <w:tcBorders>
                    <w:tl2br w:val="nil"/>
                    <w:tr2bl w:val="nil"/>
                  </w:tcBorders>
                  <w:vAlign w:val="center"/>
                </w:tcPr>
                <w:p w14:paraId="6C48F5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r>
                    <w:rPr>
                      <w:rFonts w:hint="eastAsia" w:eastAsiaTheme="minorEastAsia"/>
                      <w:color w:val="auto"/>
                      <w:sz w:val="18"/>
                      <w:szCs w:val="18"/>
                      <w:lang w:val="en-US" w:eastAsia="zh-CN"/>
                    </w:rPr>
                    <w:t>35</w:t>
                  </w:r>
                  <w:r>
                    <w:rPr>
                      <w:rFonts w:hint="eastAsia" w:eastAsiaTheme="minorEastAsia"/>
                      <w:color w:val="auto"/>
                      <w:sz w:val="18"/>
                      <w:szCs w:val="18"/>
                    </w:rPr>
                    <w:t>m</w:t>
                  </w:r>
                  <w:r>
                    <w:rPr>
                      <w:rFonts w:hint="eastAsia" w:eastAsiaTheme="minorEastAsia"/>
                      <w:color w:val="auto"/>
                      <w:sz w:val="18"/>
                      <w:szCs w:val="18"/>
                      <w:vertAlign w:val="superscript"/>
                    </w:rPr>
                    <w:t>2</w:t>
                  </w:r>
                </w:p>
              </w:tc>
              <w:tc>
                <w:tcPr>
                  <w:tcW w:w="341" w:type="pct"/>
                  <w:vMerge w:val="restart"/>
                  <w:tcBorders>
                    <w:tl2br w:val="nil"/>
                    <w:tr2bl w:val="nil"/>
                  </w:tcBorders>
                  <w:vAlign w:val="center"/>
                </w:tcPr>
                <w:p w14:paraId="7A3C12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r>
                    <w:rPr>
                      <w:rFonts w:hint="eastAsia" w:eastAsiaTheme="minorEastAsia"/>
                      <w:snapToGrid w:val="0"/>
                      <w:color w:val="auto"/>
                      <w:kern w:val="24"/>
                      <w:sz w:val="18"/>
                      <w:szCs w:val="18"/>
                    </w:rPr>
                    <w:t>隔离贮存</w:t>
                  </w:r>
                </w:p>
              </w:tc>
              <w:tc>
                <w:tcPr>
                  <w:tcW w:w="498" w:type="pct"/>
                  <w:vMerge w:val="restart"/>
                  <w:tcBorders>
                    <w:tl2br w:val="nil"/>
                    <w:tr2bl w:val="nil"/>
                  </w:tcBorders>
                  <w:vAlign w:val="center"/>
                </w:tcPr>
                <w:p w14:paraId="41A732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default" w:eastAsiaTheme="minorEastAsia"/>
                      <w:color w:val="auto"/>
                      <w:sz w:val="18"/>
                      <w:szCs w:val="18"/>
                      <w:lang w:val="en-US" w:eastAsia="zh-CN"/>
                    </w:rPr>
                  </w:pPr>
                  <w:r>
                    <w:rPr>
                      <w:rFonts w:hint="eastAsia" w:eastAsiaTheme="minorEastAsia"/>
                      <w:color w:val="auto"/>
                      <w:sz w:val="18"/>
                      <w:szCs w:val="18"/>
                      <w:lang w:val="en-US" w:eastAsia="zh-CN"/>
                    </w:rPr>
                    <w:t>35</w:t>
                  </w:r>
                </w:p>
              </w:tc>
              <w:tc>
                <w:tcPr>
                  <w:tcW w:w="296" w:type="pct"/>
                  <w:vMerge w:val="restart"/>
                  <w:tcBorders>
                    <w:tl2br w:val="nil"/>
                    <w:tr2bl w:val="nil"/>
                  </w:tcBorders>
                  <w:vAlign w:val="center"/>
                </w:tcPr>
                <w:p w14:paraId="70A0DC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r>
                    <w:rPr>
                      <w:rFonts w:hint="eastAsia" w:eastAsiaTheme="minorEastAsia"/>
                      <w:snapToGrid w:val="0"/>
                      <w:color w:val="auto"/>
                      <w:kern w:val="24"/>
                      <w:sz w:val="18"/>
                      <w:szCs w:val="18"/>
                    </w:rPr>
                    <w:t>2天</w:t>
                  </w:r>
                </w:p>
              </w:tc>
            </w:tr>
            <w:tr w14:paraId="7139E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tcBorders>
                    <w:tl2br w:val="nil"/>
                    <w:tr2bl w:val="nil"/>
                  </w:tcBorders>
                  <w:vAlign w:val="center"/>
                </w:tcPr>
                <w:p w14:paraId="0996DB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r>
                    <w:rPr>
                      <w:rFonts w:hint="eastAsia" w:eastAsiaTheme="minorEastAsia"/>
                      <w:snapToGrid w:val="0"/>
                      <w:color w:val="auto"/>
                      <w:kern w:val="24"/>
                      <w:sz w:val="18"/>
                      <w:szCs w:val="18"/>
                    </w:rPr>
                    <w:t>2</w:t>
                  </w:r>
                </w:p>
              </w:tc>
              <w:tc>
                <w:tcPr>
                  <w:tcW w:w="485" w:type="pct"/>
                  <w:vMerge w:val="continue"/>
                  <w:tcBorders>
                    <w:tl2br w:val="nil"/>
                    <w:tr2bl w:val="nil"/>
                  </w:tcBorders>
                  <w:vAlign w:val="center"/>
                </w:tcPr>
                <w:p w14:paraId="356D20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770" w:type="pct"/>
                  <w:vMerge w:val="continue"/>
                  <w:tcBorders>
                    <w:tl2br w:val="nil"/>
                    <w:tr2bl w:val="nil"/>
                  </w:tcBorders>
                  <w:vAlign w:val="center"/>
                </w:tcPr>
                <w:p w14:paraId="42DCE4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p>
              </w:tc>
              <w:tc>
                <w:tcPr>
                  <w:tcW w:w="439" w:type="pct"/>
                  <w:vMerge w:val="continue"/>
                  <w:tcBorders>
                    <w:tl2br w:val="nil"/>
                    <w:tr2bl w:val="nil"/>
                  </w:tcBorders>
                  <w:vAlign w:val="center"/>
                </w:tcPr>
                <w:p w14:paraId="2952B6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p>
              </w:tc>
              <w:tc>
                <w:tcPr>
                  <w:tcW w:w="748" w:type="pct"/>
                  <w:tcBorders>
                    <w:tl2br w:val="nil"/>
                    <w:tr2bl w:val="nil"/>
                  </w:tcBorders>
                  <w:vAlign w:val="center"/>
                </w:tcPr>
                <w:p w14:paraId="12F59C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snapToGrid w:val="0"/>
                      <w:color w:val="auto"/>
                      <w:kern w:val="0"/>
                      <w:sz w:val="18"/>
                      <w:szCs w:val="18"/>
                    </w:rPr>
                  </w:pPr>
                  <w:r>
                    <w:rPr>
                      <w:rFonts w:hint="eastAsia" w:eastAsiaTheme="minorEastAsia"/>
                      <w:color w:val="auto"/>
                      <w:sz w:val="18"/>
                      <w:szCs w:val="18"/>
                    </w:rPr>
                    <w:t>841-002-01</w:t>
                  </w:r>
                </w:p>
              </w:tc>
              <w:tc>
                <w:tcPr>
                  <w:tcW w:w="680" w:type="pct"/>
                  <w:vMerge w:val="continue"/>
                  <w:tcBorders>
                    <w:tl2br w:val="nil"/>
                    <w:tr2bl w:val="nil"/>
                  </w:tcBorders>
                  <w:vAlign w:val="center"/>
                </w:tcPr>
                <w:p w14:paraId="4E86D6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kern w:val="0"/>
                      <w:sz w:val="18"/>
                      <w:szCs w:val="18"/>
                    </w:rPr>
                  </w:pPr>
                </w:p>
              </w:tc>
              <w:tc>
                <w:tcPr>
                  <w:tcW w:w="446" w:type="pct"/>
                  <w:vMerge w:val="continue"/>
                  <w:tcBorders>
                    <w:tl2br w:val="nil"/>
                    <w:tr2bl w:val="nil"/>
                  </w:tcBorders>
                  <w:vAlign w:val="center"/>
                </w:tcPr>
                <w:p w14:paraId="3B86C2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341" w:type="pct"/>
                  <w:vMerge w:val="continue"/>
                  <w:tcBorders>
                    <w:tl2br w:val="nil"/>
                    <w:tr2bl w:val="nil"/>
                  </w:tcBorders>
                  <w:vAlign w:val="center"/>
                </w:tcPr>
                <w:p w14:paraId="6BE907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498" w:type="pct"/>
                  <w:vMerge w:val="continue"/>
                  <w:tcBorders>
                    <w:tl2br w:val="nil"/>
                    <w:tr2bl w:val="nil"/>
                  </w:tcBorders>
                  <w:vAlign w:val="center"/>
                </w:tcPr>
                <w:p w14:paraId="577A55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296" w:type="pct"/>
                  <w:vMerge w:val="continue"/>
                  <w:tcBorders>
                    <w:tl2br w:val="nil"/>
                    <w:tr2bl w:val="nil"/>
                  </w:tcBorders>
                  <w:vAlign w:val="center"/>
                </w:tcPr>
                <w:p w14:paraId="29E0B1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r>
            <w:tr w14:paraId="55387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tcBorders>
                    <w:tl2br w:val="nil"/>
                    <w:tr2bl w:val="nil"/>
                  </w:tcBorders>
                  <w:vAlign w:val="center"/>
                </w:tcPr>
                <w:p w14:paraId="6EB2A8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r>
                    <w:rPr>
                      <w:rFonts w:hint="eastAsia" w:eastAsiaTheme="minorEastAsia"/>
                      <w:snapToGrid w:val="0"/>
                      <w:color w:val="auto"/>
                      <w:kern w:val="24"/>
                      <w:sz w:val="18"/>
                      <w:szCs w:val="18"/>
                    </w:rPr>
                    <w:t>3</w:t>
                  </w:r>
                </w:p>
              </w:tc>
              <w:tc>
                <w:tcPr>
                  <w:tcW w:w="485" w:type="pct"/>
                  <w:vMerge w:val="continue"/>
                  <w:tcBorders>
                    <w:tl2br w:val="nil"/>
                    <w:tr2bl w:val="nil"/>
                  </w:tcBorders>
                  <w:vAlign w:val="center"/>
                </w:tcPr>
                <w:p w14:paraId="7472F0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770" w:type="pct"/>
                  <w:vMerge w:val="continue"/>
                  <w:tcBorders>
                    <w:tl2br w:val="nil"/>
                    <w:tr2bl w:val="nil"/>
                  </w:tcBorders>
                  <w:vAlign w:val="center"/>
                </w:tcPr>
                <w:p w14:paraId="2E6C2A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p>
              </w:tc>
              <w:tc>
                <w:tcPr>
                  <w:tcW w:w="439" w:type="pct"/>
                  <w:vMerge w:val="continue"/>
                  <w:tcBorders>
                    <w:tl2br w:val="nil"/>
                    <w:tr2bl w:val="nil"/>
                  </w:tcBorders>
                  <w:vAlign w:val="center"/>
                </w:tcPr>
                <w:p w14:paraId="28129B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p>
              </w:tc>
              <w:tc>
                <w:tcPr>
                  <w:tcW w:w="748" w:type="pct"/>
                  <w:tcBorders>
                    <w:tl2br w:val="nil"/>
                    <w:tr2bl w:val="nil"/>
                  </w:tcBorders>
                  <w:vAlign w:val="center"/>
                </w:tcPr>
                <w:p w14:paraId="35C49F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snapToGrid w:val="0"/>
                      <w:color w:val="auto"/>
                      <w:kern w:val="0"/>
                      <w:sz w:val="18"/>
                      <w:szCs w:val="18"/>
                    </w:rPr>
                  </w:pPr>
                  <w:r>
                    <w:rPr>
                      <w:rFonts w:hint="eastAsia" w:eastAsiaTheme="minorEastAsia"/>
                      <w:color w:val="auto"/>
                      <w:sz w:val="18"/>
                      <w:szCs w:val="18"/>
                    </w:rPr>
                    <w:t>841-003-01</w:t>
                  </w:r>
                </w:p>
              </w:tc>
              <w:tc>
                <w:tcPr>
                  <w:tcW w:w="680" w:type="pct"/>
                  <w:vMerge w:val="continue"/>
                  <w:tcBorders>
                    <w:tl2br w:val="nil"/>
                    <w:tr2bl w:val="nil"/>
                  </w:tcBorders>
                  <w:vAlign w:val="center"/>
                </w:tcPr>
                <w:p w14:paraId="2EE57A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kern w:val="0"/>
                      <w:sz w:val="18"/>
                      <w:szCs w:val="18"/>
                    </w:rPr>
                  </w:pPr>
                </w:p>
              </w:tc>
              <w:tc>
                <w:tcPr>
                  <w:tcW w:w="446" w:type="pct"/>
                  <w:vMerge w:val="continue"/>
                  <w:tcBorders>
                    <w:tl2br w:val="nil"/>
                    <w:tr2bl w:val="nil"/>
                  </w:tcBorders>
                  <w:vAlign w:val="center"/>
                </w:tcPr>
                <w:p w14:paraId="54B6EE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341" w:type="pct"/>
                  <w:vMerge w:val="continue"/>
                  <w:tcBorders>
                    <w:tl2br w:val="nil"/>
                    <w:tr2bl w:val="nil"/>
                  </w:tcBorders>
                  <w:vAlign w:val="center"/>
                </w:tcPr>
                <w:p w14:paraId="2F534B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498" w:type="pct"/>
                  <w:vMerge w:val="continue"/>
                  <w:tcBorders>
                    <w:tl2br w:val="nil"/>
                    <w:tr2bl w:val="nil"/>
                  </w:tcBorders>
                  <w:vAlign w:val="center"/>
                </w:tcPr>
                <w:p w14:paraId="4AE05A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296" w:type="pct"/>
                  <w:vMerge w:val="continue"/>
                  <w:tcBorders>
                    <w:tl2br w:val="nil"/>
                    <w:tr2bl w:val="nil"/>
                  </w:tcBorders>
                  <w:vAlign w:val="center"/>
                </w:tcPr>
                <w:p w14:paraId="0F4854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r>
            <w:tr w14:paraId="6AC28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92" w:type="pct"/>
                  <w:tcBorders>
                    <w:tl2br w:val="nil"/>
                    <w:tr2bl w:val="nil"/>
                  </w:tcBorders>
                  <w:vAlign w:val="center"/>
                </w:tcPr>
                <w:p w14:paraId="458981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r>
                    <w:rPr>
                      <w:rFonts w:hint="eastAsia" w:eastAsiaTheme="minorEastAsia"/>
                      <w:snapToGrid w:val="0"/>
                      <w:color w:val="auto"/>
                      <w:kern w:val="24"/>
                      <w:sz w:val="18"/>
                      <w:szCs w:val="18"/>
                    </w:rPr>
                    <w:t>4</w:t>
                  </w:r>
                </w:p>
              </w:tc>
              <w:tc>
                <w:tcPr>
                  <w:tcW w:w="485" w:type="pct"/>
                  <w:vMerge w:val="continue"/>
                  <w:tcBorders>
                    <w:tl2br w:val="nil"/>
                    <w:tr2bl w:val="nil"/>
                  </w:tcBorders>
                  <w:vAlign w:val="center"/>
                </w:tcPr>
                <w:p w14:paraId="4A7D0C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770" w:type="pct"/>
                  <w:vMerge w:val="continue"/>
                  <w:tcBorders>
                    <w:tl2br w:val="nil"/>
                    <w:tr2bl w:val="nil"/>
                  </w:tcBorders>
                  <w:vAlign w:val="center"/>
                </w:tcPr>
                <w:p w14:paraId="3425B2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p>
              </w:tc>
              <w:tc>
                <w:tcPr>
                  <w:tcW w:w="439" w:type="pct"/>
                  <w:vMerge w:val="continue"/>
                  <w:tcBorders>
                    <w:tl2br w:val="nil"/>
                    <w:tr2bl w:val="nil"/>
                  </w:tcBorders>
                  <w:vAlign w:val="center"/>
                </w:tcPr>
                <w:p w14:paraId="19A2F3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p>
              </w:tc>
              <w:tc>
                <w:tcPr>
                  <w:tcW w:w="748" w:type="pct"/>
                  <w:tcBorders>
                    <w:tl2br w:val="nil"/>
                    <w:tr2bl w:val="nil"/>
                  </w:tcBorders>
                  <w:vAlign w:val="center"/>
                </w:tcPr>
                <w:p w14:paraId="30B941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snapToGrid w:val="0"/>
                      <w:color w:val="auto"/>
                      <w:kern w:val="0"/>
                      <w:sz w:val="18"/>
                      <w:szCs w:val="18"/>
                    </w:rPr>
                  </w:pPr>
                  <w:r>
                    <w:rPr>
                      <w:rFonts w:hint="eastAsia" w:eastAsiaTheme="minorEastAsia"/>
                      <w:color w:val="auto"/>
                      <w:sz w:val="18"/>
                      <w:szCs w:val="18"/>
                    </w:rPr>
                    <w:t>841-004-01</w:t>
                  </w:r>
                </w:p>
              </w:tc>
              <w:tc>
                <w:tcPr>
                  <w:tcW w:w="680" w:type="pct"/>
                  <w:vMerge w:val="continue"/>
                  <w:tcBorders>
                    <w:tl2br w:val="nil"/>
                    <w:tr2bl w:val="nil"/>
                  </w:tcBorders>
                  <w:vAlign w:val="center"/>
                </w:tcPr>
                <w:p w14:paraId="11D0EB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kern w:val="0"/>
                      <w:sz w:val="18"/>
                      <w:szCs w:val="18"/>
                    </w:rPr>
                  </w:pPr>
                </w:p>
              </w:tc>
              <w:tc>
                <w:tcPr>
                  <w:tcW w:w="446" w:type="pct"/>
                  <w:vMerge w:val="continue"/>
                  <w:tcBorders>
                    <w:tl2br w:val="nil"/>
                    <w:tr2bl w:val="nil"/>
                  </w:tcBorders>
                  <w:vAlign w:val="center"/>
                </w:tcPr>
                <w:p w14:paraId="1057FC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341" w:type="pct"/>
                  <w:vMerge w:val="continue"/>
                  <w:tcBorders>
                    <w:tl2br w:val="nil"/>
                    <w:tr2bl w:val="nil"/>
                  </w:tcBorders>
                  <w:vAlign w:val="center"/>
                </w:tcPr>
                <w:p w14:paraId="582492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498" w:type="pct"/>
                  <w:vMerge w:val="continue"/>
                  <w:tcBorders>
                    <w:tl2br w:val="nil"/>
                    <w:tr2bl w:val="nil"/>
                  </w:tcBorders>
                  <w:vAlign w:val="center"/>
                </w:tcPr>
                <w:p w14:paraId="3CE4FB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296" w:type="pct"/>
                  <w:vMerge w:val="continue"/>
                  <w:tcBorders>
                    <w:tl2br w:val="nil"/>
                    <w:tr2bl w:val="nil"/>
                  </w:tcBorders>
                  <w:vAlign w:val="center"/>
                </w:tcPr>
                <w:p w14:paraId="192C9F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r>
            <w:tr w14:paraId="469F4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92" w:type="pct"/>
                  <w:tcBorders>
                    <w:tl2br w:val="nil"/>
                    <w:tr2bl w:val="nil"/>
                  </w:tcBorders>
                  <w:vAlign w:val="center"/>
                </w:tcPr>
                <w:p w14:paraId="2FE4B7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lang w:val="en-US" w:eastAsia="zh-CN"/>
                    </w:rPr>
                  </w:pPr>
                  <w:r>
                    <w:rPr>
                      <w:rFonts w:hint="eastAsia" w:eastAsiaTheme="minorEastAsia"/>
                      <w:snapToGrid w:val="0"/>
                      <w:color w:val="auto"/>
                      <w:kern w:val="24"/>
                      <w:sz w:val="18"/>
                      <w:szCs w:val="18"/>
                      <w:lang w:val="en-US" w:eastAsia="zh-CN"/>
                    </w:rPr>
                    <w:t>5</w:t>
                  </w:r>
                </w:p>
              </w:tc>
              <w:tc>
                <w:tcPr>
                  <w:tcW w:w="485" w:type="pct"/>
                  <w:vMerge w:val="continue"/>
                  <w:tcBorders>
                    <w:tl2br w:val="nil"/>
                    <w:tr2bl w:val="nil"/>
                  </w:tcBorders>
                  <w:vAlign w:val="center"/>
                </w:tcPr>
                <w:p w14:paraId="47834F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770" w:type="pct"/>
                  <w:vMerge w:val="continue"/>
                  <w:tcBorders>
                    <w:tl2br w:val="nil"/>
                    <w:tr2bl w:val="nil"/>
                  </w:tcBorders>
                  <w:vAlign w:val="center"/>
                </w:tcPr>
                <w:p w14:paraId="68E3AC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p>
              </w:tc>
              <w:tc>
                <w:tcPr>
                  <w:tcW w:w="439" w:type="pct"/>
                  <w:vMerge w:val="continue"/>
                  <w:tcBorders>
                    <w:tl2br w:val="nil"/>
                    <w:tr2bl w:val="nil"/>
                  </w:tcBorders>
                  <w:vAlign w:val="center"/>
                </w:tcPr>
                <w:p w14:paraId="00BBD5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p>
              </w:tc>
              <w:tc>
                <w:tcPr>
                  <w:tcW w:w="748" w:type="pct"/>
                  <w:tcBorders>
                    <w:tl2br w:val="nil"/>
                    <w:tr2bl w:val="nil"/>
                  </w:tcBorders>
                  <w:vAlign w:val="center"/>
                </w:tcPr>
                <w:p w14:paraId="4C92D6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color w:val="auto"/>
                      <w:sz w:val="18"/>
                      <w:szCs w:val="18"/>
                    </w:rPr>
                  </w:pPr>
                  <w:r>
                    <w:rPr>
                      <w:rFonts w:hint="eastAsia" w:eastAsiaTheme="minorEastAsia"/>
                      <w:bCs/>
                      <w:color w:val="auto"/>
                      <w:sz w:val="18"/>
                      <w:szCs w:val="18"/>
                    </w:rPr>
                    <w:t>841-005-01</w:t>
                  </w:r>
                </w:p>
              </w:tc>
              <w:tc>
                <w:tcPr>
                  <w:tcW w:w="680" w:type="pct"/>
                  <w:vMerge w:val="continue"/>
                  <w:tcBorders>
                    <w:tl2br w:val="nil"/>
                    <w:tr2bl w:val="nil"/>
                  </w:tcBorders>
                  <w:vAlign w:val="center"/>
                </w:tcPr>
                <w:p w14:paraId="2F68C7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kern w:val="0"/>
                      <w:sz w:val="18"/>
                      <w:szCs w:val="18"/>
                    </w:rPr>
                  </w:pPr>
                </w:p>
              </w:tc>
              <w:tc>
                <w:tcPr>
                  <w:tcW w:w="446" w:type="pct"/>
                  <w:vMerge w:val="continue"/>
                  <w:tcBorders>
                    <w:tl2br w:val="nil"/>
                    <w:tr2bl w:val="nil"/>
                  </w:tcBorders>
                  <w:vAlign w:val="center"/>
                </w:tcPr>
                <w:p w14:paraId="5447E5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341" w:type="pct"/>
                  <w:vMerge w:val="continue"/>
                  <w:tcBorders>
                    <w:tl2br w:val="nil"/>
                    <w:tr2bl w:val="nil"/>
                  </w:tcBorders>
                  <w:vAlign w:val="center"/>
                </w:tcPr>
                <w:p w14:paraId="75AD9B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498" w:type="pct"/>
                  <w:vMerge w:val="continue"/>
                  <w:tcBorders>
                    <w:tl2br w:val="nil"/>
                    <w:tr2bl w:val="nil"/>
                  </w:tcBorders>
                  <w:vAlign w:val="center"/>
                </w:tcPr>
                <w:p w14:paraId="75C0FC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296" w:type="pct"/>
                  <w:vMerge w:val="continue"/>
                  <w:tcBorders>
                    <w:tl2br w:val="nil"/>
                    <w:tr2bl w:val="nil"/>
                  </w:tcBorders>
                  <w:vAlign w:val="center"/>
                </w:tcPr>
                <w:p w14:paraId="07734A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r>
            <w:tr w14:paraId="5E217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2" w:type="pct"/>
                  <w:tcBorders>
                    <w:tl2br w:val="nil"/>
                    <w:tr2bl w:val="nil"/>
                  </w:tcBorders>
                  <w:vAlign w:val="center"/>
                </w:tcPr>
                <w:p w14:paraId="3BB917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lang w:eastAsia="zh-CN"/>
                    </w:rPr>
                  </w:pPr>
                  <w:r>
                    <w:rPr>
                      <w:rFonts w:hint="eastAsia" w:eastAsiaTheme="minorEastAsia"/>
                      <w:snapToGrid w:val="0"/>
                      <w:color w:val="auto"/>
                      <w:kern w:val="24"/>
                      <w:sz w:val="18"/>
                      <w:szCs w:val="18"/>
                      <w:lang w:val="en-US" w:eastAsia="zh-CN"/>
                    </w:rPr>
                    <w:t>6</w:t>
                  </w:r>
                </w:p>
              </w:tc>
              <w:tc>
                <w:tcPr>
                  <w:tcW w:w="485" w:type="pct"/>
                  <w:vMerge w:val="continue"/>
                  <w:tcBorders>
                    <w:tl2br w:val="nil"/>
                    <w:tr2bl w:val="nil"/>
                  </w:tcBorders>
                  <w:vAlign w:val="center"/>
                </w:tcPr>
                <w:p w14:paraId="3F672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770" w:type="pct"/>
                  <w:tcBorders>
                    <w:tl2br w:val="nil"/>
                    <w:tr2bl w:val="nil"/>
                  </w:tcBorders>
                  <w:vAlign w:val="center"/>
                </w:tcPr>
                <w:p w14:paraId="30B221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r>
                    <w:rPr>
                      <w:rFonts w:hint="eastAsia" w:eastAsiaTheme="minorEastAsia"/>
                      <w:bCs/>
                      <w:color w:val="auto"/>
                      <w:sz w:val="18"/>
                      <w:szCs w:val="18"/>
                      <w:lang w:eastAsia="zh-CN"/>
                    </w:rPr>
                    <w:t>污水处理站</w:t>
                  </w:r>
                  <w:r>
                    <w:rPr>
                      <w:rFonts w:hint="eastAsia" w:eastAsiaTheme="minorEastAsia"/>
                      <w:bCs/>
                      <w:color w:val="auto"/>
                      <w:sz w:val="18"/>
                      <w:szCs w:val="18"/>
                    </w:rPr>
                    <w:t>污泥</w:t>
                  </w:r>
                </w:p>
              </w:tc>
              <w:tc>
                <w:tcPr>
                  <w:tcW w:w="439" w:type="pct"/>
                  <w:vMerge w:val="continue"/>
                  <w:tcBorders>
                    <w:tl2br w:val="nil"/>
                    <w:tr2bl w:val="nil"/>
                  </w:tcBorders>
                  <w:vAlign w:val="center"/>
                </w:tcPr>
                <w:p w14:paraId="171C0B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0"/>
                      <w:sz w:val="18"/>
                      <w:szCs w:val="18"/>
                    </w:rPr>
                  </w:pPr>
                </w:p>
              </w:tc>
              <w:tc>
                <w:tcPr>
                  <w:tcW w:w="748" w:type="pct"/>
                  <w:tcBorders>
                    <w:tl2br w:val="nil"/>
                    <w:tr2bl w:val="nil"/>
                  </w:tcBorders>
                  <w:vAlign w:val="center"/>
                </w:tcPr>
                <w:p w14:paraId="114A9E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Theme="minorEastAsia"/>
                      <w:snapToGrid w:val="0"/>
                      <w:color w:val="auto"/>
                      <w:kern w:val="0"/>
                      <w:sz w:val="18"/>
                      <w:szCs w:val="18"/>
                    </w:rPr>
                  </w:pPr>
                  <w:r>
                    <w:rPr>
                      <w:rFonts w:hint="eastAsia" w:eastAsiaTheme="minorEastAsia"/>
                      <w:color w:val="auto"/>
                      <w:sz w:val="18"/>
                      <w:szCs w:val="18"/>
                    </w:rPr>
                    <w:t>841-001-01</w:t>
                  </w:r>
                </w:p>
              </w:tc>
              <w:tc>
                <w:tcPr>
                  <w:tcW w:w="680" w:type="pct"/>
                  <w:vMerge w:val="continue"/>
                  <w:tcBorders>
                    <w:tl2br w:val="nil"/>
                    <w:tr2bl w:val="nil"/>
                  </w:tcBorders>
                  <w:vAlign w:val="center"/>
                </w:tcPr>
                <w:p w14:paraId="0EB80D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kern w:val="0"/>
                      <w:sz w:val="18"/>
                      <w:szCs w:val="18"/>
                    </w:rPr>
                  </w:pPr>
                </w:p>
              </w:tc>
              <w:tc>
                <w:tcPr>
                  <w:tcW w:w="446" w:type="pct"/>
                  <w:vMerge w:val="continue"/>
                  <w:tcBorders>
                    <w:tl2br w:val="nil"/>
                    <w:tr2bl w:val="nil"/>
                  </w:tcBorders>
                  <w:vAlign w:val="center"/>
                </w:tcPr>
                <w:p w14:paraId="445D8C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341" w:type="pct"/>
                  <w:vMerge w:val="continue"/>
                  <w:tcBorders>
                    <w:tl2br w:val="nil"/>
                    <w:tr2bl w:val="nil"/>
                  </w:tcBorders>
                  <w:vAlign w:val="center"/>
                </w:tcPr>
                <w:p w14:paraId="64395D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498" w:type="pct"/>
                  <w:vMerge w:val="continue"/>
                  <w:tcBorders>
                    <w:tl2br w:val="nil"/>
                    <w:tr2bl w:val="nil"/>
                  </w:tcBorders>
                  <w:vAlign w:val="center"/>
                </w:tcPr>
                <w:p w14:paraId="08542A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296" w:type="pct"/>
                  <w:vMerge w:val="continue"/>
                  <w:tcBorders>
                    <w:tl2br w:val="nil"/>
                    <w:tr2bl w:val="nil"/>
                  </w:tcBorders>
                  <w:vAlign w:val="center"/>
                </w:tcPr>
                <w:p w14:paraId="6E3CD5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r>
            <w:tr w14:paraId="2F3C3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2" w:type="pct"/>
                  <w:tcBorders>
                    <w:tl2br w:val="nil"/>
                    <w:tr2bl w:val="nil"/>
                  </w:tcBorders>
                  <w:vAlign w:val="center"/>
                </w:tcPr>
                <w:p w14:paraId="4C1235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lang w:eastAsia="zh-CN"/>
                    </w:rPr>
                  </w:pPr>
                  <w:r>
                    <w:rPr>
                      <w:rFonts w:hint="eastAsia" w:eastAsiaTheme="minorEastAsia"/>
                      <w:snapToGrid w:val="0"/>
                      <w:color w:val="auto"/>
                      <w:kern w:val="24"/>
                      <w:sz w:val="18"/>
                      <w:szCs w:val="18"/>
                      <w:lang w:val="en-US" w:eastAsia="zh-CN"/>
                    </w:rPr>
                    <w:t>7</w:t>
                  </w:r>
                </w:p>
              </w:tc>
              <w:tc>
                <w:tcPr>
                  <w:tcW w:w="485" w:type="pct"/>
                  <w:vMerge w:val="continue"/>
                  <w:tcBorders>
                    <w:tl2br w:val="nil"/>
                    <w:tr2bl w:val="nil"/>
                  </w:tcBorders>
                  <w:vAlign w:val="center"/>
                </w:tcPr>
                <w:p w14:paraId="598E1B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770" w:type="pct"/>
                  <w:tcBorders>
                    <w:tl2br w:val="nil"/>
                    <w:tr2bl w:val="nil"/>
                  </w:tcBorders>
                  <w:vAlign w:val="center"/>
                </w:tcPr>
                <w:p w14:paraId="27E301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bCs/>
                      <w:color w:val="auto"/>
                      <w:sz w:val="18"/>
                      <w:szCs w:val="18"/>
                      <w:lang w:eastAsia="zh-CN"/>
                    </w:rPr>
                  </w:pPr>
                  <w:r>
                    <w:rPr>
                      <w:rFonts w:hint="eastAsia" w:eastAsiaTheme="minorEastAsia"/>
                      <w:bCs/>
                      <w:color w:val="auto"/>
                      <w:sz w:val="18"/>
                      <w:szCs w:val="18"/>
                      <w:lang w:eastAsia="zh-CN"/>
                    </w:rPr>
                    <w:t>废活性炭</w:t>
                  </w:r>
                </w:p>
              </w:tc>
              <w:tc>
                <w:tcPr>
                  <w:tcW w:w="439" w:type="pct"/>
                  <w:tcBorders>
                    <w:tl2br w:val="nil"/>
                    <w:tr2bl w:val="nil"/>
                  </w:tcBorders>
                  <w:vAlign w:val="center"/>
                </w:tcPr>
                <w:p w14:paraId="39313A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default" w:eastAsiaTheme="minorEastAsia"/>
                      <w:snapToGrid w:val="0"/>
                      <w:color w:val="auto"/>
                      <w:kern w:val="0"/>
                      <w:sz w:val="18"/>
                      <w:szCs w:val="18"/>
                      <w:lang w:val="en-US" w:eastAsia="zh-CN"/>
                    </w:rPr>
                  </w:pPr>
                  <w:r>
                    <w:rPr>
                      <w:rFonts w:hint="eastAsia" w:eastAsiaTheme="minorEastAsia"/>
                      <w:snapToGrid w:val="0"/>
                      <w:color w:val="auto"/>
                      <w:kern w:val="0"/>
                      <w:sz w:val="18"/>
                      <w:szCs w:val="18"/>
                    </w:rPr>
                    <w:t>HW</w:t>
                  </w:r>
                  <w:r>
                    <w:rPr>
                      <w:rFonts w:hint="eastAsia" w:eastAsiaTheme="minorEastAsia"/>
                      <w:snapToGrid w:val="0"/>
                      <w:color w:val="auto"/>
                      <w:kern w:val="0"/>
                      <w:sz w:val="18"/>
                      <w:szCs w:val="18"/>
                      <w:lang w:val="en-US" w:eastAsia="zh-CN"/>
                    </w:rPr>
                    <w:t>49</w:t>
                  </w:r>
                </w:p>
              </w:tc>
              <w:tc>
                <w:tcPr>
                  <w:tcW w:w="748" w:type="pct"/>
                  <w:tcBorders>
                    <w:tl2br w:val="nil"/>
                    <w:tr2bl w:val="nil"/>
                  </w:tcBorders>
                  <w:vAlign w:val="center"/>
                </w:tcPr>
                <w:p w14:paraId="2E033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Theme="minorEastAsia"/>
                      <w:snapToGrid w:val="0"/>
                      <w:color w:val="auto"/>
                      <w:kern w:val="0"/>
                      <w:sz w:val="18"/>
                      <w:szCs w:val="18"/>
                      <w:lang w:val="en-US" w:eastAsia="zh-CN"/>
                    </w:rPr>
                  </w:pPr>
                  <w:r>
                    <w:rPr>
                      <w:rFonts w:hint="eastAsia" w:eastAsiaTheme="minorEastAsia"/>
                      <w:snapToGrid w:val="0"/>
                      <w:color w:val="auto"/>
                      <w:kern w:val="0"/>
                      <w:sz w:val="18"/>
                      <w:szCs w:val="18"/>
                      <w:lang w:val="en-US" w:eastAsia="zh-CN"/>
                    </w:rPr>
                    <w:t>900-039-49</w:t>
                  </w:r>
                </w:p>
              </w:tc>
              <w:tc>
                <w:tcPr>
                  <w:tcW w:w="680" w:type="pct"/>
                  <w:vMerge w:val="continue"/>
                  <w:tcBorders>
                    <w:tl2br w:val="nil"/>
                    <w:tr2bl w:val="nil"/>
                  </w:tcBorders>
                  <w:vAlign w:val="center"/>
                </w:tcPr>
                <w:p w14:paraId="405AFE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kern w:val="0"/>
                      <w:sz w:val="18"/>
                      <w:szCs w:val="18"/>
                    </w:rPr>
                  </w:pPr>
                </w:p>
              </w:tc>
              <w:tc>
                <w:tcPr>
                  <w:tcW w:w="446" w:type="pct"/>
                  <w:vMerge w:val="continue"/>
                  <w:tcBorders>
                    <w:tl2br w:val="nil"/>
                    <w:tr2bl w:val="nil"/>
                  </w:tcBorders>
                  <w:vAlign w:val="center"/>
                </w:tcPr>
                <w:p w14:paraId="7234E5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341" w:type="pct"/>
                  <w:vMerge w:val="continue"/>
                  <w:tcBorders>
                    <w:tl2br w:val="nil"/>
                    <w:tr2bl w:val="nil"/>
                  </w:tcBorders>
                  <w:vAlign w:val="center"/>
                </w:tcPr>
                <w:p w14:paraId="19F30D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rPr>
                  </w:pPr>
                </w:p>
              </w:tc>
              <w:tc>
                <w:tcPr>
                  <w:tcW w:w="498" w:type="pct"/>
                  <w:vMerge w:val="continue"/>
                  <w:tcBorders>
                    <w:tl2br w:val="nil"/>
                    <w:tr2bl w:val="nil"/>
                  </w:tcBorders>
                  <w:vAlign w:val="center"/>
                </w:tcPr>
                <w:p w14:paraId="035909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color w:val="auto"/>
                      <w:sz w:val="18"/>
                      <w:szCs w:val="18"/>
                    </w:rPr>
                  </w:pPr>
                </w:p>
              </w:tc>
              <w:tc>
                <w:tcPr>
                  <w:tcW w:w="296" w:type="pct"/>
                  <w:tcBorders>
                    <w:tl2br w:val="nil"/>
                    <w:tr2bl w:val="nil"/>
                  </w:tcBorders>
                  <w:vAlign w:val="center"/>
                </w:tcPr>
                <w:p w14:paraId="057371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firstLine="0" w:firstLineChars="0"/>
                    <w:jc w:val="center"/>
                    <w:textAlignment w:val="auto"/>
                    <w:rPr>
                      <w:rFonts w:hint="eastAsia" w:eastAsiaTheme="minorEastAsia"/>
                      <w:snapToGrid w:val="0"/>
                      <w:color w:val="auto"/>
                      <w:kern w:val="24"/>
                      <w:sz w:val="18"/>
                      <w:szCs w:val="18"/>
                      <w:lang w:val="en-US" w:eastAsia="zh-CN"/>
                    </w:rPr>
                  </w:pPr>
                  <w:r>
                    <w:rPr>
                      <w:rFonts w:hint="eastAsia" w:eastAsiaTheme="minorEastAsia"/>
                      <w:snapToGrid w:val="0"/>
                      <w:color w:val="auto"/>
                      <w:kern w:val="24"/>
                      <w:sz w:val="18"/>
                      <w:szCs w:val="18"/>
                      <w:lang w:val="en-US" w:eastAsia="zh-CN"/>
                    </w:rPr>
                    <w:t>2个月</w:t>
                  </w:r>
                </w:p>
              </w:tc>
            </w:tr>
          </w:tbl>
          <w:p w14:paraId="0198C555">
            <w:pPr>
              <w:keepNext w:val="0"/>
              <w:keepLines w:val="0"/>
              <w:suppressLineNumbers w:val="0"/>
              <w:spacing w:before="0" w:beforeAutospacing="0" w:after="0" w:afterAutospacing="0" w:line="360" w:lineRule="auto"/>
              <w:ind w:left="0" w:right="0" w:firstLine="480" w:firstLineChars="200"/>
              <w:rPr>
                <w:rFonts w:hint="eastAsia" w:eastAsiaTheme="minorEastAsia"/>
                <w:color w:val="auto"/>
                <w:lang w:eastAsia="zh-CN"/>
              </w:rPr>
            </w:pPr>
            <w:r>
              <w:rPr>
                <w:rFonts w:hint="eastAsia" w:eastAsiaTheme="minorEastAsia"/>
                <w:color w:val="auto"/>
                <w:lang w:eastAsia="zh-CN"/>
              </w:rPr>
              <w:t>依托可行性分析：根据《涟水县人民医院门诊住院一体化感染楼建设项目环境影响报告表》，该项目危废</w:t>
            </w:r>
            <w:r>
              <w:rPr>
                <w:rFonts w:hint="eastAsia" w:eastAsiaTheme="minorEastAsia"/>
                <w:color w:val="auto"/>
                <w:lang w:val="en-US" w:eastAsia="zh-CN"/>
              </w:rPr>
              <w:t>5.952t/a，贮存在</w:t>
            </w:r>
            <w:r>
              <w:rPr>
                <w:rFonts w:hint="eastAsia" w:eastAsiaTheme="minorEastAsia"/>
                <w:color w:val="auto"/>
                <w:szCs w:val="21"/>
                <w:lang w:val="en-US" w:eastAsia="zh-CN"/>
              </w:rPr>
              <w:t>35m</w:t>
            </w:r>
            <w:r>
              <w:rPr>
                <w:rFonts w:hint="eastAsia" w:eastAsiaTheme="minorEastAsia"/>
                <w:color w:val="auto"/>
                <w:szCs w:val="21"/>
                <w:vertAlign w:val="superscript"/>
                <w:lang w:val="en-US" w:eastAsia="zh-CN"/>
              </w:rPr>
              <w:t>2</w:t>
            </w:r>
            <w:r>
              <w:rPr>
                <w:rFonts w:hint="eastAsia" w:eastAsiaTheme="minorEastAsia"/>
                <w:color w:val="auto"/>
                <w:szCs w:val="21"/>
                <w:lang w:val="en-US" w:eastAsia="zh-CN"/>
              </w:rPr>
              <w:t>医疗废物贮存间（2#），危废按照2天转运一次，则最大暂存量0.04t（所需面积0.04m</w:t>
            </w:r>
            <w:r>
              <w:rPr>
                <w:rFonts w:hint="eastAsia" w:eastAsiaTheme="minorEastAsia"/>
                <w:color w:val="auto"/>
                <w:szCs w:val="21"/>
                <w:vertAlign w:val="superscript"/>
                <w:lang w:val="en-US" w:eastAsia="zh-CN"/>
              </w:rPr>
              <w:t>2</w:t>
            </w:r>
            <w:r>
              <w:rPr>
                <w:rFonts w:hint="eastAsia" w:eastAsiaTheme="minorEastAsia"/>
                <w:color w:val="auto"/>
                <w:szCs w:val="21"/>
                <w:lang w:val="en-US" w:eastAsia="zh-CN"/>
              </w:rPr>
              <w:t>）</w:t>
            </w:r>
            <w:r>
              <w:rPr>
                <w:rFonts w:hint="eastAsia" w:eastAsiaTheme="minorEastAsia"/>
                <w:color w:val="auto"/>
                <w:szCs w:val="21"/>
                <w:vertAlign w:val="baseline"/>
                <w:lang w:val="en-US" w:eastAsia="zh-CN"/>
              </w:rPr>
              <w:t>，剩余暂存能力34.96</w:t>
            </w:r>
            <w:r>
              <w:rPr>
                <w:rFonts w:hint="eastAsia" w:eastAsiaTheme="minorEastAsia"/>
                <w:color w:val="auto"/>
                <w:szCs w:val="21"/>
                <w:lang w:val="en-US" w:eastAsia="zh-CN"/>
              </w:rPr>
              <w:t>m</w:t>
            </w:r>
            <w:r>
              <w:rPr>
                <w:rFonts w:hint="eastAsia" w:eastAsiaTheme="minorEastAsia"/>
                <w:color w:val="auto"/>
                <w:szCs w:val="21"/>
                <w:vertAlign w:val="superscript"/>
                <w:lang w:val="en-US" w:eastAsia="zh-CN"/>
              </w:rPr>
              <w:t>2</w:t>
            </w:r>
            <w:r>
              <w:rPr>
                <w:rFonts w:hint="eastAsia" w:eastAsiaTheme="minorEastAsia"/>
                <w:color w:val="auto"/>
                <w:szCs w:val="21"/>
                <w:vertAlign w:val="baseline"/>
                <w:lang w:val="en-US" w:eastAsia="zh-CN"/>
              </w:rPr>
              <w:t>，完全满足本项目危废暂存的需要</w:t>
            </w:r>
            <w:r>
              <w:rPr>
                <w:rFonts w:hint="eastAsia" w:eastAsiaTheme="minorEastAsia"/>
                <w:color w:val="auto"/>
                <w:lang w:eastAsia="zh-CN"/>
              </w:rPr>
              <w:t>。</w:t>
            </w:r>
          </w:p>
          <w:p w14:paraId="5F852288">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4）交接要求</w:t>
            </w:r>
          </w:p>
          <w:p w14:paraId="1F9FF20C">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本项目医疗废物委托具有医疗废物处理处置资质的单位收集处理，医疗废物交接依照《危险废物转移联单管理办法》的相关规定，执行危险废物转移联单管理制度。</w:t>
            </w:r>
          </w:p>
          <w:p w14:paraId="6FACDB77">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a.医疗废物运送人员在接收医疗废物时，应外观检查本院是否按规定进行包装、标识，并盛装于周转箱内。不得打开包装袋取出医疗废物。对包装破损、包装外表污染或未盛装于周转箱内的医疗废物，医疗</w:t>
            </w:r>
            <w:r>
              <w:rPr>
                <w:rFonts w:hint="eastAsia" w:eastAsiaTheme="minorEastAsia"/>
                <w:color w:val="auto"/>
                <w:lang w:eastAsia="zh-CN"/>
              </w:rPr>
              <w:t>废物</w:t>
            </w:r>
            <w:r>
              <w:rPr>
                <w:rFonts w:hint="eastAsia" w:eastAsiaTheme="minorEastAsia"/>
                <w:color w:val="auto"/>
              </w:rPr>
              <w:t>运送人员应当要求院方重新包装、标识，并盛装于周转箱内。拒不按规定对医疗废物进行包装的，运送人员有权拒绝运送，并向当地环保部门报告。</w:t>
            </w:r>
          </w:p>
          <w:p w14:paraId="1E197BA5">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b.院方交子处置的废物采用危险废物转移联单管理。由环保部门对医疗废物转移计划进行审批。转移计划批准后，医疗废物产生单位和处置单位的日常医疗废物交接可采用简化的《危险废物转移联单》</w:t>
            </w:r>
            <w:r>
              <w:rPr>
                <w:rFonts w:hint="eastAsia" w:eastAsiaTheme="minorEastAsia"/>
                <w:color w:val="auto"/>
                <w:lang w:eastAsia="zh-CN"/>
              </w:rPr>
              <w:t>（</w:t>
            </w:r>
            <w:r>
              <w:rPr>
                <w:rFonts w:hint="eastAsia" w:eastAsiaTheme="minorEastAsia"/>
                <w:color w:val="auto"/>
              </w:rPr>
              <w:t>医疗废物专用</w:t>
            </w:r>
            <w:r>
              <w:rPr>
                <w:rFonts w:hint="eastAsia" w:eastAsiaTheme="minorEastAsia"/>
                <w:color w:val="auto"/>
                <w:lang w:eastAsia="zh-CN"/>
              </w:rPr>
              <w:t>）</w:t>
            </w:r>
            <w:r>
              <w:rPr>
                <w:rFonts w:hint="eastAsia" w:eastAsiaTheme="minorEastAsia"/>
                <w:color w:val="auto"/>
              </w:rPr>
              <w:t>。在院方、处置单位及运送方式变化后，应对医疗废物转移计划进行重新审批。</w:t>
            </w:r>
          </w:p>
          <w:p w14:paraId="72C35DBB">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c.《危险废物转移联单》（医疗废物专用）一式两份，每月一张，由处置单位医疗废物运送人员和院方医疗废物管理人员交接时共同填写，院方和处置单位分别保存，保存时间为5年。</w:t>
            </w:r>
          </w:p>
          <w:p w14:paraId="0212187F">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d.每车每次运送的医疗废物采用《医疗废物运送登记卡》管理，一车一卡，由院方医疗废物管理人员交接时填写并签字。</w:t>
            </w:r>
          </w:p>
          <w:p w14:paraId="5A3A3586">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5）运输要求</w:t>
            </w:r>
          </w:p>
          <w:p w14:paraId="3CA16A0E">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医疗废物运送使用专用车辆，并严格按照约定时间进行清运。车辆厢体应与驾驶室</w:t>
            </w:r>
            <w:r>
              <w:rPr>
                <w:rFonts w:hint="eastAsia" w:eastAsiaTheme="minorEastAsia"/>
                <w:color w:val="auto"/>
                <w:lang w:eastAsia="zh-CN"/>
              </w:rPr>
              <w:t>分离</w:t>
            </w:r>
            <w:r>
              <w:rPr>
                <w:rFonts w:hint="eastAsia" w:eastAsiaTheme="minorEastAsia"/>
                <w:color w:val="auto"/>
              </w:rPr>
              <w:t>并密闭：厢体达到气密性要求，内壁光滑平整，易于清洗消毒：厢体材料防水、耐腐蚀：厢体底部防液体渗漏，并设运输车辆清洗污水排水收集装置。即运送车辆应符合《医疗废物转运车技术要求（试行）》</w:t>
            </w:r>
            <w:r>
              <w:rPr>
                <w:rFonts w:hint="eastAsia" w:eastAsiaTheme="minorEastAsia"/>
                <w:color w:val="auto"/>
                <w:lang w:eastAsia="zh-CN"/>
              </w:rPr>
              <w:t>（</w:t>
            </w:r>
            <w:r>
              <w:rPr>
                <w:rFonts w:hint="eastAsia" w:eastAsiaTheme="minorEastAsia"/>
                <w:color w:val="auto"/>
              </w:rPr>
              <w:t>GB19217-2003）。</w:t>
            </w:r>
          </w:p>
          <w:p w14:paraId="6A2225F6">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运送车辆应配备：《危险废物转移联单》（医疗废物专用</w:t>
            </w:r>
            <w:r>
              <w:rPr>
                <w:rFonts w:hint="eastAsia" w:eastAsiaTheme="minorEastAsia"/>
                <w:color w:val="auto"/>
                <w:lang w:eastAsia="zh-CN"/>
              </w:rPr>
              <w:t>）</w:t>
            </w:r>
            <w:r>
              <w:rPr>
                <w:rFonts w:hint="eastAsia" w:eastAsiaTheme="minorEastAsia"/>
                <w:color w:val="auto"/>
              </w:rPr>
              <w:t>、《医疗废物运送登记卡》运送路线图、通讯设备、医疗废物产生单位及其管理人员名单与电话号码、事故应急预案及联络单位和人员的名单、电话号码、收集医疗废物的工具、消毒器具与药品、备用的医疗废物专用袋和利器盒、备用的人员防护用品。</w:t>
            </w:r>
          </w:p>
          <w:p w14:paraId="21069F8D">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明确医疗废物运输路线，制定的医疗废物运输路线图应非顾安全性和经济性，运输路线尽量避开人口密集区域和交通拥堵道路及水源附近的道路。禁止通过水路输送医疗废物。</w:t>
            </w:r>
          </w:p>
          <w:p w14:paraId="1ED85100">
            <w:pPr>
              <w:keepNext w:val="0"/>
              <w:keepLines w:val="0"/>
              <w:suppressLineNumbers w:val="0"/>
              <w:spacing w:before="0" w:beforeAutospacing="0" w:after="0" w:afterAutospacing="0" w:line="360" w:lineRule="auto"/>
              <w:ind w:left="0" w:right="0" w:firstLine="480" w:firstLineChars="200"/>
              <w:rPr>
                <w:rFonts w:hint="eastAsia" w:eastAsiaTheme="minorEastAsia"/>
                <w:color w:val="auto"/>
              </w:rPr>
            </w:pPr>
            <w:r>
              <w:rPr>
                <w:rFonts w:hint="eastAsia" w:eastAsiaTheme="minorEastAsia"/>
                <w:color w:val="auto"/>
              </w:rPr>
              <w:t>本项目医疗废物暂存间位于医院西北角，运输路线避开院内人群流向。生活垃圾与医疗废物错时转运</w:t>
            </w:r>
          </w:p>
          <w:p w14:paraId="2589583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auto"/>
                <w:sz w:val="24"/>
              </w:rPr>
            </w:pPr>
            <w:r>
              <w:rPr>
                <w:rFonts w:hint="eastAsia" w:eastAsiaTheme="minorEastAsia"/>
                <w:color w:val="auto"/>
              </w:rPr>
              <w:t>综上所述，建设项目所产生的固体废物通过以上方法处理处置后，将不会对周围的环境产生影响，但院内的堆放、贮存场所应按照国家固体废物贮存有关要求设置，在院区内设置专门的区域作为固废堆放场地，树立显著的标志，由专门的人员进行管理，避免其对周围环境产生二次污染，采取上述措施后，建设项目产生的固废经妥善处理、处置后，可以实现零排放，对周围环境影响很小。</w:t>
            </w:r>
          </w:p>
          <w:p w14:paraId="1C4E10F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eastAsia" w:eastAsia="宋体"/>
                <w:color w:val="auto"/>
                <w:sz w:val="24"/>
                <w:lang w:val="en-US" w:eastAsia="zh-CN"/>
              </w:rPr>
            </w:pPr>
            <w:r>
              <w:rPr>
                <w:rFonts w:hint="eastAsia"/>
                <w:color w:val="auto"/>
                <w:sz w:val="24"/>
                <w:lang w:val="en-US" w:eastAsia="zh-CN"/>
              </w:rPr>
              <w:t>6）其他要求</w:t>
            </w:r>
          </w:p>
          <w:p w14:paraId="587821E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auto"/>
                <w:sz w:val="24"/>
              </w:rPr>
            </w:pPr>
            <w:r>
              <w:rPr>
                <w:rFonts w:hint="default"/>
                <w:color w:val="auto"/>
                <w:sz w:val="24"/>
              </w:rPr>
              <w:t>危险废物贮存作为危险废物产生和利用处置的中间环节，在危险废物全过程监管中具有重要意义。根据《省生态环境厅关于印发江苏省危险废物贮存规范化管理专项整治</w:t>
            </w:r>
            <w:r>
              <w:rPr>
                <w:rFonts w:hint="default"/>
                <w:color w:val="auto"/>
                <w:spacing w:val="-2"/>
                <w:sz w:val="24"/>
              </w:rPr>
              <w:t>行动方案的通知》（苏环办〔2019〕149号</w:t>
            </w:r>
            <w:r>
              <w:rPr>
                <w:rFonts w:hint="default"/>
                <w:color w:val="auto"/>
                <w:spacing w:val="-1"/>
                <w:sz w:val="24"/>
              </w:rPr>
              <w:t>）及《省生态环境厅关于做好江苏省危险废物</w:t>
            </w:r>
            <w:r>
              <w:rPr>
                <w:rFonts w:hint="default"/>
                <w:color w:val="auto"/>
                <w:spacing w:val="-2"/>
                <w:sz w:val="24"/>
              </w:rPr>
              <w:t>全生命周期监控系统上线运行工作的通知》</w:t>
            </w:r>
            <w:r>
              <w:rPr>
                <w:rFonts w:hint="default"/>
                <w:color w:val="auto"/>
                <w:spacing w:val="-1"/>
                <w:sz w:val="24"/>
              </w:rPr>
              <w:t>（苏环办〔2020〕401号）</w:t>
            </w:r>
            <w:r>
              <w:rPr>
                <w:rFonts w:hint="default"/>
                <w:color w:val="auto"/>
                <w:sz w:val="24"/>
              </w:rPr>
              <w:t>、《危险废物贮存污染控制标准》（GB18597-2023）</w:t>
            </w:r>
            <w:r>
              <w:rPr>
                <w:rFonts w:hint="default"/>
                <w:color w:val="auto"/>
                <w:spacing w:val="-1"/>
                <w:sz w:val="24"/>
              </w:rPr>
              <w:t>要求，危险废物产</w:t>
            </w:r>
            <w:r>
              <w:rPr>
                <w:rFonts w:hint="default"/>
                <w:color w:val="auto"/>
                <w:sz w:val="24"/>
              </w:rPr>
              <w:t>生单位和经营单位均应在关键位置设置在线视频监控。在视频监控系统管理上，企业指</w:t>
            </w:r>
            <w:r>
              <w:rPr>
                <w:rFonts w:hint="default"/>
                <w:color w:val="auto"/>
                <w:spacing w:val="-2"/>
                <w:sz w:val="24"/>
              </w:rPr>
              <w:t>定专人专职维护视频监控设施运行，定期巡视并做好相应的监控运行、维修、使用记录，</w:t>
            </w:r>
            <w:r>
              <w:rPr>
                <w:rFonts w:hint="default"/>
                <w:color w:val="auto"/>
                <w:sz w:val="24"/>
              </w:rPr>
              <w:t>保持摄像头表面整洁干净、监控拍摄位置正确、监控设施完好无损，确保视频传输图像清晰、监控设备正常稳定运行。视频记录保存时间至少为3个月。因维修、更换等原因导致监控设备不能正常运行的，应采取人工摄像等应急措施，确保视频监控不间断。</w:t>
            </w:r>
          </w:p>
          <w:p w14:paraId="42CCC7AA">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ind w:left="0" w:leftChars="0" w:right="0" w:firstLine="482" w:firstLineChars="200"/>
              <w:textAlignment w:val="auto"/>
              <w:rPr>
                <w:rFonts w:hint="default"/>
                <w:b/>
                <w:bCs/>
                <w:color w:val="auto"/>
                <w:lang w:val="en-US" w:eastAsia="zh-CN"/>
              </w:rPr>
            </w:pPr>
            <w:r>
              <w:rPr>
                <w:rFonts w:hint="eastAsia"/>
                <w:b/>
                <w:bCs/>
                <w:color w:val="auto"/>
                <w:lang w:val="en-US" w:eastAsia="zh-CN"/>
              </w:rPr>
              <w:t>地下水、土壤</w:t>
            </w:r>
          </w:p>
          <w:p w14:paraId="59E698A2">
            <w:pPr>
              <w:keepNext w:val="0"/>
              <w:keepLines w:val="0"/>
              <w:suppressLineNumbers w:val="0"/>
              <w:spacing w:before="0" w:beforeAutospacing="0" w:after="0" w:afterAutospacing="0"/>
              <w:ind w:left="0" w:right="0" w:firstLine="482"/>
              <w:rPr>
                <w:rFonts w:hint="eastAsia"/>
                <w:b/>
                <w:bCs/>
                <w:color w:val="auto"/>
              </w:rPr>
            </w:pPr>
            <w:r>
              <w:rPr>
                <w:rFonts w:hint="eastAsia"/>
                <w:b/>
                <w:bCs/>
                <w:color w:val="auto"/>
              </w:rPr>
              <w:t>5.1 地下水、土壤环境影响分析</w:t>
            </w:r>
          </w:p>
          <w:p w14:paraId="58CB3A6C">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firstLine="482" w:firstLineChars="200"/>
              <w:textAlignment w:val="auto"/>
              <w:rPr>
                <w:rFonts w:hint="eastAsia"/>
                <w:b/>
                <w:color w:val="auto"/>
                <w:sz w:val="24"/>
                <w:highlight w:val="none"/>
              </w:rPr>
            </w:pPr>
            <w:r>
              <w:rPr>
                <w:rFonts w:hint="eastAsia"/>
                <w:b/>
                <w:color w:val="auto"/>
                <w:sz w:val="24"/>
                <w:highlight w:val="none"/>
              </w:rPr>
              <w:t>1、污染源及污染途径</w:t>
            </w:r>
          </w:p>
          <w:p w14:paraId="47ED91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color w:val="auto"/>
                <w:sz w:val="24"/>
                <w:highlight w:val="none"/>
                <w:lang w:val="en-US" w:eastAsia="zh-CN"/>
              </w:rPr>
            </w:pPr>
            <w:r>
              <w:rPr>
                <w:rFonts w:hint="eastAsia"/>
                <w:color w:val="auto"/>
                <w:sz w:val="24"/>
                <w:highlight w:val="none"/>
                <w:lang w:val="en-US" w:eastAsia="zh-CN"/>
              </w:rPr>
              <w:t>本项目为医学检验实验室项目，项目运行过程中会产生实验废液/废物、污水处理站污泥、废活性炭等危险废物，若管控不当泄露会对地下水及土壤造成影响。本项目实验室按照实验室标准规范严格建设，实验区地面进行防腐防渗，且实验室配套化学品采用专柜贮存</w:t>
            </w:r>
            <w:r>
              <w:rPr>
                <w:rFonts w:hint="eastAsia" w:ascii="宋体" w:hAnsi="宋体" w:eastAsia="宋体" w:cs="宋体"/>
                <w:color w:val="auto"/>
                <w:kern w:val="0"/>
                <w:sz w:val="24"/>
                <w:szCs w:val="24"/>
                <w:highlight w:val="none"/>
                <w:lang w:val="en-US" w:eastAsia="zh-CN" w:bidi="ar"/>
              </w:rPr>
              <w:t>、危险废物暂存间采用水泥硬化</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防渗层</w:t>
            </w:r>
            <w:r>
              <w:rPr>
                <w:rFonts w:hint="eastAsia" w:ascii="宋体" w:hAnsi="宋体" w:cs="宋体"/>
                <w:color w:val="auto"/>
                <w:kern w:val="0"/>
                <w:sz w:val="24"/>
                <w:szCs w:val="24"/>
                <w:highlight w:val="none"/>
                <w:lang w:val="en-US" w:eastAsia="zh-CN" w:bidi="ar"/>
              </w:rPr>
              <w:t>；依托的污水处理站已进行重点防渗</w:t>
            </w:r>
            <w:r>
              <w:rPr>
                <w:rFonts w:hint="eastAsia" w:ascii="宋体" w:hAnsi="宋体" w:eastAsia="宋体" w:cs="宋体"/>
                <w:color w:val="auto"/>
                <w:kern w:val="0"/>
                <w:sz w:val="24"/>
                <w:szCs w:val="24"/>
                <w:highlight w:val="none"/>
                <w:lang w:val="en-US" w:eastAsia="zh-CN" w:bidi="ar"/>
              </w:rPr>
              <w:t>；项目从末端控制方面防止对地下水和土壤造成污染，基本上阻断了地下水和土壤污染途径。</w:t>
            </w:r>
          </w:p>
          <w:p w14:paraId="6F912CDE">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firstLine="482" w:firstLineChars="200"/>
              <w:jc w:val="left"/>
              <w:textAlignment w:val="auto"/>
              <w:rPr>
                <w:rFonts w:hint="eastAsia"/>
                <w:b/>
                <w:color w:val="auto"/>
                <w:sz w:val="24"/>
                <w:highlight w:val="none"/>
              </w:rPr>
            </w:pPr>
            <w:r>
              <w:rPr>
                <w:rFonts w:hint="eastAsia"/>
                <w:b/>
                <w:color w:val="auto"/>
                <w:sz w:val="24"/>
                <w:highlight w:val="none"/>
              </w:rPr>
              <w:t>2、污染防治措施</w:t>
            </w:r>
          </w:p>
          <w:p w14:paraId="7E446311">
            <w:pPr>
              <w:keepNext/>
              <w:keepLines/>
              <w:pageBreakBefore w:val="0"/>
              <w:widowControl w:val="0"/>
              <w:suppressLineNumbers w:val="0"/>
              <w:kinsoku/>
              <w:wordWrap/>
              <w:overflowPunct/>
              <w:topLinePunct w:val="0"/>
              <w:bidi w:val="0"/>
              <w:snapToGrid/>
              <w:spacing w:before="0" w:beforeAutospacing="0" w:after="0" w:afterAutospacing="0" w:line="440" w:lineRule="exact"/>
              <w:ind w:left="0" w:right="0" w:firstLine="480" w:firstLineChars="200"/>
              <w:textAlignment w:val="auto"/>
              <w:outlineLvl w:val="2"/>
              <w:rPr>
                <w:rFonts w:hint="eastAsia"/>
                <w:color w:val="auto"/>
                <w:sz w:val="24"/>
                <w:szCs w:val="32"/>
                <w:highlight w:val="none"/>
              </w:rPr>
            </w:pPr>
            <w:r>
              <w:rPr>
                <w:rFonts w:hint="eastAsia"/>
                <w:color w:val="auto"/>
                <w:sz w:val="24"/>
                <w:szCs w:val="32"/>
                <w:highlight w:val="none"/>
              </w:rPr>
              <w:t>（1）源头控制措施</w:t>
            </w:r>
          </w:p>
          <w:p w14:paraId="604DE206">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firstLine="480" w:firstLineChars="200"/>
              <w:textAlignment w:val="auto"/>
              <w:rPr>
                <w:rFonts w:hint="eastAsia"/>
                <w:color w:val="auto"/>
                <w:sz w:val="24"/>
                <w:highlight w:val="none"/>
              </w:rPr>
            </w:pPr>
            <w:r>
              <w:rPr>
                <w:rFonts w:hint="eastAsia"/>
                <w:color w:val="auto"/>
                <w:sz w:val="24"/>
                <w:highlight w:val="none"/>
              </w:rPr>
              <w:t>严格按照国家相关规范要求，在物料运输、贮存、使用等各个环节，加强“跑冒滴漏”管理，降低物质泄漏和污染土壤环境的隐患。</w:t>
            </w:r>
          </w:p>
          <w:p w14:paraId="4E8ACE98">
            <w:pPr>
              <w:keepNext/>
              <w:keepLines/>
              <w:pageBreakBefore w:val="0"/>
              <w:widowControl w:val="0"/>
              <w:suppressLineNumbers w:val="0"/>
              <w:kinsoku/>
              <w:wordWrap/>
              <w:overflowPunct/>
              <w:topLinePunct w:val="0"/>
              <w:bidi w:val="0"/>
              <w:snapToGrid/>
              <w:spacing w:before="0" w:beforeAutospacing="0" w:after="0" w:afterAutospacing="0" w:line="440" w:lineRule="exact"/>
              <w:ind w:left="0" w:right="0" w:firstLine="480" w:firstLineChars="200"/>
              <w:textAlignment w:val="auto"/>
              <w:outlineLvl w:val="2"/>
              <w:rPr>
                <w:rFonts w:hint="eastAsia"/>
                <w:color w:val="auto"/>
                <w:sz w:val="24"/>
                <w:szCs w:val="32"/>
                <w:highlight w:val="none"/>
              </w:rPr>
            </w:pPr>
            <w:r>
              <w:rPr>
                <w:rFonts w:hint="eastAsia"/>
                <w:color w:val="auto"/>
                <w:sz w:val="24"/>
                <w:szCs w:val="32"/>
                <w:highlight w:val="none"/>
              </w:rPr>
              <w:t>（2）分区防渗措施</w:t>
            </w:r>
          </w:p>
          <w:p w14:paraId="10F5474B">
            <w:pPr>
              <w:keepNext w:val="0"/>
              <w:keepLines w:val="0"/>
              <w:pageBreakBefore w:val="0"/>
              <w:widowControl w:val="0"/>
              <w:suppressLineNumbers w:val="0"/>
              <w:kinsoku/>
              <w:wordWrap/>
              <w:overflowPunct/>
              <w:topLinePunct w:val="0"/>
              <w:bidi w:val="0"/>
              <w:adjustRightInd w:val="0"/>
              <w:snapToGrid/>
              <w:spacing w:before="0" w:beforeAutospacing="0" w:after="0" w:afterAutospacing="0" w:line="440" w:lineRule="exact"/>
              <w:ind w:left="0" w:right="0" w:firstLine="480" w:firstLineChars="200"/>
              <w:textAlignment w:val="auto"/>
              <w:rPr>
                <w:rFonts w:hint="eastAsia"/>
                <w:color w:val="auto"/>
                <w:kern w:val="0"/>
                <w:sz w:val="24"/>
                <w:highlight w:val="none"/>
              </w:rPr>
            </w:pPr>
            <w:r>
              <w:rPr>
                <w:rFonts w:hint="eastAsia"/>
                <w:color w:val="auto"/>
                <w:sz w:val="24"/>
                <w:highlight w:val="none"/>
              </w:rPr>
              <w:t>针对可能对地下水造成影响的各环节，按照“考虑重点，辐射全面”的防腐防渗原则，按照《环境影响评价技术导则 地下水环境》（HJ610-2016）中提出的根据建设项目场地天然包气带防污性能、污染控制难易程度和污染物特性，防渗技术要求进行划分。项目厂内不同区域实施分区防</w:t>
            </w:r>
            <w:r>
              <w:rPr>
                <w:rFonts w:hint="eastAsia"/>
                <w:color w:val="auto"/>
                <w:sz w:val="24"/>
                <w:highlight w:val="none"/>
                <w:lang w:eastAsia="zh-CN"/>
              </w:rPr>
              <w:t>渗</w:t>
            </w:r>
            <w:r>
              <w:rPr>
                <w:rFonts w:hint="eastAsia"/>
                <w:color w:val="auto"/>
                <w:sz w:val="24"/>
                <w:highlight w:val="none"/>
              </w:rPr>
              <w:t>，污染区划分为一般防渗区、</w:t>
            </w:r>
            <w:r>
              <w:rPr>
                <w:rFonts w:hint="eastAsia"/>
                <w:color w:val="auto"/>
                <w:sz w:val="24"/>
                <w:highlight w:val="none"/>
                <w:lang w:eastAsia="zh-CN"/>
              </w:rPr>
              <w:t>重点</w:t>
            </w:r>
            <w:r>
              <w:rPr>
                <w:rFonts w:hint="eastAsia"/>
                <w:color w:val="auto"/>
                <w:sz w:val="24"/>
                <w:highlight w:val="none"/>
              </w:rPr>
              <w:t>防渗区，</w:t>
            </w:r>
            <w:r>
              <w:rPr>
                <w:rFonts w:hint="eastAsia"/>
                <w:color w:val="auto"/>
                <w:kern w:val="0"/>
                <w:sz w:val="24"/>
                <w:highlight w:val="none"/>
              </w:rPr>
              <w:t>对项目厂区防渗分区情况进行统计，见</w:t>
            </w:r>
            <w:r>
              <w:rPr>
                <w:rFonts w:hint="eastAsia"/>
                <w:color w:val="auto"/>
                <w:kern w:val="0"/>
                <w:sz w:val="24"/>
                <w:highlight w:val="none"/>
                <w:lang w:val="en-US" w:eastAsia="zh-CN"/>
              </w:rPr>
              <w:t>下表</w:t>
            </w:r>
            <w:r>
              <w:rPr>
                <w:rFonts w:hint="eastAsia"/>
                <w:color w:val="auto"/>
                <w:kern w:val="0"/>
                <w:sz w:val="24"/>
                <w:highlight w:val="none"/>
              </w:rPr>
              <w:t>。</w:t>
            </w:r>
          </w:p>
          <w:p w14:paraId="0FC6F9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表4</w:t>
            </w:r>
            <w:r>
              <w:rPr>
                <w:rFonts w:hint="eastAsia" w:cs="Times New Roman"/>
                <w:b/>
                <w:bCs/>
                <w:color w:val="auto"/>
                <w:sz w:val="24"/>
                <w:highlight w:val="none"/>
                <w:lang w:val="en-US" w:eastAsia="zh-CN"/>
              </w:rPr>
              <w:t>.5</w:t>
            </w:r>
            <w:r>
              <w:rPr>
                <w:rFonts w:hint="eastAsia"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rPr>
              <w:t xml:space="preserve">  </w:t>
            </w:r>
            <w:r>
              <w:rPr>
                <w:rFonts w:hint="eastAsia" w:cs="Times New Roman"/>
                <w:b/>
                <w:bCs/>
                <w:color w:val="auto"/>
                <w:sz w:val="24"/>
                <w:highlight w:val="none"/>
                <w:lang w:eastAsia="zh-CN"/>
              </w:rPr>
              <w:t>本项目</w:t>
            </w:r>
            <w:r>
              <w:rPr>
                <w:rFonts w:hint="eastAsia" w:ascii="Times New Roman" w:hAnsi="Times New Roman" w:eastAsia="宋体" w:cs="Times New Roman"/>
                <w:b/>
                <w:bCs/>
                <w:color w:val="auto"/>
                <w:sz w:val="24"/>
                <w:highlight w:val="none"/>
              </w:rPr>
              <w:t>分区防渗措施一览表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22"/>
              <w:gridCol w:w="533"/>
              <w:gridCol w:w="1620"/>
              <w:gridCol w:w="1138"/>
              <w:gridCol w:w="948"/>
              <w:gridCol w:w="2794"/>
            </w:tblGrid>
            <w:tr w14:paraId="4D875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trPr>
              <w:tc>
                <w:tcPr>
                  <w:tcW w:w="523" w:type="pct"/>
                  <w:vAlign w:val="center"/>
                </w:tcPr>
                <w:p w14:paraId="11777DD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18"/>
                      <w:szCs w:val="18"/>
                    </w:rPr>
                  </w:pPr>
                  <w:r>
                    <w:rPr>
                      <w:rFonts w:hint="eastAsia" w:eastAsiaTheme="minorEastAsia"/>
                      <w:b/>
                      <w:bCs/>
                      <w:color w:val="auto"/>
                      <w:sz w:val="18"/>
                      <w:szCs w:val="18"/>
                    </w:rPr>
                    <w:t>防渗分区</w:t>
                  </w:r>
                </w:p>
              </w:tc>
              <w:tc>
                <w:tcPr>
                  <w:tcW w:w="1370" w:type="pct"/>
                  <w:gridSpan w:val="2"/>
                  <w:vAlign w:val="center"/>
                </w:tcPr>
                <w:p w14:paraId="4B69CC85">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污染源</w:t>
                  </w:r>
                </w:p>
              </w:tc>
              <w:tc>
                <w:tcPr>
                  <w:tcW w:w="724" w:type="pct"/>
                  <w:vAlign w:val="center"/>
                </w:tcPr>
                <w:p w14:paraId="223A48E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污染物类型</w:t>
                  </w:r>
                </w:p>
              </w:tc>
              <w:tc>
                <w:tcPr>
                  <w:tcW w:w="603" w:type="pct"/>
                  <w:vAlign w:val="center"/>
                </w:tcPr>
                <w:p w14:paraId="5CDF14B1">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污染途径</w:t>
                  </w:r>
                </w:p>
              </w:tc>
              <w:tc>
                <w:tcPr>
                  <w:tcW w:w="1778" w:type="pct"/>
                  <w:vAlign w:val="center"/>
                </w:tcPr>
                <w:p w14:paraId="32E4EC0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防控措施</w:t>
                  </w:r>
                </w:p>
              </w:tc>
            </w:tr>
            <w:tr w14:paraId="25746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9" w:hRule="atLeast"/>
              </w:trPr>
              <w:tc>
                <w:tcPr>
                  <w:tcW w:w="523" w:type="pct"/>
                  <w:vMerge w:val="restart"/>
                  <w:vAlign w:val="center"/>
                </w:tcPr>
                <w:p w14:paraId="468B619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重点防渗区</w:t>
                  </w:r>
                </w:p>
              </w:tc>
              <w:tc>
                <w:tcPr>
                  <w:tcW w:w="339" w:type="pct"/>
                  <w:vMerge w:val="restart"/>
                  <w:vAlign w:val="center"/>
                </w:tcPr>
                <w:p w14:paraId="2FC3D2E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实验室</w:t>
                  </w:r>
                </w:p>
              </w:tc>
              <w:tc>
                <w:tcPr>
                  <w:tcW w:w="1030" w:type="pct"/>
                  <w:vAlign w:val="center"/>
                </w:tcPr>
                <w:p w14:paraId="65D99446">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PCR室、灭菌消毒室、分子操作间、细胞储藏及培养室等</w:t>
                  </w:r>
                </w:p>
              </w:tc>
              <w:tc>
                <w:tcPr>
                  <w:tcW w:w="724" w:type="pct"/>
                  <w:vAlign w:val="center"/>
                </w:tcPr>
                <w:p w14:paraId="7D67DB2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有机污染物</w:t>
                  </w:r>
                </w:p>
              </w:tc>
              <w:tc>
                <w:tcPr>
                  <w:tcW w:w="603" w:type="pct"/>
                  <w:vAlign w:val="center"/>
                </w:tcPr>
                <w:p w14:paraId="3D9646B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1389586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等效黏土防渗层Mb≥6.0m，K≤1×10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cm/s；或参照GB18598执行</w:t>
                  </w:r>
                </w:p>
              </w:tc>
            </w:tr>
            <w:tr w14:paraId="0270D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9" w:hRule="atLeast"/>
              </w:trPr>
              <w:tc>
                <w:tcPr>
                  <w:tcW w:w="523" w:type="pct"/>
                  <w:vMerge w:val="continue"/>
                  <w:vAlign w:val="center"/>
                </w:tcPr>
                <w:p w14:paraId="22A0F41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p>
              </w:tc>
              <w:tc>
                <w:tcPr>
                  <w:tcW w:w="339" w:type="pct"/>
                  <w:vMerge w:val="continue"/>
                  <w:vAlign w:val="center"/>
                </w:tcPr>
                <w:p w14:paraId="36A019A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p>
              </w:tc>
              <w:tc>
                <w:tcPr>
                  <w:tcW w:w="1030" w:type="pct"/>
                  <w:vAlign w:val="center"/>
                </w:tcPr>
                <w:p w14:paraId="5968EC2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化学品仓储区</w:t>
                  </w:r>
                </w:p>
              </w:tc>
              <w:tc>
                <w:tcPr>
                  <w:tcW w:w="724" w:type="pct"/>
                  <w:vAlign w:val="center"/>
                </w:tcPr>
                <w:p w14:paraId="6F21F1FC">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eastAsia" w:ascii="Times New Roman" w:hAnsi="Times New Roman" w:eastAsia="宋体" w:cs="Times New Roman"/>
                      <w:color w:val="auto"/>
                      <w:sz w:val="18"/>
                      <w:szCs w:val="18"/>
                      <w:lang w:val="en-US" w:eastAsia="zh-CN"/>
                    </w:rPr>
                    <w:t>有机污染物</w:t>
                  </w:r>
                </w:p>
              </w:tc>
              <w:tc>
                <w:tcPr>
                  <w:tcW w:w="603" w:type="pct"/>
                  <w:vAlign w:val="center"/>
                </w:tcPr>
                <w:p w14:paraId="181AA486">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25A99AC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等效黏土防渗层Mb≥6.0m，K≤1×10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cm/s；或参照GB18598执行</w:t>
                  </w:r>
                </w:p>
              </w:tc>
            </w:tr>
            <w:tr w14:paraId="57E3F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5" w:hRule="atLeast"/>
              </w:trPr>
              <w:tc>
                <w:tcPr>
                  <w:tcW w:w="523" w:type="pct"/>
                  <w:vMerge w:val="continue"/>
                  <w:vAlign w:val="center"/>
                </w:tcPr>
                <w:p w14:paraId="54DF00A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p>
              </w:tc>
              <w:tc>
                <w:tcPr>
                  <w:tcW w:w="1370" w:type="pct"/>
                  <w:gridSpan w:val="2"/>
                  <w:vAlign w:val="center"/>
                </w:tcPr>
                <w:p w14:paraId="05DB1B8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医疗危废暂存间</w:t>
                  </w:r>
                </w:p>
              </w:tc>
              <w:tc>
                <w:tcPr>
                  <w:tcW w:w="724" w:type="pct"/>
                  <w:vAlign w:val="center"/>
                </w:tcPr>
                <w:p w14:paraId="5BB5C933">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其他类型</w:t>
                  </w:r>
                </w:p>
              </w:tc>
              <w:tc>
                <w:tcPr>
                  <w:tcW w:w="603" w:type="pct"/>
                  <w:vAlign w:val="center"/>
                </w:tcPr>
                <w:p w14:paraId="4F00414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22A9E42D">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等效黏土防渗层Mb≥6.0m，K≤1×10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cm/s；或参照GB18598执行</w:t>
                  </w:r>
                </w:p>
              </w:tc>
            </w:tr>
            <w:tr w14:paraId="5F1B0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8" w:hRule="atLeast"/>
              </w:trPr>
              <w:tc>
                <w:tcPr>
                  <w:tcW w:w="523" w:type="pct"/>
                  <w:vMerge w:val="continue"/>
                  <w:vAlign w:val="center"/>
                </w:tcPr>
                <w:p w14:paraId="13DA48E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p>
              </w:tc>
              <w:tc>
                <w:tcPr>
                  <w:tcW w:w="1370" w:type="pct"/>
                  <w:gridSpan w:val="2"/>
                  <w:vAlign w:val="center"/>
                </w:tcPr>
                <w:p w14:paraId="3C207BF8">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r>
                    <w:rPr>
                      <w:rFonts w:hint="eastAsia" w:cs="Times New Roman"/>
                      <w:color w:val="auto"/>
                      <w:sz w:val="18"/>
                      <w:szCs w:val="18"/>
                      <w:lang w:val="en-US" w:eastAsia="zh-CN"/>
                    </w:rPr>
                    <w:t>污水处理站及污水收集管线</w:t>
                  </w:r>
                </w:p>
              </w:tc>
              <w:tc>
                <w:tcPr>
                  <w:tcW w:w="724" w:type="pct"/>
                  <w:vAlign w:val="center"/>
                </w:tcPr>
                <w:p w14:paraId="40F0FA4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eastAsia="zh-CN"/>
                    </w:rPr>
                    <w:t>其他类型</w:t>
                  </w:r>
                </w:p>
              </w:tc>
              <w:tc>
                <w:tcPr>
                  <w:tcW w:w="603" w:type="pct"/>
                  <w:vAlign w:val="center"/>
                </w:tcPr>
                <w:p w14:paraId="04741A9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51BFF740">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18"/>
                      <w:szCs w:val="18"/>
                    </w:rPr>
                  </w:pPr>
                  <w:r>
                    <w:rPr>
                      <w:rFonts w:hint="default" w:ascii="Times New Roman" w:hAnsi="Times New Roman" w:cs="Times New Roman"/>
                      <w:color w:val="auto"/>
                      <w:sz w:val="18"/>
                      <w:szCs w:val="18"/>
                    </w:rPr>
                    <w:t>等效黏土防渗层Mb≥6.0m，K≤1×10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cm/s；或参照GB18598执行</w:t>
                  </w:r>
                </w:p>
              </w:tc>
            </w:tr>
            <w:tr w14:paraId="3781B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8" w:hRule="atLeast"/>
              </w:trPr>
              <w:tc>
                <w:tcPr>
                  <w:tcW w:w="523" w:type="pct"/>
                  <w:vMerge w:val="restart"/>
                  <w:vAlign w:val="center"/>
                </w:tcPr>
                <w:p w14:paraId="72CF9E3C">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r>
                    <w:rPr>
                      <w:rFonts w:hint="eastAsia" w:cs="Times New Roman"/>
                      <w:color w:val="auto"/>
                      <w:sz w:val="18"/>
                      <w:szCs w:val="18"/>
                      <w:lang w:val="en-US" w:eastAsia="zh-CN"/>
                    </w:rPr>
                    <w:t>一般防渗区</w:t>
                  </w:r>
                </w:p>
              </w:tc>
              <w:tc>
                <w:tcPr>
                  <w:tcW w:w="1370" w:type="pct"/>
                  <w:gridSpan w:val="2"/>
                  <w:vAlign w:val="center"/>
                </w:tcPr>
                <w:p w14:paraId="23C08A8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r>
                    <w:rPr>
                      <w:rFonts w:hint="eastAsia" w:cs="Times New Roman"/>
                      <w:color w:val="auto"/>
                      <w:sz w:val="18"/>
                      <w:szCs w:val="18"/>
                      <w:lang w:val="en-US" w:eastAsia="zh-CN"/>
                    </w:rPr>
                    <w:t>一般固废仓储区</w:t>
                  </w:r>
                </w:p>
              </w:tc>
              <w:tc>
                <w:tcPr>
                  <w:tcW w:w="724" w:type="pct"/>
                  <w:vAlign w:val="center"/>
                </w:tcPr>
                <w:p w14:paraId="5ECB080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eastAsia="zh-CN"/>
                    </w:rPr>
                    <w:t>其他类型</w:t>
                  </w:r>
                </w:p>
              </w:tc>
              <w:tc>
                <w:tcPr>
                  <w:tcW w:w="603" w:type="pct"/>
                  <w:vAlign w:val="center"/>
                </w:tcPr>
                <w:p w14:paraId="564FF36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59832EE0">
                  <w:pPr>
                    <w:keepNext w:val="0"/>
                    <w:keepLines w:val="0"/>
                    <w:suppressLineNumbers w:val="0"/>
                    <w:adjustRightInd w:val="0"/>
                    <w:snapToGrid w:val="0"/>
                    <w:spacing w:before="0" w:beforeAutospacing="0" w:after="0" w:afterAutospacing="0" w:line="240" w:lineRule="auto"/>
                    <w:ind w:left="0" w:leftChars="0" w:right="0" w:rightChars="0"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等效黏土防渗层Mb≥1.5m，K≤1×10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cm/s；或参照GB16889执行</w:t>
                  </w:r>
                </w:p>
              </w:tc>
            </w:tr>
            <w:tr w14:paraId="13A541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8" w:hRule="atLeast"/>
              </w:trPr>
              <w:tc>
                <w:tcPr>
                  <w:tcW w:w="523" w:type="pct"/>
                  <w:vMerge w:val="continue"/>
                  <w:vAlign w:val="center"/>
                </w:tcPr>
                <w:p w14:paraId="3E4C1A0E">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p>
              </w:tc>
              <w:tc>
                <w:tcPr>
                  <w:tcW w:w="1370" w:type="pct"/>
                  <w:gridSpan w:val="2"/>
                  <w:vAlign w:val="center"/>
                </w:tcPr>
                <w:p w14:paraId="3DF89325">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r>
                    <w:rPr>
                      <w:rFonts w:hint="eastAsia" w:cs="Times New Roman"/>
                      <w:color w:val="auto"/>
                      <w:sz w:val="18"/>
                      <w:szCs w:val="18"/>
                      <w:lang w:val="en-US" w:eastAsia="zh-CN"/>
                    </w:rPr>
                    <w:t>化粪池</w:t>
                  </w:r>
                </w:p>
              </w:tc>
              <w:tc>
                <w:tcPr>
                  <w:tcW w:w="724" w:type="pct"/>
                  <w:vAlign w:val="center"/>
                </w:tcPr>
                <w:p w14:paraId="3B4B500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其他类型</w:t>
                  </w:r>
                </w:p>
              </w:tc>
              <w:tc>
                <w:tcPr>
                  <w:tcW w:w="603" w:type="pct"/>
                  <w:vAlign w:val="center"/>
                </w:tcPr>
                <w:p w14:paraId="563E3564">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6AA64804">
                  <w:pPr>
                    <w:keepNext w:val="0"/>
                    <w:keepLines w:val="0"/>
                    <w:suppressLineNumbers w:val="0"/>
                    <w:adjustRightInd w:val="0"/>
                    <w:snapToGrid w:val="0"/>
                    <w:spacing w:before="0" w:beforeAutospacing="0" w:after="0" w:afterAutospacing="0" w:line="240" w:lineRule="auto"/>
                    <w:ind w:left="0" w:leftChars="0" w:right="0" w:rightChars="0"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等效黏土防渗层Mb≥1.5m，K≤1×10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cm/s；或参照GB16889执行</w:t>
                  </w:r>
                </w:p>
              </w:tc>
            </w:tr>
          </w:tbl>
          <w:p w14:paraId="4BC22760">
            <w:pPr>
              <w:keepNext w:val="0"/>
              <w:keepLines w:val="0"/>
              <w:widowControl/>
              <w:suppressLineNumbers w:val="0"/>
              <w:adjustRightInd w:val="0"/>
              <w:snapToGrid w:val="0"/>
              <w:spacing w:before="0" w:beforeAutospacing="0" w:after="0" w:afterAutospacing="0"/>
              <w:ind w:left="0" w:right="0" w:firstLine="480"/>
              <w:jc w:val="left"/>
              <w:rPr>
                <w:rFonts w:hint="eastAsia"/>
                <w:color w:val="auto"/>
                <w:sz w:val="24"/>
                <w:highlight w:val="none"/>
              </w:rPr>
            </w:pPr>
            <w:r>
              <w:rPr>
                <w:rFonts w:hint="eastAsia"/>
                <w:color w:val="auto"/>
                <w:sz w:val="24"/>
                <w:highlight w:val="none"/>
              </w:rPr>
              <w:t>在采取以上分区防渗措施后，可有效预防项目对地下水和土壤污染的发生。</w:t>
            </w:r>
          </w:p>
          <w:p w14:paraId="083AC890">
            <w:pPr>
              <w:keepNext w:val="0"/>
              <w:keepLines w:val="0"/>
              <w:widowControl/>
              <w:suppressLineNumbers w:val="0"/>
              <w:adjustRightInd w:val="0"/>
              <w:snapToGrid w:val="0"/>
              <w:spacing w:before="0" w:beforeAutospacing="0" w:after="0" w:afterAutospacing="0"/>
              <w:ind w:left="0" w:right="0" w:firstLine="480"/>
              <w:jc w:val="left"/>
              <w:rPr>
                <w:rFonts w:hint="eastAsia" w:eastAsia="宋体"/>
                <w:color w:val="auto"/>
                <w:kern w:val="0"/>
                <w:szCs w:val="20"/>
                <w:lang w:val="en-US" w:eastAsia="zh-CN"/>
              </w:rPr>
            </w:pPr>
          </w:p>
          <w:p w14:paraId="4C5030EE">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ind w:left="0" w:leftChars="0" w:right="0" w:firstLine="482" w:firstLineChars="200"/>
              <w:textAlignment w:val="auto"/>
              <w:rPr>
                <w:rFonts w:hint="eastAsia"/>
                <w:b/>
                <w:bCs/>
                <w:color w:val="auto"/>
                <w:lang w:val="en-US" w:eastAsia="zh-CN"/>
              </w:rPr>
            </w:pPr>
            <w:r>
              <w:rPr>
                <w:rFonts w:hint="eastAsia"/>
                <w:b/>
                <w:bCs/>
                <w:color w:val="auto"/>
                <w:lang w:val="en-US" w:eastAsia="zh-CN"/>
              </w:rPr>
              <w:t>生态</w:t>
            </w:r>
          </w:p>
          <w:p w14:paraId="46B4BBF6">
            <w:pPr>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建设项目</w:t>
            </w:r>
            <w:r>
              <w:rPr>
                <w:rFonts w:hint="eastAsia"/>
                <w:color w:val="auto"/>
              </w:rPr>
              <w:t>位于</w:t>
            </w:r>
            <w:r>
              <w:rPr>
                <w:rFonts w:hint="eastAsia"/>
                <w:color w:val="auto"/>
                <w:lang w:eastAsia="zh-CN"/>
              </w:rPr>
              <w:t>涟水县人民医院现有用地范围内</w:t>
            </w:r>
            <w:r>
              <w:rPr>
                <w:rFonts w:hint="eastAsia"/>
                <w:color w:val="auto"/>
              </w:rPr>
              <w:t>，</w:t>
            </w:r>
            <w:r>
              <w:rPr>
                <w:rFonts w:hint="eastAsia"/>
                <w:color w:val="auto"/>
                <w:lang w:eastAsia="zh-CN"/>
              </w:rPr>
              <w:t>项目不新增占地</w:t>
            </w:r>
            <w:r>
              <w:rPr>
                <w:rFonts w:hint="eastAsia"/>
                <w:color w:val="auto"/>
              </w:rPr>
              <w:t>，对生态环境影响较小。</w:t>
            </w:r>
          </w:p>
          <w:p w14:paraId="0ACB84D7">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ind w:left="0" w:leftChars="0" w:right="0" w:firstLine="482" w:firstLineChars="200"/>
              <w:textAlignment w:val="auto"/>
              <w:rPr>
                <w:rFonts w:hint="default"/>
                <w:b/>
                <w:bCs/>
                <w:color w:val="auto"/>
                <w:lang w:val="en-US" w:eastAsia="zh-CN"/>
              </w:rPr>
            </w:pPr>
            <w:r>
              <w:rPr>
                <w:rFonts w:hint="eastAsia"/>
                <w:b/>
                <w:bCs/>
                <w:color w:val="auto"/>
                <w:lang w:val="en-US" w:eastAsia="zh-CN"/>
              </w:rPr>
              <w:t>环境风险</w:t>
            </w:r>
          </w:p>
          <w:p w14:paraId="5E62FECD">
            <w:pPr>
              <w:keepNext w:val="0"/>
              <w:keepLines w:val="0"/>
              <w:pageBreakBefore w:val="0"/>
              <w:widowControl w:val="0"/>
              <w:numPr>
                <w:ilvl w:val="1"/>
                <w:numId w:val="11"/>
              </w:numPr>
              <w:suppressLineNumbers w:val="0"/>
              <w:kinsoku/>
              <w:wordWrap/>
              <w:overflowPunct/>
              <w:topLinePunct w:val="0"/>
              <w:autoSpaceDE/>
              <w:autoSpaceDN/>
              <w:bidi w:val="0"/>
              <w:adjustRightInd/>
              <w:snapToGrid/>
              <w:spacing w:before="0" w:beforeAutospacing="0" w:after="0" w:afterAutospacing="0"/>
              <w:ind w:left="0" w:leftChars="0" w:right="0" w:firstLine="482" w:firstLineChars="200"/>
              <w:textAlignment w:val="auto"/>
              <w:rPr>
                <w:rFonts w:hint="eastAsia"/>
                <w:color w:val="auto"/>
                <w:lang w:val="en-US" w:eastAsia="zh-CN"/>
              </w:rPr>
            </w:pPr>
            <w:r>
              <w:rPr>
                <w:rFonts w:hint="eastAsia"/>
                <w:b/>
                <w:bCs/>
                <w:color w:val="auto"/>
                <w:lang w:val="en-US" w:eastAsia="zh-CN"/>
              </w:rPr>
              <w:t>风险源调查</w:t>
            </w:r>
          </w:p>
          <w:p w14:paraId="216DEFE6">
            <w:pPr>
              <w:keepNext w:val="0"/>
              <w:keepLines w:val="0"/>
              <w:suppressLineNumbers w:val="0"/>
              <w:bidi w:val="0"/>
              <w:spacing w:before="0" w:beforeAutospacing="0" w:after="0" w:afterAutospacing="0"/>
              <w:ind w:left="0" w:right="0"/>
              <w:rPr>
                <w:rFonts w:hint="default"/>
                <w:color w:val="auto"/>
                <w:lang w:val="en-US" w:eastAsia="zh-CN"/>
              </w:rPr>
            </w:pPr>
            <w:r>
              <w:rPr>
                <w:rFonts w:hint="eastAsia" w:cs="宋体"/>
                <w:color w:val="auto"/>
                <w:kern w:val="0"/>
              </w:rPr>
              <w:t>①</w:t>
            </w:r>
            <w:r>
              <w:rPr>
                <w:rFonts w:hint="eastAsia"/>
                <w:color w:val="auto"/>
                <w:kern w:val="0"/>
              </w:rPr>
              <w:t>危险物质数量及分布情况</w:t>
            </w:r>
          </w:p>
          <w:p w14:paraId="33FF5BC1">
            <w:pPr>
              <w:keepNext w:val="0"/>
              <w:keepLines w:val="0"/>
              <w:suppressLineNumbers w:val="0"/>
              <w:bidi w:val="0"/>
              <w:spacing w:before="0" w:beforeAutospacing="0" w:after="0" w:afterAutospacing="0"/>
              <w:ind w:left="0" w:right="0"/>
              <w:rPr>
                <w:rFonts w:hint="default"/>
                <w:color w:val="auto"/>
                <w:lang w:val="en-US" w:eastAsia="zh-CN"/>
              </w:rPr>
            </w:pPr>
            <w:r>
              <w:rPr>
                <w:rFonts w:hint="eastAsia" w:eastAsiaTheme="minorEastAsia"/>
                <w:color w:val="auto"/>
                <w:kern w:val="0"/>
                <w:sz w:val="24"/>
                <w:lang w:eastAsia="zh-CN"/>
              </w:rPr>
              <w:t>建设项目</w:t>
            </w:r>
            <w:r>
              <w:rPr>
                <w:rFonts w:hint="eastAsia" w:eastAsiaTheme="minorEastAsia"/>
                <w:bCs/>
                <w:color w:val="auto"/>
                <w:kern w:val="0"/>
                <w:sz w:val="24"/>
              </w:rPr>
              <w:t>危险物质数量及分布情况见表4.7-1。</w:t>
            </w:r>
          </w:p>
          <w:p w14:paraId="1C325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b/>
                <w:bCs/>
                <w:color w:val="auto"/>
                <w:lang w:val="en-US" w:eastAsia="zh-CN"/>
              </w:rPr>
            </w:pPr>
            <w:r>
              <w:rPr>
                <w:rFonts w:hint="eastAsia"/>
                <w:b/>
                <w:bCs/>
                <w:color w:val="auto"/>
                <w:lang w:val="en-US" w:eastAsia="zh-CN"/>
              </w:rPr>
              <w:t>表4.7-1  建设项目危险物质数量及分布情况一览表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2205"/>
              <w:gridCol w:w="2669"/>
              <w:gridCol w:w="2060"/>
              <w:gridCol w:w="921"/>
            </w:tblGrid>
            <w:tr w14:paraId="447854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25" w:hRule="atLeast"/>
                <w:jc w:val="center"/>
              </w:trPr>
              <w:tc>
                <w:tcPr>
                  <w:tcW w:w="1403" w:type="pct"/>
                  <w:tcBorders>
                    <w:tl2br w:val="nil"/>
                    <w:tr2bl w:val="nil"/>
                  </w:tcBorders>
                  <w:vAlign w:val="center"/>
                </w:tcPr>
                <w:p w14:paraId="67B061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sz w:val="18"/>
                      <w:szCs w:val="18"/>
                      <w:lang w:eastAsia="zh-CN"/>
                    </w:rPr>
                  </w:pPr>
                  <w:r>
                    <w:rPr>
                      <w:rFonts w:hint="eastAsia" w:cs="Times New Roman"/>
                      <w:b/>
                      <w:color w:val="auto"/>
                      <w:sz w:val="18"/>
                      <w:szCs w:val="18"/>
                      <w:lang w:eastAsia="zh-CN"/>
                    </w:rPr>
                    <w:t>危险物质</w:t>
                  </w:r>
                </w:p>
              </w:tc>
              <w:tc>
                <w:tcPr>
                  <w:tcW w:w="1698" w:type="pct"/>
                  <w:tcBorders>
                    <w:tl2br w:val="nil"/>
                    <w:tr2bl w:val="nil"/>
                  </w:tcBorders>
                  <w:vAlign w:val="center"/>
                </w:tcPr>
                <w:p w14:paraId="68C6FB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rPr>
                    <w:t>主要规格/</w:t>
                  </w:r>
                  <w:r>
                    <w:rPr>
                      <w:rFonts w:hint="eastAsia" w:cs="Times New Roman"/>
                      <w:b/>
                      <w:color w:val="auto"/>
                      <w:sz w:val="18"/>
                      <w:szCs w:val="18"/>
                      <w:lang w:eastAsia="zh-CN"/>
                    </w:rPr>
                    <w:t>成分</w:t>
                  </w:r>
                </w:p>
              </w:tc>
              <w:tc>
                <w:tcPr>
                  <w:tcW w:w="1311" w:type="pct"/>
                  <w:tcBorders>
                    <w:tl2br w:val="nil"/>
                    <w:tr2bl w:val="nil"/>
                  </w:tcBorders>
                  <w:vAlign w:val="center"/>
                </w:tcPr>
                <w:p w14:paraId="692D9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最大</w:t>
                  </w:r>
                  <w:r>
                    <w:rPr>
                      <w:rFonts w:hint="eastAsia" w:cs="Times New Roman"/>
                      <w:b/>
                      <w:color w:val="auto"/>
                      <w:sz w:val="18"/>
                      <w:szCs w:val="18"/>
                      <w:lang w:eastAsia="zh-CN"/>
                    </w:rPr>
                    <w:t>存在</w:t>
                  </w:r>
                  <w:r>
                    <w:rPr>
                      <w:rFonts w:hint="default" w:ascii="Times New Roman" w:hAnsi="Times New Roman" w:eastAsia="宋体" w:cs="Times New Roman"/>
                      <w:b/>
                      <w:color w:val="auto"/>
                      <w:sz w:val="18"/>
                      <w:szCs w:val="18"/>
                    </w:rPr>
                    <w:t>量（</w:t>
                  </w:r>
                  <w:r>
                    <w:rPr>
                      <w:rFonts w:hint="default" w:ascii="Times New Roman" w:hAnsi="Times New Roman" w:eastAsia="宋体" w:cs="Times New Roman"/>
                      <w:b/>
                      <w:color w:val="auto"/>
                      <w:sz w:val="18"/>
                      <w:szCs w:val="18"/>
                      <w:lang w:val="en-US" w:eastAsia="zh-CN"/>
                    </w:rPr>
                    <w:t>吨</w:t>
                  </w:r>
                  <w:r>
                    <w:rPr>
                      <w:rFonts w:hint="default" w:ascii="Times New Roman" w:hAnsi="Times New Roman" w:eastAsia="宋体" w:cs="Times New Roman"/>
                      <w:b/>
                      <w:color w:val="auto"/>
                      <w:sz w:val="18"/>
                      <w:szCs w:val="18"/>
                    </w:rPr>
                    <w:t>）</w:t>
                  </w:r>
                </w:p>
              </w:tc>
              <w:tc>
                <w:tcPr>
                  <w:tcW w:w="586" w:type="pct"/>
                  <w:tcBorders>
                    <w:tl2br w:val="nil"/>
                    <w:tr2bl w:val="nil"/>
                  </w:tcBorders>
                  <w:vAlign w:val="center"/>
                </w:tcPr>
                <w:p w14:paraId="5CB337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rPr>
                    <w:t>分布</w:t>
                  </w:r>
                  <w:r>
                    <w:rPr>
                      <w:rFonts w:hint="eastAsia" w:cs="Times New Roman"/>
                      <w:b/>
                      <w:color w:val="auto"/>
                      <w:sz w:val="18"/>
                      <w:szCs w:val="18"/>
                      <w:lang w:eastAsia="zh-CN"/>
                    </w:rPr>
                    <w:t>位置</w:t>
                  </w:r>
                </w:p>
              </w:tc>
            </w:tr>
            <w:tr w14:paraId="1BFB75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64" w:hRule="atLeast"/>
                <w:jc w:val="center"/>
              </w:trPr>
              <w:tc>
                <w:tcPr>
                  <w:tcW w:w="1403" w:type="pct"/>
                  <w:tcBorders>
                    <w:tl2br w:val="nil"/>
                    <w:tr2bl w:val="nil"/>
                  </w:tcBorders>
                  <w:vAlign w:val="center"/>
                </w:tcPr>
                <w:p w14:paraId="06B13B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bidi="ar"/>
                    </w:rPr>
                    <w:t>异丙醇</w:t>
                  </w:r>
                </w:p>
              </w:tc>
              <w:tc>
                <w:tcPr>
                  <w:tcW w:w="1698" w:type="pct"/>
                  <w:tcBorders>
                    <w:tl2br w:val="nil"/>
                    <w:tr2bl w:val="nil"/>
                  </w:tcBorders>
                  <w:shd w:val="clear" w:color="auto" w:fill="auto"/>
                  <w:vAlign w:val="center"/>
                </w:tcPr>
                <w:p w14:paraId="783154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bidi="ar"/>
                    </w:rPr>
                    <w:t>异丙醇</w:t>
                  </w:r>
                </w:p>
              </w:tc>
              <w:tc>
                <w:tcPr>
                  <w:tcW w:w="2066" w:type="dxa"/>
                  <w:tcBorders>
                    <w:tl2br w:val="nil"/>
                    <w:tr2bl w:val="nil"/>
                  </w:tcBorders>
                  <w:vAlign w:val="center"/>
                </w:tcPr>
                <w:p w14:paraId="0DC0B3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0.008</w:t>
                  </w:r>
                </w:p>
              </w:tc>
              <w:tc>
                <w:tcPr>
                  <w:tcW w:w="586" w:type="pct"/>
                  <w:vMerge w:val="restart"/>
                  <w:tcBorders>
                    <w:tl2br w:val="nil"/>
                    <w:tr2bl w:val="nil"/>
                  </w:tcBorders>
                  <w:vAlign w:val="center"/>
                </w:tcPr>
                <w:p w14:paraId="26AE9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实验室</w:t>
                  </w:r>
                </w:p>
              </w:tc>
            </w:tr>
            <w:tr w14:paraId="228B94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51" w:hRule="atLeast"/>
                <w:jc w:val="center"/>
              </w:trPr>
              <w:tc>
                <w:tcPr>
                  <w:tcW w:w="1403" w:type="pct"/>
                  <w:tcBorders>
                    <w:tl2br w:val="nil"/>
                    <w:tr2bl w:val="nil"/>
                  </w:tcBorders>
                  <w:vAlign w:val="center"/>
                </w:tcPr>
                <w:p w14:paraId="7B171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bidi="ar"/>
                    </w:rPr>
                    <w:t>无水乙醇</w:t>
                  </w:r>
                </w:p>
              </w:tc>
              <w:tc>
                <w:tcPr>
                  <w:tcW w:w="1698" w:type="pct"/>
                  <w:tcBorders>
                    <w:tl2br w:val="nil"/>
                    <w:tr2bl w:val="nil"/>
                  </w:tcBorders>
                  <w:shd w:val="clear" w:color="auto" w:fill="auto"/>
                  <w:vAlign w:val="center"/>
                </w:tcPr>
                <w:p w14:paraId="04A477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bidi="ar"/>
                    </w:rPr>
                    <w:t>无水乙醇</w:t>
                  </w:r>
                </w:p>
              </w:tc>
              <w:tc>
                <w:tcPr>
                  <w:tcW w:w="2066" w:type="dxa"/>
                  <w:tcBorders>
                    <w:tl2br w:val="nil"/>
                    <w:tr2bl w:val="nil"/>
                  </w:tcBorders>
                  <w:vAlign w:val="center"/>
                </w:tcPr>
                <w:p w14:paraId="690360D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0.008</w:t>
                  </w:r>
                </w:p>
              </w:tc>
              <w:tc>
                <w:tcPr>
                  <w:tcW w:w="586" w:type="pct"/>
                  <w:vMerge w:val="continue"/>
                  <w:tcBorders>
                    <w:tl2br w:val="nil"/>
                    <w:tr2bl w:val="nil"/>
                  </w:tcBorders>
                  <w:vAlign w:val="center"/>
                </w:tcPr>
                <w:p w14:paraId="37553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465803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63" w:hRule="atLeast"/>
                <w:jc w:val="center"/>
              </w:trPr>
              <w:tc>
                <w:tcPr>
                  <w:tcW w:w="1403" w:type="pct"/>
                  <w:tcBorders>
                    <w:tl2br w:val="nil"/>
                    <w:tr2bl w:val="nil"/>
                  </w:tcBorders>
                  <w:vAlign w:val="center"/>
                </w:tcPr>
                <w:p w14:paraId="26262A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丙烯酰胺</w:t>
                  </w:r>
                </w:p>
              </w:tc>
              <w:tc>
                <w:tcPr>
                  <w:tcW w:w="1698" w:type="pct"/>
                  <w:tcBorders>
                    <w:tl2br w:val="nil"/>
                    <w:tr2bl w:val="nil"/>
                  </w:tcBorders>
                  <w:shd w:val="clear" w:color="auto" w:fill="auto"/>
                  <w:vAlign w:val="center"/>
                </w:tcPr>
                <w:p w14:paraId="00A73F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丙烯酰胺</w:t>
                  </w:r>
                </w:p>
              </w:tc>
              <w:tc>
                <w:tcPr>
                  <w:tcW w:w="2066" w:type="dxa"/>
                  <w:tcBorders>
                    <w:tl2br w:val="nil"/>
                    <w:tr2bl w:val="nil"/>
                  </w:tcBorders>
                  <w:vAlign w:val="center"/>
                </w:tcPr>
                <w:p w14:paraId="6E6899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0.021</w:t>
                  </w:r>
                </w:p>
              </w:tc>
              <w:tc>
                <w:tcPr>
                  <w:tcW w:w="586" w:type="pct"/>
                  <w:vMerge w:val="continue"/>
                  <w:tcBorders>
                    <w:tl2br w:val="nil"/>
                    <w:tr2bl w:val="nil"/>
                  </w:tcBorders>
                  <w:vAlign w:val="center"/>
                </w:tcPr>
                <w:p w14:paraId="253852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63E2A2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8" w:hRule="atLeast"/>
                <w:jc w:val="center"/>
              </w:trPr>
              <w:tc>
                <w:tcPr>
                  <w:tcW w:w="1403" w:type="pct"/>
                  <w:tcBorders>
                    <w:tl2br w:val="nil"/>
                    <w:tr2bl w:val="nil"/>
                  </w:tcBorders>
                  <w:vAlign w:val="center"/>
                </w:tcPr>
                <w:p w14:paraId="33C72A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过硫酸</w:t>
                  </w:r>
                  <w:r>
                    <w:rPr>
                      <w:rFonts w:hint="eastAsia" w:ascii="Times New Roman" w:hAnsi="Times New Roman" w:eastAsia="宋体" w:cs="Times New Roman"/>
                      <w:color w:val="auto"/>
                      <w:kern w:val="0"/>
                      <w:sz w:val="18"/>
                      <w:szCs w:val="18"/>
                      <w:lang w:val="en-US" w:eastAsia="zh-CN" w:bidi="ar"/>
                    </w:rPr>
                    <w:t>铵</w:t>
                  </w:r>
                </w:p>
              </w:tc>
              <w:tc>
                <w:tcPr>
                  <w:tcW w:w="1698" w:type="pct"/>
                  <w:tcBorders>
                    <w:tl2br w:val="nil"/>
                    <w:tr2bl w:val="nil"/>
                  </w:tcBorders>
                  <w:shd w:val="clear" w:color="auto" w:fill="auto"/>
                  <w:vAlign w:val="center"/>
                </w:tcPr>
                <w:p w14:paraId="4E55EC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过硫酸</w:t>
                  </w:r>
                  <w:r>
                    <w:rPr>
                      <w:rFonts w:hint="eastAsia" w:ascii="Times New Roman" w:hAnsi="Times New Roman" w:eastAsia="宋体" w:cs="Times New Roman"/>
                      <w:color w:val="auto"/>
                      <w:kern w:val="0"/>
                      <w:sz w:val="18"/>
                      <w:szCs w:val="18"/>
                      <w:lang w:val="en-US" w:eastAsia="zh-CN" w:bidi="ar"/>
                    </w:rPr>
                    <w:t>铵</w:t>
                  </w:r>
                </w:p>
              </w:tc>
              <w:tc>
                <w:tcPr>
                  <w:tcW w:w="2066" w:type="dxa"/>
                  <w:tcBorders>
                    <w:tl2br w:val="nil"/>
                    <w:tr2bl w:val="nil"/>
                  </w:tcBorders>
                  <w:vAlign w:val="center"/>
                </w:tcPr>
                <w:p w14:paraId="2A3E1C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0.031</w:t>
                  </w:r>
                </w:p>
              </w:tc>
              <w:tc>
                <w:tcPr>
                  <w:tcW w:w="586" w:type="pct"/>
                  <w:vMerge w:val="continue"/>
                  <w:tcBorders>
                    <w:tl2br w:val="nil"/>
                    <w:tr2bl w:val="nil"/>
                  </w:tcBorders>
                  <w:vAlign w:val="center"/>
                </w:tcPr>
                <w:p w14:paraId="796D58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7ED612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13" w:hRule="atLeast"/>
                <w:jc w:val="center"/>
              </w:trPr>
              <w:tc>
                <w:tcPr>
                  <w:tcW w:w="1403" w:type="pct"/>
                  <w:tcBorders>
                    <w:tl2br w:val="nil"/>
                    <w:tr2bl w:val="nil"/>
                  </w:tcBorders>
                  <w:vAlign w:val="center"/>
                </w:tcPr>
                <w:p w14:paraId="51AA1D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75%乙醇</w:t>
                  </w:r>
                </w:p>
              </w:tc>
              <w:tc>
                <w:tcPr>
                  <w:tcW w:w="1698" w:type="pct"/>
                  <w:tcBorders>
                    <w:tl2br w:val="nil"/>
                    <w:tr2bl w:val="nil"/>
                  </w:tcBorders>
                  <w:vAlign w:val="center"/>
                </w:tcPr>
                <w:p w14:paraId="3B00FE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75%</w:t>
                  </w:r>
                </w:p>
              </w:tc>
              <w:tc>
                <w:tcPr>
                  <w:tcW w:w="2066" w:type="dxa"/>
                  <w:tcBorders>
                    <w:tl2br w:val="nil"/>
                    <w:tr2bl w:val="nil"/>
                  </w:tcBorders>
                  <w:vAlign w:val="center"/>
                </w:tcPr>
                <w:p w14:paraId="5027A5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0.004</w:t>
                  </w:r>
                </w:p>
              </w:tc>
              <w:tc>
                <w:tcPr>
                  <w:tcW w:w="586" w:type="pct"/>
                  <w:vMerge w:val="continue"/>
                  <w:tcBorders>
                    <w:tl2br w:val="nil"/>
                    <w:tr2bl w:val="nil"/>
                  </w:tcBorders>
                  <w:vAlign w:val="center"/>
                </w:tcPr>
                <w:p w14:paraId="062A19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r>
            <w:tr w14:paraId="2F63C3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1" w:hRule="atLeast"/>
                <w:jc w:val="center"/>
              </w:trPr>
              <w:tc>
                <w:tcPr>
                  <w:tcW w:w="1403" w:type="pct"/>
                  <w:tcBorders>
                    <w:tl2br w:val="nil"/>
                    <w:tr2bl w:val="nil"/>
                  </w:tcBorders>
                  <w:vAlign w:val="center"/>
                </w:tcPr>
                <w:p w14:paraId="0046A6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95%乙醇</w:t>
                  </w:r>
                </w:p>
              </w:tc>
              <w:tc>
                <w:tcPr>
                  <w:tcW w:w="1698" w:type="pct"/>
                  <w:tcBorders>
                    <w:tl2br w:val="nil"/>
                    <w:tr2bl w:val="nil"/>
                  </w:tcBorders>
                  <w:vAlign w:val="center"/>
                </w:tcPr>
                <w:p w14:paraId="04F2A8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95%</w:t>
                  </w:r>
                </w:p>
              </w:tc>
              <w:tc>
                <w:tcPr>
                  <w:tcW w:w="2066" w:type="dxa"/>
                  <w:tcBorders>
                    <w:tl2br w:val="nil"/>
                    <w:tr2bl w:val="nil"/>
                  </w:tcBorders>
                  <w:vAlign w:val="center"/>
                </w:tcPr>
                <w:p w14:paraId="75B1D0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0.003</w:t>
                  </w:r>
                </w:p>
              </w:tc>
              <w:tc>
                <w:tcPr>
                  <w:tcW w:w="586" w:type="pct"/>
                  <w:vMerge w:val="continue"/>
                  <w:tcBorders>
                    <w:tl2br w:val="nil"/>
                    <w:tr2bl w:val="nil"/>
                  </w:tcBorders>
                  <w:vAlign w:val="center"/>
                </w:tcPr>
                <w:p w14:paraId="4DA98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r>
            <w:tr w14:paraId="7CE397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63" w:hRule="atLeast"/>
                <w:jc w:val="center"/>
              </w:trPr>
              <w:tc>
                <w:tcPr>
                  <w:tcW w:w="1403" w:type="pct"/>
                  <w:tcBorders>
                    <w:tl2br w:val="nil"/>
                    <w:tr2bl w:val="nil"/>
                  </w:tcBorders>
                  <w:vAlign w:val="center"/>
                </w:tcPr>
                <w:p w14:paraId="310C26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异氟烷</w:t>
                  </w:r>
                </w:p>
              </w:tc>
              <w:tc>
                <w:tcPr>
                  <w:tcW w:w="1698" w:type="pct"/>
                  <w:tcBorders>
                    <w:tl2br w:val="nil"/>
                    <w:tr2bl w:val="nil"/>
                  </w:tcBorders>
                  <w:vAlign w:val="center"/>
                </w:tcPr>
                <w:p w14:paraId="31AD1D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2066" w:type="dxa"/>
                  <w:tcBorders>
                    <w:tl2br w:val="nil"/>
                    <w:tr2bl w:val="nil"/>
                  </w:tcBorders>
                  <w:vAlign w:val="center"/>
                </w:tcPr>
                <w:p w14:paraId="0183B5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0.002</w:t>
                  </w:r>
                </w:p>
              </w:tc>
              <w:tc>
                <w:tcPr>
                  <w:tcW w:w="586" w:type="pct"/>
                  <w:vMerge w:val="continue"/>
                  <w:tcBorders>
                    <w:tl2br w:val="nil"/>
                    <w:tr2bl w:val="nil"/>
                  </w:tcBorders>
                  <w:vAlign w:val="center"/>
                </w:tcPr>
                <w:p w14:paraId="6686A0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r>
            <w:tr w14:paraId="0A6A02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1" w:hRule="atLeast"/>
                <w:jc w:val="center"/>
              </w:trPr>
              <w:tc>
                <w:tcPr>
                  <w:tcW w:w="1403" w:type="pct"/>
                  <w:tcBorders>
                    <w:tl2br w:val="nil"/>
                    <w:tr2bl w:val="nil"/>
                  </w:tcBorders>
                  <w:vAlign w:val="center"/>
                </w:tcPr>
                <w:p w14:paraId="2D3E1C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3%戊巴比妥钠</w:t>
                  </w:r>
                </w:p>
              </w:tc>
              <w:tc>
                <w:tcPr>
                  <w:tcW w:w="1698" w:type="pct"/>
                  <w:tcBorders>
                    <w:tl2br w:val="nil"/>
                    <w:tr2bl w:val="nil"/>
                  </w:tcBorders>
                  <w:vAlign w:val="center"/>
                </w:tcPr>
                <w:p w14:paraId="2D4DF3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c>
                <w:tcPr>
                  <w:tcW w:w="2066" w:type="dxa"/>
                  <w:tcBorders>
                    <w:tl2br w:val="nil"/>
                    <w:tr2bl w:val="nil"/>
                  </w:tcBorders>
                  <w:vAlign w:val="center"/>
                </w:tcPr>
                <w:p w14:paraId="73BB7F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0.001</w:t>
                  </w:r>
                </w:p>
              </w:tc>
              <w:tc>
                <w:tcPr>
                  <w:tcW w:w="586" w:type="pct"/>
                  <w:vMerge w:val="continue"/>
                  <w:tcBorders>
                    <w:tl2br w:val="nil"/>
                    <w:tr2bl w:val="nil"/>
                  </w:tcBorders>
                  <w:vAlign w:val="center"/>
                </w:tcPr>
                <w:p w14:paraId="38D7E4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r>
            <w:tr w14:paraId="152F04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9" w:hRule="atLeast"/>
                <w:jc w:val="center"/>
              </w:trPr>
              <w:tc>
                <w:tcPr>
                  <w:tcW w:w="1403" w:type="pct"/>
                  <w:tcBorders>
                    <w:tl2br w:val="nil"/>
                    <w:tr2bl w:val="nil"/>
                  </w:tcBorders>
                  <w:vAlign w:val="center"/>
                </w:tcPr>
                <w:p w14:paraId="72AE72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水合氯醛</w:t>
                  </w:r>
                </w:p>
              </w:tc>
              <w:tc>
                <w:tcPr>
                  <w:tcW w:w="1698" w:type="pct"/>
                  <w:tcBorders>
                    <w:tl2br w:val="nil"/>
                    <w:tr2bl w:val="nil"/>
                  </w:tcBorders>
                  <w:vAlign w:val="center"/>
                </w:tcPr>
                <w:p w14:paraId="3DBFBB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2066" w:type="dxa"/>
                  <w:tcBorders>
                    <w:tl2br w:val="nil"/>
                    <w:tr2bl w:val="nil"/>
                  </w:tcBorders>
                  <w:vAlign w:val="center"/>
                </w:tcPr>
                <w:p w14:paraId="67E3DD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0.031</w:t>
                  </w:r>
                </w:p>
              </w:tc>
              <w:tc>
                <w:tcPr>
                  <w:tcW w:w="586" w:type="pct"/>
                  <w:vMerge w:val="continue"/>
                  <w:tcBorders>
                    <w:tl2br w:val="nil"/>
                    <w:tr2bl w:val="nil"/>
                  </w:tcBorders>
                  <w:vAlign w:val="center"/>
                </w:tcPr>
                <w:p w14:paraId="1E574E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r>
            <w:tr w14:paraId="5ED229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6" w:hRule="atLeast"/>
                <w:jc w:val="center"/>
              </w:trPr>
              <w:tc>
                <w:tcPr>
                  <w:tcW w:w="1403" w:type="pct"/>
                  <w:tcBorders>
                    <w:tl2br w:val="nil"/>
                    <w:tr2bl w:val="nil"/>
                  </w:tcBorders>
                  <w:vAlign w:val="center"/>
                </w:tcPr>
                <w:p w14:paraId="4C0FB4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十二烷基硫酸钠</w:t>
                  </w:r>
                </w:p>
              </w:tc>
              <w:tc>
                <w:tcPr>
                  <w:tcW w:w="1698" w:type="pct"/>
                  <w:tcBorders>
                    <w:tl2br w:val="nil"/>
                    <w:tr2bl w:val="nil"/>
                  </w:tcBorders>
                  <w:vAlign w:val="center"/>
                </w:tcPr>
                <w:p w14:paraId="74817F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2066" w:type="dxa"/>
                  <w:tcBorders>
                    <w:tl2br w:val="nil"/>
                    <w:tr2bl w:val="nil"/>
                  </w:tcBorders>
                  <w:vAlign w:val="center"/>
                </w:tcPr>
                <w:p w14:paraId="7FAF11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0.046</w:t>
                  </w:r>
                </w:p>
              </w:tc>
              <w:tc>
                <w:tcPr>
                  <w:tcW w:w="586" w:type="pct"/>
                  <w:vMerge w:val="continue"/>
                  <w:tcBorders>
                    <w:tl2br w:val="nil"/>
                    <w:tr2bl w:val="nil"/>
                  </w:tcBorders>
                  <w:vAlign w:val="center"/>
                </w:tcPr>
                <w:p w14:paraId="28CDBD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r>
            <w:tr w14:paraId="6D60FA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1" w:hRule="atLeast"/>
                <w:jc w:val="center"/>
              </w:trPr>
              <w:tc>
                <w:tcPr>
                  <w:tcW w:w="1403" w:type="pct"/>
                  <w:tcBorders>
                    <w:tl2br w:val="nil"/>
                    <w:tr2bl w:val="nil"/>
                  </w:tcBorders>
                  <w:vAlign w:val="center"/>
                </w:tcPr>
                <w:p w14:paraId="5106A4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三（羟甲基）氨基甲烷</w:t>
                  </w:r>
                </w:p>
              </w:tc>
              <w:tc>
                <w:tcPr>
                  <w:tcW w:w="1698" w:type="pct"/>
                  <w:tcBorders>
                    <w:tl2br w:val="nil"/>
                    <w:tr2bl w:val="nil"/>
                  </w:tcBorders>
                  <w:vAlign w:val="center"/>
                </w:tcPr>
                <w:p w14:paraId="221A8B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2066" w:type="dxa"/>
                  <w:tcBorders>
                    <w:tl2br w:val="nil"/>
                    <w:tr2bl w:val="nil"/>
                  </w:tcBorders>
                  <w:vAlign w:val="center"/>
                </w:tcPr>
                <w:p w14:paraId="655E73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0.021</w:t>
                  </w:r>
                </w:p>
              </w:tc>
              <w:tc>
                <w:tcPr>
                  <w:tcW w:w="586" w:type="pct"/>
                  <w:vMerge w:val="continue"/>
                  <w:tcBorders>
                    <w:tl2br w:val="nil"/>
                    <w:tr2bl w:val="nil"/>
                  </w:tcBorders>
                  <w:vAlign w:val="center"/>
                </w:tcPr>
                <w:p w14:paraId="5DDC85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p>
              </w:tc>
            </w:tr>
            <w:tr w14:paraId="60DAAA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1" w:hRule="atLeast"/>
                <w:jc w:val="center"/>
              </w:trPr>
              <w:tc>
                <w:tcPr>
                  <w:tcW w:w="1403" w:type="pct"/>
                  <w:tcBorders>
                    <w:tl2br w:val="nil"/>
                    <w:tr2bl w:val="nil"/>
                  </w:tcBorders>
                  <w:vAlign w:val="center"/>
                </w:tcPr>
                <w:p w14:paraId="53AB64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乙基苯基聚乙二醇</w:t>
                  </w:r>
                </w:p>
              </w:tc>
              <w:tc>
                <w:tcPr>
                  <w:tcW w:w="1698" w:type="pct"/>
                  <w:tcBorders>
                    <w:tl2br w:val="nil"/>
                    <w:tr2bl w:val="nil"/>
                  </w:tcBorders>
                  <w:vAlign w:val="center"/>
                </w:tcPr>
                <w:p w14:paraId="5765C3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2066" w:type="dxa"/>
                  <w:tcBorders>
                    <w:tl2br w:val="nil"/>
                    <w:tr2bl w:val="nil"/>
                  </w:tcBorders>
                  <w:vAlign w:val="center"/>
                </w:tcPr>
                <w:p w14:paraId="1D087F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0.004</w:t>
                  </w:r>
                </w:p>
              </w:tc>
              <w:tc>
                <w:tcPr>
                  <w:tcW w:w="586" w:type="pct"/>
                  <w:vMerge w:val="continue"/>
                  <w:tcBorders>
                    <w:tl2br w:val="nil"/>
                    <w:tr2bl w:val="nil"/>
                  </w:tcBorders>
                  <w:vAlign w:val="center"/>
                </w:tcPr>
                <w:p w14:paraId="5858E9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0C57E7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64" w:hRule="atLeast"/>
                <w:jc w:val="center"/>
              </w:trPr>
              <w:tc>
                <w:tcPr>
                  <w:tcW w:w="1403" w:type="pct"/>
                  <w:tcBorders>
                    <w:tl2br w:val="nil"/>
                    <w:tr2bl w:val="nil"/>
                  </w:tcBorders>
                  <w:vAlign w:val="center"/>
                </w:tcPr>
                <w:p w14:paraId="42B104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氯化钠</w:t>
                  </w:r>
                </w:p>
              </w:tc>
              <w:tc>
                <w:tcPr>
                  <w:tcW w:w="1698" w:type="pct"/>
                  <w:tcBorders>
                    <w:tl2br w:val="nil"/>
                    <w:tr2bl w:val="nil"/>
                  </w:tcBorders>
                  <w:vAlign w:val="center"/>
                </w:tcPr>
                <w:p w14:paraId="163C03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2066" w:type="dxa"/>
                  <w:tcBorders>
                    <w:tl2br w:val="nil"/>
                    <w:tr2bl w:val="nil"/>
                  </w:tcBorders>
                  <w:vAlign w:val="center"/>
                </w:tcPr>
                <w:p w14:paraId="70B122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0.063</w:t>
                  </w:r>
                </w:p>
              </w:tc>
              <w:tc>
                <w:tcPr>
                  <w:tcW w:w="586" w:type="pct"/>
                  <w:vMerge w:val="continue"/>
                  <w:tcBorders>
                    <w:tl2br w:val="nil"/>
                    <w:tr2bl w:val="nil"/>
                  </w:tcBorders>
                  <w:vAlign w:val="center"/>
                </w:tcPr>
                <w:p w14:paraId="72C372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34C143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403" w:type="pct"/>
                  <w:tcBorders>
                    <w:tl2br w:val="nil"/>
                    <w:tr2bl w:val="nil"/>
                  </w:tcBorders>
                  <w:vAlign w:val="center"/>
                </w:tcPr>
                <w:p w14:paraId="078021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氯化钾</w:t>
                  </w:r>
                </w:p>
              </w:tc>
              <w:tc>
                <w:tcPr>
                  <w:tcW w:w="1698" w:type="pct"/>
                  <w:tcBorders>
                    <w:tl2br w:val="nil"/>
                    <w:tr2bl w:val="nil"/>
                  </w:tcBorders>
                  <w:vAlign w:val="center"/>
                </w:tcPr>
                <w:p w14:paraId="02A5A8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t>
                  </w:r>
                </w:p>
              </w:tc>
              <w:tc>
                <w:tcPr>
                  <w:tcW w:w="2066" w:type="dxa"/>
                  <w:tcBorders>
                    <w:tl2br w:val="nil"/>
                    <w:tr2bl w:val="nil"/>
                  </w:tcBorders>
                  <w:vAlign w:val="center"/>
                </w:tcPr>
                <w:p w14:paraId="5F1B2F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0.010</w:t>
                  </w:r>
                </w:p>
              </w:tc>
              <w:tc>
                <w:tcPr>
                  <w:tcW w:w="586" w:type="pct"/>
                  <w:vMerge w:val="continue"/>
                  <w:tcBorders>
                    <w:tl2br w:val="nil"/>
                    <w:tr2bl w:val="nil"/>
                  </w:tcBorders>
                  <w:vAlign w:val="center"/>
                </w:tcPr>
                <w:p w14:paraId="1698FD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23870E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64" w:hRule="atLeast"/>
                <w:jc w:val="center"/>
              </w:trPr>
              <w:tc>
                <w:tcPr>
                  <w:tcW w:w="1403" w:type="pct"/>
                  <w:tcBorders>
                    <w:tl2br w:val="nil"/>
                    <w:tr2bl w:val="nil"/>
                  </w:tcBorders>
                  <w:vAlign w:val="center"/>
                </w:tcPr>
                <w:p w14:paraId="352AF2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磷酸氢二钠</w:t>
                  </w:r>
                </w:p>
              </w:tc>
              <w:tc>
                <w:tcPr>
                  <w:tcW w:w="1698" w:type="pct"/>
                  <w:tcBorders>
                    <w:tl2br w:val="nil"/>
                    <w:tr2bl w:val="nil"/>
                  </w:tcBorders>
                  <w:vAlign w:val="center"/>
                </w:tcPr>
                <w:p w14:paraId="1EA388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t>
                  </w:r>
                </w:p>
              </w:tc>
              <w:tc>
                <w:tcPr>
                  <w:tcW w:w="2066" w:type="dxa"/>
                  <w:tcBorders>
                    <w:tl2br w:val="nil"/>
                    <w:tr2bl w:val="nil"/>
                  </w:tcBorders>
                  <w:vAlign w:val="center"/>
                </w:tcPr>
                <w:p w14:paraId="3B509E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0.042</w:t>
                  </w:r>
                </w:p>
              </w:tc>
              <w:tc>
                <w:tcPr>
                  <w:tcW w:w="586" w:type="pct"/>
                  <w:vMerge w:val="continue"/>
                  <w:tcBorders>
                    <w:tl2br w:val="nil"/>
                    <w:tr2bl w:val="nil"/>
                  </w:tcBorders>
                  <w:vAlign w:val="center"/>
                </w:tcPr>
                <w:p w14:paraId="24D7BD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15A252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6" w:hRule="atLeast"/>
                <w:jc w:val="center"/>
              </w:trPr>
              <w:tc>
                <w:tcPr>
                  <w:tcW w:w="1403" w:type="pct"/>
                  <w:tcBorders>
                    <w:tl2br w:val="nil"/>
                    <w:tr2bl w:val="nil"/>
                  </w:tcBorders>
                  <w:vAlign w:val="center"/>
                </w:tcPr>
                <w:p w14:paraId="7B3FE4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磷酸二氢钾</w:t>
                  </w:r>
                </w:p>
              </w:tc>
              <w:tc>
                <w:tcPr>
                  <w:tcW w:w="1698" w:type="pct"/>
                  <w:tcBorders>
                    <w:tl2br w:val="nil"/>
                    <w:tr2bl w:val="nil"/>
                  </w:tcBorders>
                  <w:vAlign w:val="center"/>
                </w:tcPr>
                <w:p w14:paraId="56ABE1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2066" w:type="dxa"/>
                  <w:tcBorders>
                    <w:tl2br w:val="nil"/>
                    <w:tr2bl w:val="nil"/>
                  </w:tcBorders>
                  <w:vAlign w:val="center"/>
                </w:tcPr>
                <w:p w14:paraId="7712A7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0.004</w:t>
                  </w:r>
                </w:p>
              </w:tc>
              <w:tc>
                <w:tcPr>
                  <w:tcW w:w="586" w:type="pct"/>
                  <w:vMerge w:val="continue"/>
                  <w:tcBorders>
                    <w:tl2br w:val="nil"/>
                    <w:tr2bl w:val="nil"/>
                  </w:tcBorders>
                  <w:vAlign w:val="center"/>
                </w:tcPr>
                <w:p w14:paraId="5C95009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145A72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6" w:hRule="atLeast"/>
                <w:jc w:val="center"/>
              </w:trPr>
              <w:tc>
                <w:tcPr>
                  <w:tcW w:w="1403" w:type="pct"/>
                  <w:tcBorders>
                    <w:tl2br w:val="nil"/>
                    <w:tr2bl w:val="nil"/>
                  </w:tcBorders>
                  <w:vAlign w:val="center"/>
                </w:tcPr>
                <w:p w14:paraId="2AFDBB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废活性炭</w:t>
                  </w:r>
                </w:p>
              </w:tc>
              <w:tc>
                <w:tcPr>
                  <w:tcW w:w="1698" w:type="pct"/>
                  <w:tcBorders>
                    <w:tl2br w:val="nil"/>
                    <w:tr2bl w:val="nil"/>
                  </w:tcBorders>
                  <w:vAlign w:val="center"/>
                </w:tcPr>
                <w:p w14:paraId="31D869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废活性炭、有机物</w:t>
                  </w:r>
                </w:p>
              </w:tc>
              <w:tc>
                <w:tcPr>
                  <w:tcW w:w="1311" w:type="pct"/>
                  <w:tcBorders>
                    <w:tl2br w:val="nil"/>
                    <w:tr2bl w:val="nil"/>
                  </w:tcBorders>
                  <w:vAlign w:val="center"/>
                </w:tcPr>
                <w:p w14:paraId="003874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0.382</w:t>
                  </w:r>
                </w:p>
              </w:tc>
              <w:tc>
                <w:tcPr>
                  <w:tcW w:w="586" w:type="pct"/>
                  <w:vMerge w:val="restart"/>
                  <w:tcBorders>
                    <w:tl2br w:val="nil"/>
                    <w:tr2bl w:val="nil"/>
                  </w:tcBorders>
                  <w:vAlign w:val="center"/>
                </w:tcPr>
                <w:p w14:paraId="6E57BD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医疗危废暂存间</w:t>
                  </w:r>
                </w:p>
              </w:tc>
            </w:tr>
            <w:tr w14:paraId="25318D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38" w:hRule="atLeast"/>
                <w:jc w:val="center"/>
              </w:trPr>
              <w:tc>
                <w:tcPr>
                  <w:tcW w:w="1403" w:type="pct"/>
                  <w:tcBorders>
                    <w:tl2br w:val="nil"/>
                    <w:tr2bl w:val="nil"/>
                  </w:tcBorders>
                  <w:vAlign w:val="center"/>
                </w:tcPr>
                <w:p w14:paraId="733BC2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医疗废物</w:t>
                  </w:r>
                </w:p>
              </w:tc>
              <w:tc>
                <w:tcPr>
                  <w:tcW w:w="1698" w:type="pct"/>
                  <w:tcBorders>
                    <w:tl2br w:val="nil"/>
                    <w:tr2bl w:val="nil"/>
                  </w:tcBorders>
                  <w:vAlign w:val="center"/>
                </w:tcPr>
                <w:p w14:paraId="169735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各类医疗废物</w:t>
                  </w:r>
                </w:p>
              </w:tc>
              <w:tc>
                <w:tcPr>
                  <w:tcW w:w="1311" w:type="pct"/>
                  <w:tcBorders>
                    <w:tl2br w:val="nil"/>
                    <w:tr2bl w:val="nil"/>
                  </w:tcBorders>
                  <w:vAlign w:val="center"/>
                </w:tcPr>
                <w:p w14:paraId="7AD748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0.007</w:t>
                  </w:r>
                </w:p>
              </w:tc>
              <w:tc>
                <w:tcPr>
                  <w:tcW w:w="586" w:type="pct"/>
                  <w:vMerge w:val="continue"/>
                  <w:tcBorders>
                    <w:tl2br w:val="nil"/>
                    <w:tr2bl w:val="nil"/>
                  </w:tcBorders>
                  <w:vAlign w:val="center"/>
                </w:tcPr>
                <w:p w14:paraId="13CE34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p>
              </w:tc>
            </w:tr>
            <w:tr w14:paraId="364134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1" w:hRule="atLeast"/>
                <w:jc w:val="center"/>
              </w:trPr>
              <w:tc>
                <w:tcPr>
                  <w:tcW w:w="1403" w:type="pct"/>
                  <w:tcBorders>
                    <w:tl2br w:val="nil"/>
                    <w:tr2bl w:val="nil"/>
                  </w:tcBorders>
                  <w:vAlign w:val="center"/>
                </w:tcPr>
                <w:p w14:paraId="296140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eastAsiaTheme="minorEastAsia"/>
                      <w:color w:val="auto"/>
                      <w:sz w:val="18"/>
                      <w:szCs w:val="18"/>
                      <w:lang w:eastAsia="zh-CN"/>
                    </w:rPr>
                    <w:t>污水处理站</w:t>
                  </w:r>
                  <w:r>
                    <w:rPr>
                      <w:rFonts w:hint="default" w:ascii="Times New Roman" w:hAnsi="Times New Roman" w:cs="Times New Roman" w:eastAsiaTheme="minorEastAsia"/>
                      <w:color w:val="auto"/>
                      <w:sz w:val="18"/>
                      <w:szCs w:val="18"/>
                    </w:rPr>
                    <w:t>污泥</w:t>
                  </w:r>
                </w:p>
              </w:tc>
              <w:tc>
                <w:tcPr>
                  <w:tcW w:w="1698" w:type="pct"/>
                  <w:tcBorders>
                    <w:tl2br w:val="nil"/>
                    <w:tr2bl w:val="nil"/>
                  </w:tcBorders>
                  <w:vAlign w:val="center"/>
                </w:tcPr>
                <w:p w14:paraId="0BE754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cs="Times New Roman" w:eastAsiaTheme="minorEastAsia"/>
                      <w:color w:val="auto"/>
                      <w:sz w:val="18"/>
                      <w:szCs w:val="18"/>
                      <w:lang w:eastAsia="zh-CN"/>
                    </w:rPr>
                    <w:t>污泥、水、杂质、病菌</w:t>
                  </w:r>
                  <w:r>
                    <w:rPr>
                      <w:rFonts w:hint="default" w:ascii="Times New Roman" w:hAnsi="Times New Roman" w:cs="Times New Roman" w:eastAsiaTheme="minorEastAsia"/>
                      <w:color w:val="auto"/>
                      <w:sz w:val="18"/>
                      <w:szCs w:val="18"/>
                    </w:rPr>
                    <w:t>等</w:t>
                  </w:r>
                </w:p>
              </w:tc>
              <w:tc>
                <w:tcPr>
                  <w:tcW w:w="1311" w:type="pct"/>
                  <w:tcBorders>
                    <w:tl2br w:val="nil"/>
                    <w:tr2bl w:val="nil"/>
                  </w:tcBorders>
                  <w:vAlign w:val="center"/>
                </w:tcPr>
                <w:p w14:paraId="084DE0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0.002</w:t>
                  </w:r>
                </w:p>
              </w:tc>
              <w:tc>
                <w:tcPr>
                  <w:tcW w:w="586" w:type="pct"/>
                  <w:vMerge w:val="continue"/>
                  <w:tcBorders>
                    <w:tl2br w:val="nil"/>
                    <w:tr2bl w:val="nil"/>
                  </w:tcBorders>
                  <w:vAlign w:val="center"/>
                </w:tcPr>
                <w:p w14:paraId="7B96E4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p>
              </w:tc>
            </w:tr>
          </w:tbl>
          <w:p w14:paraId="4E5D35B4">
            <w:pPr>
              <w:keepNext w:val="0"/>
              <w:keepLines w:val="0"/>
              <w:suppressLineNumbers w:val="0"/>
              <w:spacing w:before="0" w:beforeAutospacing="0" w:after="0" w:afterAutospacing="0" w:line="240" w:lineRule="auto"/>
              <w:ind w:left="0" w:right="0" w:firstLine="420"/>
              <w:rPr>
                <w:rStyle w:val="30"/>
                <w:rFonts w:hint="default" w:eastAsia="宋体"/>
                <w:color w:val="auto"/>
                <w:kern w:val="0"/>
                <w:sz w:val="18"/>
                <w:szCs w:val="18"/>
                <w:lang w:val="en-US" w:eastAsia="zh-CN"/>
              </w:rPr>
            </w:pPr>
            <w:r>
              <w:rPr>
                <w:rFonts w:hint="eastAsia"/>
                <w:color w:val="auto"/>
                <w:sz w:val="18"/>
                <w:szCs w:val="18"/>
              </w:rPr>
              <w:t>注：</w:t>
            </w:r>
            <w:r>
              <w:rPr>
                <w:rFonts w:hint="eastAsia"/>
                <w:color w:val="auto"/>
                <w:sz w:val="18"/>
                <w:szCs w:val="18"/>
                <w:lang w:eastAsia="zh-CN"/>
              </w:rPr>
              <w:t>（</w:t>
            </w:r>
            <w:r>
              <w:rPr>
                <w:rFonts w:hint="eastAsia"/>
                <w:color w:val="auto"/>
                <w:sz w:val="18"/>
                <w:szCs w:val="18"/>
                <w:lang w:val="en-US" w:eastAsia="zh-CN"/>
              </w:rPr>
              <w:t>1</w:t>
            </w:r>
            <w:r>
              <w:rPr>
                <w:rFonts w:hint="eastAsia"/>
                <w:color w:val="auto"/>
                <w:sz w:val="18"/>
                <w:szCs w:val="18"/>
                <w:lang w:eastAsia="zh-CN"/>
              </w:rPr>
              <w:t>）</w:t>
            </w:r>
            <w:r>
              <w:rPr>
                <w:rFonts w:hint="eastAsia"/>
                <w:color w:val="auto"/>
                <w:sz w:val="18"/>
                <w:szCs w:val="18"/>
                <w:lang w:val="en-US" w:eastAsia="zh-CN"/>
              </w:rPr>
              <w:t>废活性炭</w:t>
            </w:r>
            <w:r>
              <w:rPr>
                <w:rFonts w:hint="eastAsia"/>
                <w:color w:val="auto"/>
                <w:sz w:val="18"/>
                <w:szCs w:val="18"/>
                <w:lang w:eastAsia="zh-CN"/>
              </w:rPr>
              <w:t>更换周期</w:t>
            </w:r>
            <w:r>
              <w:rPr>
                <w:rFonts w:hint="eastAsia"/>
                <w:color w:val="auto"/>
                <w:sz w:val="18"/>
                <w:szCs w:val="18"/>
              </w:rPr>
              <w:t>为</w:t>
            </w:r>
            <w:r>
              <w:rPr>
                <w:rFonts w:hint="eastAsia"/>
                <w:color w:val="auto"/>
                <w:sz w:val="18"/>
                <w:szCs w:val="18"/>
                <w:lang w:val="en-US" w:eastAsia="zh-CN"/>
              </w:rPr>
              <w:t>2</w:t>
            </w:r>
            <w:r>
              <w:rPr>
                <w:rFonts w:hint="eastAsia"/>
                <w:color w:val="auto"/>
                <w:sz w:val="18"/>
                <w:szCs w:val="18"/>
              </w:rPr>
              <w:t>个月，最大贮存量以</w:t>
            </w:r>
            <w:r>
              <w:rPr>
                <w:rFonts w:hint="eastAsia"/>
                <w:color w:val="auto"/>
                <w:sz w:val="18"/>
                <w:szCs w:val="18"/>
                <w:lang w:val="en-US" w:eastAsia="zh-CN"/>
              </w:rPr>
              <w:t>2个月转运1次</w:t>
            </w:r>
            <w:r>
              <w:rPr>
                <w:rFonts w:hint="eastAsia"/>
                <w:color w:val="auto"/>
                <w:sz w:val="18"/>
                <w:szCs w:val="18"/>
              </w:rPr>
              <w:t>计。</w:t>
            </w:r>
            <w:r>
              <w:rPr>
                <w:rFonts w:hint="eastAsia"/>
                <w:color w:val="auto"/>
                <w:sz w:val="18"/>
                <w:szCs w:val="18"/>
                <w:lang w:eastAsia="zh-CN"/>
              </w:rPr>
              <w:t>（</w:t>
            </w:r>
            <w:r>
              <w:rPr>
                <w:rFonts w:hint="eastAsia"/>
                <w:color w:val="auto"/>
                <w:sz w:val="18"/>
                <w:szCs w:val="18"/>
                <w:lang w:val="en-US" w:eastAsia="zh-CN"/>
              </w:rPr>
              <w:t>2</w:t>
            </w:r>
            <w:r>
              <w:rPr>
                <w:rFonts w:hint="eastAsia"/>
                <w:color w:val="auto"/>
                <w:sz w:val="18"/>
                <w:szCs w:val="18"/>
                <w:lang w:eastAsia="zh-CN"/>
              </w:rPr>
              <w:t>）</w:t>
            </w:r>
            <w:r>
              <w:rPr>
                <w:rFonts w:hint="eastAsia"/>
                <w:color w:val="auto"/>
                <w:sz w:val="18"/>
                <w:szCs w:val="18"/>
                <w:lang w:val="en-US" w:eastAsia="zh-CN"/>
              </w:rPr>
              <w:t>医疗废物转运周期以2天计。</w:t>
            </w:r>
          </w:p>
          <w:p w14:paraId="552B59A2">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line="240" w:lineRule="auto"/>
              <w:ind w:left="0" w:right="0" w:firstLine="0" w:firstLineChars="0"/>
              <w:jc w:val="center"/>
              <w:textAlignment w:val="auto"/>
              <w:rPr>
                <w:rFonts w:hint="eastAsia" w:eastAsiaTheme="minorEastAsia"/>
                <w:color w:val="auto"/>
                <w:kern w:val="0"/>
                <w:sz w:val="24"/>
              </w:rPr>
            </w:pPr>
            <w:r>
              <w:rPr>
                <w:rFonts w:hint="eastAsia" w:eastAsiaTheme="minorEastAsia"/>
                <w:b/>
                <w:bCs/>
                <w:color w:val="auto"/>
                <w:kern w:val="0"/>
                <w:sz w:val="24"/>
              </w:rPr>
              <w:t xml:space="preserve">表4.7-2  </w:t>
            </w:r>
            <w:r>
              <w:rPr>
                <w:rFonts w:hint="eastAsia" w:eastAsiaTheme="minorEastAsia"/>
                <w:b/>
                <w:bCs/>
                <w:color w:val="auto"/>
                <w:kern w:val="0"/>
                <w:sz w:val="24"/>
                <w:lang w:val="en-US" w:eastAsia="zh-CN"/>
              </w:rPr>
              <w:t>本项目</w:t>
            </w:r>
            <w:r>
              <w:rPr>
                <w:rFonts w:hint="eastAsia" w:eastAsiaTheme="minorEastAsia"/>
                <w:b/>
                <w:bCs/>
                <w:color w:val="auto"/>
                <w:kern w:val="0"/>
                <w:sz w:val="24"/>
              </w:rPr>
              <w:t>Q值确定表</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754"/>
              <w:gridCol w:w="1876"/>
              <w:gridCol w:w="1093"/>
              <w:gridCol w:w="1407"/>
              <w:gridCol w:w="991"/>
              <w:gridCol w:w="1731"/>
            </w:tblGrid>
            <w:tr w14:paraId="7CC556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80" w:type="pct"/>
                  <w:tcBorders>
                    <w:tl2br w:val="nil"/>
                    <w:tr2bl w:val="nil"/>
                  </w:tcBorders>
                  <w:vAlign w:val="center"/>
                </w:tcPr>
                <w:p w14:paraId="092609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bCs/>
                      <w:color w:val="auto"/>
                      <w:sz w:val="18"/>
                      <w:szCs w:val="18"/>
                    </w:rPr>
                  </w:pPr>
                  <w:r>
                    <w:rPr>
                      <w:rFonts w:hint="eastAsia" w:ascii="Times New Roman" w:hAnsi="Times New Roman" w:eastAsia="宋体"/>
                      <w:b/>
                      <w:bCs/>
                      <w:color w:val="auto"/>
                      <w:sz w:val="18"/>
                      <w:szCs w:val="18"/>
                    </w:rPr>
                    <w:t>序号</w:t>
                  </w:r>
                </w:p>
              </w:tc>
              <w:tc>
                <w:tcPr>
                  <w:tcW w:w="1194" w:type="pct"/>
                  <w:tcBorders>
                    <w:tl2br w:val="nil"/>
                    <w:tr2bl w:val="nil"/>
                  </w:tcBorders>
                  <w:vAlign w:val="center"/>
                </w:tcPr>
                <w:p w14:paraId="154F8A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bCs/>
                      <w:color w:val="auto"/>
                      <w:sz w:val="18"/>
                      <w:szCs w:val="18"/>
                    </w:rPr>
                  </w:pPr>
                  <w:r>
                    <w:rPr>
                      <w:rFonts w:hint="eastAsia" w:ascii="Times New Roman" w:hAnsi="Times New Roman" w:eastAsia="宋体"/>
                      <w:b/>
                      <w:bCs/>
                      <w:color w:val="auto"/>
                      <w:sz w:val="18"/>
                      <w:szCs w:val="18"/>
                    </w:rPr>
                    <w:t>危险物质名称</w:t>
                  </w:r>
                </w:p>
              </w:tc>
              <w:tc>
                <w:tcPr>
                  <w:tcW w:w="696" w:type="pct"/>
                  <w:tcBorders>
                    <w:tl2br w:val="nil"/>
                    <w:tr2bl w:val="nil"/>
                  </w:tcBorders>
                  <w:vAlign w:val="center"/>
                </w:tcPr>
                <w:p w14:paraId="08369F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bCs/>
                      <w:color w:val="auto"/>
                      <w:sz w:val="18"/>
                      <w:szCs w:val="18"/>
                      <w:lang w:eastAsia="zh-CN"/>
                    </w:rPr>
                  </w:pPr>
                  <w:r>
                    <w:rPr>
                      <w:rFonts w:hint="eastAsia"/>
                      <w:b/>
                      <w:bCs/>
                      <w:color w:val="auto"/>
                      <w:sz w:val="18"/>
                      <w:szCs w:val="18"/>
                      <w:lang w:val="en-US" w:eastAsia="zh-CN"/>
                    </w:rPr>
                    <w:t>类别</w:t>
                  </w:r>
                </w:p>
              </w:tc>
              <w:tc>
                <w:tcPr>
                  <w:tcW w:w="896" w:type="pct"/>
                  <w:tcBorders>
                    <w:tl2br w:val="nil"/>
                    <w:tr2bl w:val="nil"/>
                  </w:tcBorders>
                  <w:vAlign w:val="center"/>
                </w:tcPr>
                <w:p w14:paraId="4C4B99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bCs/>
                      <w:color w:val="auto"/>
                      <w:sz w:val="18"/>
                      <w:szCs w:val="18"/>
                    </w:rPr>
                  </w:pPr>
                  <w:r>
                    <w:rPr>
                      <w:rFonts w:hint="eastAsia" w:ascii="Times New Roman" w:hAnsi="Times New Roman" w:eastAsia="宋体"/>
                      <w:b/>
                      <w:bCs/>
                      <w:color w:val="auto"/>
                      <w:sz w:val="18"/>
                      <w:szCs w:val="18"/>
                    </w:rPr>
                    <w:t>最大存在总量t</w:t>
                  </w:r>
                </w:p>
              </w:tc>
              <w:tc>
                <w:tcPr>
                  <w:tcW w:w="631" w:type="pct"/>
                  <w:tcBorders>
                    <w:tl2br w:val="nil"/>
                    <w:tr2bl w:val="nil"/>
                  </w:tcBorders>
                  <w:vAlign w:val="center"/>
                </w:tcPr>
                <w:p w14:paraId="58EDA5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bCs/>
                      <w:color w:val="auto"/>
                      <w:sz w:val="18"/>
                      <w:szCs w:val="18"/>
                      <w:lang w:val="en-US" w:eastAsia="zh-CN"/>
                    </w:rPr>
                  </w:pPr>
                  <w:r>
                    <w:rPr>
                      <w:rFonts w:hint="eastAsia" w:ascii="Times New Roman" w:hAnsi="Times New Roman" w:eastAsia="宋体"/>
                      <w:b/>
                      <w:bCs/>
                      <w:color w:val="auto"/>
                      <w:sz w:val="18"/>
                      <w:szCs w:val="18"/>
                    </w:rPr>
                    <w:t>临界量t</w:t>
                  </w:r>
                </w:p>
              </w:tc>
              <w:tc>
                <w:tcPr>
                  <w:tcW w:w="1102" w:type="pct"/>
                  <w:tcBorders>
                    <w:tl2br w:val="nil"/>
                    <w:tr2bl w:val="nil"/>
                  </w:tcBorders>
                  <w:vAlign w:val="center"/>
                </w:tcPr>
                <w:p w14:paraId="6D54D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bCs/>
                      <w:color w:val="auto"/>
                      <w:sz w:val="18"/>
                      <w:szCs w:val="18"/>
                    </w:rPr>
                  </w:pPr>
                  <w:r>
                    <w:rPr>
                      <w:rFonts w:hint="eastAsia" w:ascii="Times New Roman" w:hAnsi="Times New Roman" w:eastAsia="宋体"/>
                      <w:b/>
                      <w:bCs/>
                      <w:color w:val="auto"/>
                      <w:sz w:val="18"/>
                      <w:szCs w:val="18"/>
                    </w:rPr>
                    <w:t>该种危险物质Q值</w:t>
                  </w:r>
                </w:p>
              </w:tc>
            </w:tr>
            <w:tr w14:paraId="2C16C8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3" w:hRule="atLeast"/>
              </w:trPr>
              <w:tc>
                <w:tcPr>
                  <w:tcW w:w="480" w:type="pct"/>
                  <w:tcBorders>
                    <w:tl2br w:val="nil"/>
                    <w:tr2bl w:val="nil"/>
                  </w:tcBorders>
                  <w:vAlign w:val="center"/>
                </w:tcPr>
                <w:p w14:paraId="32691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
                      <w:bCs/>
                      <w:color w:val="auto"/>
                      <w:sz w:val="18"/>
                      <w:szCs w:val="18"/>
                    </w:rPr>
                  </w:pPr>
                  <w:r>
                    <w:rPr>
                      <w:rFonts w:hint="eastAsia"/>
                      <w:bCs/>
                      <w:color w:val="auto"/>
                      <w:sz w:val="18"/>
                      <w:szCs w:val="18"/>
                      <w:lang w:val="en-US" w:eastAsia="zh-CN"/>
                    </w:rPr>
                    <w:t>1</w:t>
                  </w:r>
                </w:p>
              </w:tc>
              <w:tc>
                <w:tcPr>
                  <w:tcW w:w="1194" w:type="pct"/>
                  <w:tcBorders>
                    <w:tl2br w:val="nil"/>
                    <w:tr2bl w:val="nil"/>
                  </w:tcBorders>
                  <w:vAlign w:val="center"/>
                </w:tcPr>
                <w:p w14:paraId="351105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
                      <w:bCs/>
                      <w:color w:val="auto"/>
                      <w:sz w:val="18"/>
                      <w:szCs w:val="18"/>
                    </w:rPr>
                  </w:pPr>
                  <w:r>
                    <w:rPr>
                      <w:rFonts w:hint="default" w:ascii="Times New Roman" w:hAnsi="Times New Roman" w:eastAsia="宋体" w:cs="Times New Roman"/>
                      <w:color w:val="auto"/>
                      <w:kern w:val="0"/>
                      <w:sz w:val="18"/>
                      <w:szCs w:val="18"/>
                      <w:lang w:bidi="ar"/>
                    </w:rPr>
                    <w:t>异丙醇</w:t>
                  </w:r>
                </w:p>
              </w:tc>
              <w:tc>
                <w:tcPr>
                  <w:tcW w:w="696" w:type="pct"/>
                  <w:tcBorders>
                    <w:tl2br w:val="nil"/>
                    <w:tr2bl w:val="nil"/>
                  </w:tcBorders>
                  <w:vAlign w:val="center"/>
                </w:tcPr>
                <w:p w14:paraId="24ABAC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val="0"/>
                      <w:bCs w:val="0"/>
                      <w:color w:val="auto"/>
                      <w:sz w:val="18"/>
                      <w:szCs w:val="18"/>
                      <w:lang w:val="en-US" w:eastAsia="zh-CN"/>
                    </w:rPr>
                  </w:pPr>
                  <w:r>
                    <w:rPr>
                      <w:rFonts w:hint="eastAsia"/>
                      <w:b w:val="0"/>
                      <w:bCs w:val="0"/>
                      <w:color w:val="auto"/>
                      <w:sz w:val="18"/>
                      <w:szCs w:val="18"/>
                      <w:lang w:val="en-US" w:eastAsia="zh-CN"/>
                    </w:rPr>
                    <w:t>表B.1</w:t>
                  </w:r>
                </w:p>
              </w:tc>
              <w:tc>
                <w:tcPr>
                  <w:tcW w:w="896" w:type="pct"/>
                  <w:tcBorders>
                    <w:tl2br w:val="nil"/>
                    <w:tr2bl w:val="nil"/>
                  </w:tcBorders>
                  <w:vAlign w:val="center"/>
                </w:tcPr>
                <w:p w14:paraId="133E82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 w:val="0"/>
                      <w:bCs w:val="0"/>
                      <w:color w:val="auto"/>
                      <w:sz w:val="18"/>
                      <w:szCs w:val="18"/>
                      <w:lang w:val="en-US" w:eastAsia="zh-CN"/>
                    </w:rPr>
                  </w:pPr>
                  <w:r>
                    <w:rPr>
                      <w:rFonts w:hint="eastAsia" w:ascii="Times New Roman" w:hAnsi="Times New Roman" w:eastAsia="宋体" w:cs="Times New Roman"/>
                      <w:color w:val="auto"/>
                      <w:sz w:val="18"/>
                      <w:szCs w:val="18"/>
                      <w:lang w:val="en-US" w:eastAsia="zh-CN"/>
                    </w:rPr>
                    <w:t>0.008</w:t>
                  </w:r>
                </w:p>
              </w:tc>
              <w:tc>
                <w:tcPr>
                  <w:tcW w:w="631" w:type="pct"/>
                  <w:tcBorders>
                    <w:tl2br w:val="nil"/>
                    <w:tr2bl w:val="nil"/>
                  </w:tcBorders>
                  <w:vAlign w:val="center"/>
                </w:tcPr>
                <w:p w14:paraId="66DEF2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b w:val="0"/>
                      <w:bCs w:val="0"/>
                      <w:color w:val="auto"/>
                      <w:sz w:val="18"/>
                      <w:szCs w:val="18"/>
                      <w:lang w:val="en-US" w:eastAsia="zh-CN"/>
                    </w:rPr>
                  </w:pPr>
                  <w:r>
                    <w:rPr>
                      <w:rFonts w:hint="eastAsia"/>
                      <w:b w:val="0"/>
                      <w:bCs w:val="0"/>
                      <w:color w:val="auto"/>
                      <w:sz w:val="18"/>
                      <w:szCs w:val="18"/>
                      <w:lang w:val="en-US" w:eastAsia="zh-CN"/>
                    </w:rPr>
                    <w:t>10</w:t>
                  </w:r>
                </w:p>
              </w:tc>
              <w:tc>
                <w:tcPr>
                  <w:tcW w:w="1735" w:type="dxa"/>
                  <w:tcBorders>
                    <w:tl2br w:val="nil"/>
                    <w:tr2bl w:val="nil"/>
                  </w:tcBorders>
                  <w:vAlign w:val="center"/>
                </w:tcPr>
                <w:p w14:paraId="59AA47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val="0"/>
                      <w:bCs w:val="0"/>
                      <w:color w:val="auto"/>
                      <w:sz w:val="18"/>
                      <w:szCs w:val="18"/>
                      <w:lang w:val="en-US" w:eastAsia="zh-CN"/>
                    </w:rPr>
                  </w:pPr>
                  <w:r>
                    <w:rPr>
                      <w:rFonts w:hint="eastAsia" w:ascii="Times New Roman" w:hAnsi="Times New Roman" w:eastAsia="宋体"/>
                      <w:b w:val="0"/>
                      <w:bCs w:val="0"/>
                      <w:color w:val="auto"/>
                      <w:sz w:val="18"/>
                      <w:szCs w:val="18"/>
                      <w:lang w:val="en-US" w:eastAsia="zh-CN"/>
                    </w:rPr>
                    <w:t>0.0008</w:t>
                  </w:r>
                </w:p>
              </w:tc>
            </w:tr>
            <w:tr w14:paraId="0AD319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3" w:hRule="atLeast"/>
              </w:trPr>
              <w:tc>
                <w:tcPr>
                  <w:tcW w:w="480" w:type="pct"/>
                  <w:tcBorders>
                    <w:tl2br w:val="nil"/>
                    <w:tr2bl w:val="nil"/>
                  </w:tcBorders>
                  <w:vAlign w:val="center"/>
                </w:tcPr>
                <w:p w14:paraId="4F24C4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
                      <w:bCs/>
                      <w:color w:val="auto"/>
                      <w:sz w:val="18"/>
                      <w:szCs w:val="18"/>
                    </w:rPr>
                  </w:pPr>
                  <w:r>
                    <w:rPr>
                      <w:rFonts w:hint="eastAsia"/>
                      <w:bCs/>
                      <w:color w:val="auto"/>
                      <w:sz w:val="18"/>
                      <w:szCs w:val="18"/>
                      <w:lang w:val="en-US" w:eastAsia="zh-CN"/>
                    </w:rPr>
                    <w:t>2</w:t>
                  </w:r>
                </w:p>
              </w:tc>
              <w:tc>
                <w:tcPr>
                  <w:tcW w:w="1194" w:type="pct"/>
                  <w:tcBorders>
                    <w:tl2br w:val="nil"/>
                    <w:tr2bl w:val="nil"/>
                  </w:tcBorders>
                  <w:vAlign w:val="center"/>
                </w:tcPr>
                <w:p w14:paraId="5D3ACE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b/>
                      <w:bCs/>
                      <w:color w:val="auto"/>
                      <w:sz w:val="18"/>
                      <w:szCs w:val="18"/>
                    </w:rPr>
                  </w:pPr>
                  <w:r>
                    <w:rPr>
                      <w:rFonts w:hint="default" w:ascii="Times New Roman" w:hAnsi="Times New Roman" w:eastAsia="宋体" w:cs="Times New Roman"/>
                      <w:color w:val="auto"/>
                      <w:kern w:val="0"/>
                      <w:sz w:val="18"/>
                      <w:szCs w:val="18"/>
                      <w:lang w:bidi="ar"/>
                    </w:rPr>
                    <w:t>无水乙醇</w:t>
                  </w:r>
                </w:p>
              </w:tc>
              <w:tc>
                <w:tcPr>
                  <w:tcW w:w="696" w:type="pct"/>
                  <w:tcBorders>
                    <w:tl2br w:val="nil"/>
                    <w:tr2bl w:val="nil"/>
                  </w:tcBorders>
                  <w:vAlign w:val="center"/>
                </w:tcPr>
                <w:p w14:paraId="021701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val="0"/>
                      <w:bCs w:val="0"/>
                      <w:color w:val="auto"/>
                      <w:sz w:val="18"/>
                      <w:szCs w:val="18"/>
                      <w:lang w:val="en-US" w:eastAsia="zh-CN"/>
                    </w:rPr>
                  </w:pPr>
                  <w:r>
                    <w:rPr>
                      <w:rFonts w:hint="eastAsia"/>
                      <w:b w:val="0"/>
                      <w:bCs w:val="0"/>
                      <w:color w:val="auto"/>
                      <w:sz w:val="18"/>
                      <w:szCs w:val="18"/>
                      <w:lang w:val="en-US" w:eastAsia="zh-CN"/>
                    </w:rPr>
                    <w:t>/</w:t>
                  </w:r>
                </w:p>
              </w:tc>
              <w:tc>
                <w:tcPr>
                  <w:tcW w:w="896" w:type="pct"/>
                  <w:tcBorders>
                    <w:tl2br w:val="nil"/>
                    <w:tr2bl w:val="nil"/>
                  </w:tcBorders>
                  <w:vAlign w:val="center"/>
                </w:tcPr>
                <w:p w14:paraId="257AB4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val="0"/>
                      <w:color w:val="auto"/>
                      <w:sz w:val="18"/>
                      <w:szCs w:val="18"/>
                      <w:lang w:val="en-US" w:eastAsia="zh-CN"/>
                    </w:rPr>
                  </w:pPr>
                  <w:r>
                    <w:rPr>
                      <w:rFonts w:hint="eastAsia" w:ascii="Times New Roman" w:hAnsi="Times New Roman" w:eastAsia="宋体" w:cs="Times New Roman"/>
                      <w:color w:val="auto"/>
                      <w:sz w:val="18"/>
                      <w:szCs w:val="18"/>
                      <w:lang w:val="en-US" w:eastAsia="zh-CN"/>
                    </w:rPr>
                    <w:t>0.008</w:t>
                  </w:r>
                </w:p>
              </w:tc>
              <w:tc>
                <w:tcPr>
                  <w:tcW w:w="631" w:type="pct"/>
                  <w:tcBorders>
                    <w:tl2br w:val="nil"/>
                    <w:tr2bl w:val="nil"/>
                  </w:tcBorders>
                  <w:vAlign w:val="center"/>
                </w:tcPr>
                <w:p w14:paraId="3F1A9D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b w:val="0"/>
                      <w:bCs w:val="0"/>
                      <w:color w:val="auto"/>
                      <w:sz w:val="18"/>
                      <w:szCs w:val="18"/>
                      <w:lang w:val="en-US" w:eastAsia="zh-CN"/>
                    </w:rPr>
                  </w:pPr>
                  <w:r>
                    <w:rPr>
                      <w:rFonts w:hint="eastAsia"/>
                      <w:b w:val="0"/>
                      <w:bCs w:val="0"/>
                      <w:color w:val="auto"/>
                      <w:sz w:val="18"/>
                      <w:szCs w:val="18"/>
                      <w:lang w:val="en-US" w:eastAsia="zh-CN"/>
                    </w:rPr>
                    <w:t>/</w:t>
                  </w:r>
                </w:p>
              </w:tc>
              <w:tc>
                <w:tcPr>
                  <w:tcW w:w="1735" w:type="dxa"/>
                  <w:tcBorders>
                    <w:tl2br w:val="nil"/>
                    <w:tr2bl w:val="nil"/>
                  </w:tcBorders>
                  <w:vAlign w:val="center"/>
                </w:tcPr>
                <w:p w14:paraId="24CE5D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4E2891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80" w:type="pct"/>
                  <w:tcBorders>
                    <w:tl2br w:val="nil"/>
                    <w:tr2bl w:val="nil"/>
                  </w:tcBorders>
                  <w:vAlign w:val="center"/>
                </w:tcPr>
                <w:p w14:paraId="1580DD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
                      <w:bCs/>
                      <w:color w:val="auto"/>
                      <w:sz w:val="18"/>
                      <w:szCs w:val="18"/>
                    </w:rPr>
                  </w:pPr>
                  <w:r>
                    <w:rPr>
                      <w:rFonts w:hint="eastAsia"/>
                      <w:bCs/>
                      <w:color w:val="auto"/>
                      <w:sz w:val="18"/>
                      <w:szCs w:val="18"/>
                      <w:lang w:val="en-US" w:eastAsia="zh-CN"/>
                    </w:rPr>
                    <w:t>3</w:t>
                  </w:r>
                </w:p>
              </w:tc>
              <w:tc>
                <w:tcPr>
                  <w:tcW w:w="1194" w:type="pct"/>
                  <w:tcBorders>
                    <w:tl2br w:val="nil"/>
                    <w:tr2bl w:val="nil"/>
                  </w:tcBorders>
                  <w:vAlign w:val="center"/>
                </w:tcPr>
                <w:p w14:paraId="3FD2C7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b/>
                      <w:bCs/>
                      <w:color w:val="auto"/>
                      <w:sz w:val="18"/>
                      <w:szCs w:val="18"/>
                    </w:rPr>
                  </w:pPr>
                  <w:r>
                    <w:rPr>
                      <w:rFonts w:hint="default" w:ascii="Times New Roman" w:hAnsi="Times New Roman" w:eastAsia="宋体" w:cs="Times New Roman"/>
                      <w:color w:val="auto"/>
                      <w:kern w:val="0"/>
                      <w:sz w:val="18"/>
                      <w:szCs w:val="18"/>
                      <w:lang w:val="en-US" w:eastAsia="zh-CN" w:bidi="ar"/>
                    </w:rPr>
                    <w:t>丙烯酰胺</w:t>
                  </w:r>
                </w:p>
              </w:tc>
              <w:tc>
                <w:tcPr>
                  <w:tcW w:w="696" w:type="pct"/>
                  <w:tcBorders>
                    <w:tl2br w:val="nil"/>
                    <w:tr2bl w:val="nil"/>
                  </w:tcBorders>
                  <w:vAlign w:val="center"/>
                </w:tcPr>
                <w:p w14:paraId="102D7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val="0"/>
                      <w:bCs w:val="0"/>
                      <w:color w:val="auto"/>
                      <w:sz w:val="18"/>
                      <w:szCs w:val="18"/>
                      <w:lang w:val="en-US" w:eastAsia="zh-CN"/>
                    </w:rPr>
                  </w:pPr>
                  <w:r>
                    <w:rPr>
                      <w:rFonts w:hint="eastAsia" w:ascii="Times New Roman" w:hAnsi="Times New Roman" w:eastAsia="宋体"/>
                      <w:b w:val="0"/>
                      <w:bCs w:val="0"/>
                      <w:color w:val="auto"/>
                      <w:kern w:val="0"/>
                      <w:sz w:val="18"/>
                      <w:szCs w:val="18"/>
                    </w:rPr>
                    <w:t>健康危险急性毒性物质（类别2，类别3）</w:t>
                  </w:r>
                </w:p>
              </w:tc>
              <w:tc>
                <w:tcPr>
                  <w:tcW w:w="896" w:type="pct"/>
                  <w:tcBorders>
                    <w:tl2br w:val="nil"/>
                    <w:tr2bl w:val="nil"/>
                  </w:tcBorders>
                  <w:vAlign w:val="center"/>
                </w:tcPr>
                <w:p w14:paraId="0E4B5A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 w:val="0"/>
                      <w:bCs w:val="0"/>
                      <w:color w:val="auto"/>
                      <w:sz w:val="18"/>
                      <w:szCs w:val="18"/>
                      <w:lang w:val="en-US" w:eastAsia="zh-CN"/>
                    </w:rPr>
                  </w:pPr>
                  <w:r>
                    <w:rPr>
                      <w:rFonts w:hint="eastAsia" w:ascii="Times New Roman" w:hAnsi="Times New Roman" w:eastAsia="宋体" w:cs="Times New Roman"/>
                      <w:color w:val="auto"/>
                      <w:sz w:val="18"/>
                      <w:szCs w:val="18"/>
                      <w:lang w:val="en-US" w:eastAsia="zh-CN"/>
                    </w:rPr>
                    <w:t>0.021</w:t>
                  </w:r>
                </w:p>
              </w:tc>
              <w:tc>
                <w:tcPr>
                  <w:tcW w:w="631" w:type="pct"/>
                  <w:tcBorders>
                    <w:tl2br w:val="nil"/>
                    <w:tr2bl w:val="nil"/>
                  </w:tcBorders>
                  <w:vAlign w:val="center"/>
                </w:tcPr>
                <w:p w14:paraId="0C6DF2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b w:val="0"/>
                      <w:bCs w:val="0"/>
                      <w:color w:val="auto"/>
                      <w:sz w:val="18"/>
                      <w:szCs w:val="18"/>
                      <w:lang w:val="en-US" w:eastAsia="zh-CN"/>
                    </w:rPr>
                  </w:pPr>
                  <w:r>
                    <w:rPr>
                      <w:rFonts w:hint="eastAsia"/>
                      <w:b w:val="0"/>
                      <w:bCs w:val="0"/>
                      <w:color w:val="auto"/>
                      <w:sz w:val="18"/>
                      <w:szCs w:val="18"/>
                      <w:lang w:val="en-US" w:eastAsia="zh-CN"/>
                    </w:rPr>
                    <w:t>50</w:t>
                  </w:r>
                </w:p>
              </w:tc>
              <w:tc>
                <w:tcPr>
                  <w:tcW w:w="1735" w:type="dxa"/>
                  <w:tcBorders>
                    <w:tl2br w:val="nil"/>
                    <w:tr2bl w:val="nil"/>
                  </w:tcBorders>
                  <w:vAlign w:val="center"/>
                </w:tcPr>
                <w:p w14:paraId="228200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heme="minorBidi"/>
                      <w:b w:val="0"/>
                      <w:bCs w:val="0"/>
                      <w:color w:val="auto"/>
                      <w:kern w:val="2"/>
                      <w:sz w:val="18"/>
                      <w:szCs w:val="18"/>
                      <w:lang w:val="en-US" w:eastAsia="zh-CN" w:bidi="ar-SA"/>
                    </w:rPr>
                  </w:pPr>
                  <w:r>
                    <w:rPr>
                      <w:rFonts w:hint="default" w:ascii="Times New Roman" w:hAnsi="Times New Roman" w:eastAsia="宋体" w:cstheme="minorBidi"/>
                      <w:b w:val="0"/>
                      <w:bCs w:val="0"/>
                      <w:color w:val="auto"/>
                      <w:kern w:val="2"/>
                      <w:sz w:val="18"/>
                      <w:szCs w:val="18"/>
                      <w:lang w:val="en-US" w:eastAsia="zh-CN" w:bidi="ar-SA"/>
                    </w:rPr>
                    <w:t>0.00042</w:t>
                  </w:r>
                </w:p>
              </w:tc>
            </w:tr>
            <w:tr w14:paraId="6B8579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03" w:hRule="atLeast"/>
              </w:trPr>
              <w:tc>
                <w:tcPr>
                  <w:tcW w:w="480" w:type="pct"/>
                  <w:tcBorders>
                    <w:tl2br w:val="nil"/>
                    <w:tr2bl w:val="nil"/>
                  </w:tcBorders>
                  <w:vAlign w:val="center"/>
                </w:tcPr>
                <w:p w14:paraId="042A62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Cs/>
                      <w:color w:val="auto"/>
                      <w:sz w:val="18"/>
                      <w:szCs w:val="18"/>
                      <w:lang w:val="en-US" w:eastAsia="zh-CN"/>
                    </w:rPr>
                  </w:pPr>
                  <w:r>
                    <w:rPr>
                      <w:rFonts w:hint="eastAsia"/>
                      <w:bCs/>
                      <w:color w:val="auto"/>
                      <w:sz w:val="18"/>
                      <w:szCs w:val="18"/>
                      <w:lang w:val="en-US" w:eastAsia="zh-CN"/>
                    </w:rPr>
                    <w:t>4</w:t>
                  </w:r>
                </w:p>
              </w:tc>
              <w:tc>
                <w:tcPr>
                  <w:tcW w:w="1194" w:type="pct"/>
                  <w:tcBorders>
                    <w:tl2br w:val="nil"/>
                    <w:tr2bl w:val="nil"/>
                  </w:tcBorders>
                  <w:vAlign w:val="center"/>
                </w:tcPr>
                <w:p w14:paraId="730197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heme="minorBidi"/>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过硫酸</w:t>
                  </w:r>
                  <w:r>
                    <w:rPr>
                      <w:rFonts w:hint="eastAsia" w:ascii="Times New Roman" w:hAnsi="Times New Roman" w:eastAsia="宋体" w:cs="Times New Roman"/>
                      <w:color w:val="auto"/>
                      <w:kern w:val="0"/>
                      <w:sz w:val="18"/>
                      <w:szCs w:val="18"/>
                      <w:lang w:val="en-US" w:eastAsia="zh-CN" w:bidi="ar"/>
                    </w:rPr>
                    <w:t>铵</w:t>
                  </w:r>
                </w:p>
              </w:tc>
              <w:tc>
                <w:tcPr>
                  <w:tcW w:w="696" w:type="pct"/>
                  <w:vMerge w:val="restart"/>
                  <w:tcBorders>
                    <w:tl2br w:val="nil"/>
                    <w:tr2bl w:val="nil"/>
                  </w:tcBorders>
                  <w:vAlign w:val="center"/>
                </w:tcPr>
                <w:p w14:paraId="6C8BB5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val="en-US" w:eastAsia="zh-CN"/>
                    </w:rPr>
                  </w:pPr>
                  <w:r>
                    <w:rPr>
                      <w:rFonts w:hint="eastAsia"/>
                      <w:bCs/>
                      <w:color w:val="auto"/>
                      <w:sz w:val="18"/>
                      <w:szCs w:val="18"/>
                      <w:lang w:val="en-US" w:eastAsia="zh-CN"/>
                    </w:rPr>
                    <w:t>/</w:t>
                  </w:r>
                </w:p>
              </w:tc>
              <w:tc>
                <w:tcPr>
                  <w:tcW w:w="896" w:type="pct"/>
                  <w:tcBorders>
                    <w:tl2br w:val="nil"/>
                    <w:tr2bl w:val="nil"/>
                  </w:tcBorders>
                  <w:vAlign w:val="center"/>
                </w:tcPr>
                <w:p w14:paraId="41E54D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heme="minorEastAsia" w:cstheme="minorBidi"/>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0.031</w:t>
                  </w:r>
                </w:p>
              </w:tc>
              <w:tc>
                <w:tcPr>
                  <w:tcW w:w="631" w:type="pct"/>
                  <w:tcBorders>
                    <w:tl2br w:val="nil"/>
                    <w:tr2bl w:val="nil"/>
                  </w:tcBorders>
                  <w:vAlign w:val="center"/>
                </w:tcPr>
                <w:p w14:paraId="682C7E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kern w:val="0"/>
                      <w:sz w:val="18"/>
                      <w:szCs w:val="18"/>
                      <w:lang w:val="en-US" w:eastAsia="zh-CN"/>
                    </w:rPr>
                  </w:pPr>
                  <w:r>
                    <w:rPr>
                      <w:rFonts w:hint="eastAsia"/>
                      <w:color w:val="auto"/>
                      <w:kern w:val="0"/>
                      <w:sz w:val="18"/>
                      <w:szCs w:val="18"/>
                      <w:lang w:val="en-US" w:eastAsia="zh-CN"/>
                    </w:rPr>
                    <w:t>/</w:t>
                  </w:r>
                </w:p>
              </w:tc>
              <w:tc>
                <w:tcPr>
                  <w:tcW w:w="1735" w:type="dxa"/>
                  <w:tcBorders>
                    <w:tl2br w:val="nil"/>
                    <w:tr2bl w:val="nil"/>
                  </w:tcBorders>
                  <w:vAlign w:val="center"/>
                </w:tcPr>
                <w:p w14:paraId="05FF5D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79B140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480" w:type="pct"/>
                  <w:tcBorders>
                    <w:tl2br w:val="nil"/>
                    <w:tr2bl w:val="nil"/>
                  </w:tcBorders>
                  <w:vAlign w:val="center"/>
                </w:tcPr>
                <w:p w14:paraId="6ED38A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Cs/>
                      <w:color w:val="auto"/>
                      <w:sz w:val="18"/>
                      <w:szCs w:val="18"/>
                      <w:lang w:val="en-US" w:eastAsia="zh-CN"/>
                    </w:rPr>
                  </w:pPr>
                  <w:r>
                    <w:rPr>
                      <w:rFonts w:hint="eastAsia" w:ascii="Times New Roman" w:hAnsi="Times New Roman" w:eastAsia="宋体"/>
                      <w:bCs/>
                      <w:color w:val="auto"/>
                      <w:sz w:val="18"/>
                      <w:szCs w:val="18"/>
                    </w:rPr>
                    <w:t>5</w:t>
                  </w:r>
                </w:p>
              </w:tc>
              <w:tc>
                <w:tcPr>
                  <w:tcW w:w="1194" w:type="pct"/>
                  <w:tcBorders>
                    <w:tl2br w:val="nil"/>
                    <w:tr2bl w:val="nil"/>
                  </w:tcBorders>
                  <w:vAlign w:val="center"/>
                </w:tcPr>
                <w:p w14:paraId="1F2858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heme="minorBidi"/>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75%乙醇</w:t>
                  </w:r>
                </w:p>
              </w:tc>
              <w:tc>
                <w:tcPr>
                  <w:tcW w:w="696" w:type="pct"/>
                  <w:vMerge w:val="continue"/>
                  <w:tcBorders>
                    <w:tl2br w:val="nil"/>
                    <w:tr2bl w:val="nil"/>
                  </w:tcBorders>
                  <w:vAlign w:val="center"/>
                </w:tcPr>
                <w:p w14:paraId="1B0D39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val="en-US" w:eastAsia="zh-CN"/>
                    </w:rPr>
                  </w:pPr>
                </w:p>
              </w:tc>
              <w:tc>
                <w:tcPr>
                  <w:tcW w:w="896" w:type="pct"/>
                  <w:tcBorders>
                    <w:tl2br w:val="nil"/>
                    <w:tr2bl w:val="nil"/>
                  </w:tcBorders>
                  <w:vAlign w:val="center"/>
                </w:tcPr>
                <w:p w14:paraId="1E4DEF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heme="minorEastAsia" w:cstheme="minorBidi"/>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0.004</w:t>
                  </w:r>
                </w:p>
              </w:tc>
              <w:tc>
                <w:tcPr>
                  <w:tcW w:w="631" w:type="pct"/>
                  <w:tcBorders>
                    <w:tl2br w:val="nil"/>
                    <w:tr2bl w:val="nil"/>
                  </w:tcBorders>
                  <w:vAlign w:val="center"/>
                </w:tcPr>
                <w:p w14:paraId="54EC24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19D24E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1FB9F2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480" w:type="pct"/>
                  <w:tcBorders>
                    <w:tl2br w:val="nil"/>
                    <w:tr2bl w:val="nil"/>
                  </w:tcBorders>
                  <w:vAlign w:val="center"/>
                </w:tcPr>
                <w:p w14:paraId="1ADAB3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Cs/>
                      <w:color w:val="auto"/>
                      <w:sz w:val="18"/>
                      <w:szCs w:val="18"/>
                      <w:lang w:val="en-US" w:eastAsia="zh-CN"/>
                    </w:rPr>
                  </w:pPr>
                  <w:r>
                    <w:rPr>
                      <w:rFonts w:hint="eastAsia"/>
                      <w:bCs/>
                      <w:color w:val="auto"/>
                      <w:sz w:val="18"/>
                      <w:szCs w:val="18"/>
                      <w:lang w:val="en-US" w:eastAsia="zh-CN"/>
                    </w:rPr>
                    <w:t>6</w:t>
                  </w:r>
                </w:p>
              </w:tc>
              <w:tc>
                <w:tcPr>
                  <w:tcW w:w="1194" w:type="pct"/>
                  <w:tcBorders>
                    <w:tl2br w:val="nil"/>
                    <w:tr2bl w:val="nil"/>
                  </w:tcBorders>
                  <w:vAlign w:val="center"/>
                </w:tcPr>
                <w:p w14:paraId="697093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95%乙醇</w:t>
                  </w:r>
                </w:p>
              </w:tc>
              <w:tc>
                <w:tcPr>
                  <w:tcW w:w="696" w:type="pct"/>
                  <w:vMerge w:val="continue"/>
                  <w:tcBorders>
                    <w:tl2br w:val="nil"/>
                    <w:tr2bl w:val="nil"/>
                  </w:tcBorders>
                  <w:vAlign w:val="center"/>
                </w:tcPr>
                <w:p w14:paraId="0FCCB2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val="en-US" w:eastAsia="zh-CN"/>
                    </w:rPr>
                  </w:pPr>
                </w:p>
              </w:tc>
              <w:tc>
                <w:tcPr>
                  <w:tcW w:w="896" w:type="pct"/>
                  <w:tcBorders>
                    <w:tl2br w:val="nil"/>
                    <w:tr2bl w:val="nil"/>
                  </w:tcBorders>
                  <w:vAlign w:val="center"/>
                </w:tcPr>
                <w:p w14:paraId="618B5F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sz w:val="18"/>
                      <w:szCs w:val="18"/>
                      <w:lang w:val="en-US" w:eastAsia="zh-CN"/>
                    </w:rPr>
                    <w:t>0.003</w:t>
                  </w:r>
                </w:p>
              </w:tc>
              <w:tc>
                <w:tcPr>
                  <w:tcW w:w="631" w:type="pct"/>
                  <w:tcBorders>
                    <w:tl2br w:val="nil"/>
                    <w:tr2bl w:val="nil"/>
                  </w:tcBorders>
                  <w:vAlign w:val="center"/>
                </w:tcPr>
                <w:p w14:paraId="2F9A99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095013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033698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480" w:type="pct"/>
                  <w:tcBorders>
                    <w:tl2br w:val="nil"/>
                    <w:tr2bl w:val="nil"/>
                  </w:tcBorders>
                  <w:vAlign w:val="center"/>
                </w:tcPr>
                <w:p w14:paraId="03DD94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Cs/>
                      <w:color w:val="auto"/>
                      <w:sz w:val="18"/>
                      <w:szCs w:val="18"/>
                      <w:lang w:val="en-US" w:eastAsia="zh-CN"/>
                    </w:rPr>
                  </w:pPr>
                  <w:r>
                    <w:rPr>
                      <w:rFonts w:hint="eastAsia" w:ascii="Times New Roman" w:hAnsi="Times New Roman" w:eastAsia="宋体"/>
                      <w:bCs/>
                      <w:color w:val="auto"/>
                      <w:sz w:val="18"/>
                      <w:szCs w:val="18"/>
                      <w:lang w:val="en-US" w:eastAsia="zh-CN"/>
                    </w:rPr>
                    <w:t>7</w:t>
                  </w:r>
                </w:p>
              </w:tc>
              <w:tc>
                <w:tcPr>
                  <w:tcW w:w="1194" w:type="pct"/>
                  <w:tcBorders>
                    <w:tl2br w:val="nil"/>
                    <w:tr2bl w:val="nil"/>
                  </w:tcBorders>
                  <w:vAlign w:val="center"/>
                </w:tcPr>
                <w:p w14:paraId="7BE8E8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heme="minorBidi"/>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异氟烷</w:t>
                  </w:r>
                </w:p>
              </w:tc>
              <w:tc>
                <w:tcPr>
                  <w:tcW w:w="696" w:type="pct"/>
                  <w:vMerge w:val="restart"/>
                  <w:tcBorders>
                    <w:tl2br w:val="nil"/>
                    <w:tr2bl w:val="nil"/>
                  </w:tcBorders>
                  <w:vAlign w:val="center"/>
                </w:tcPr>
                <w:p w14:paraId="325A54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lang w:val="en-US" w:eastAsia="zh-CN"/>
                    </w:rPr>
                  </w:pPr>
                  <w:r>
                    <w:rPr>
                      <w:rFonts w:hint="eastAsia"/>
                      <w:color w:val="auto"/>
                      <w:kern w:val="0"/>
                      <w:sz w:val="18"/>
                      <w:szCs w:val="18"/>
                      <w:lang w:val="en-US" w:eastAsia="zh-CN"/>
                    </w:rPr>
                    <w:t>/</w:t>
                  </w:r>
                </w:p>
              </w:tc>
              <w:tc>
                <w:tcPr>
                  <w:tcW w:w="896" w:type="pct"/>
                  <w:tcBorders>
                    <w:tl2br w:val="nil"/>
                    <w:tr2bl w:val="nil"/>
                  </w:tcBorders>
                  <w:vAlign w:val="center"/>
                </w:tcPr>
                <w:p w14:paraId="2B9C63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heme="minorEastAsia" w:cstheme="minorBidi"/>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0.002</w:t>
                  </w:r>
                </w:p>
              </w:tc>
              <w:tc>
                <w:tcPr>
                  <w:tcW w:w="631" w:type="pct"/>
                  <w:tcBorders>
                    <w:tl2br w:val="nil"/>
                    <w:tr2bl w:val="nil"/>
                  </w:tcBorders>
                  <w:vAlign w:val="center"/>
                </w:tcPr>
                <w:p w14:paraId="3FB1F3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48E0DE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7217C6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480" w:type="pct"/>
                  <w:tcBorders>
                    <w:tl2br w:val="nil"/>
                    <w:tr2bl w:val="nil"/>
                  </w:tcBorders>
                  <w:vAlign w:val="center"/>
                </w:tcPr>
                <w:p w14:paraId="044F4A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Cs/>
                      <w:color w:val="auto"/>
                      <w:sz w:val="18"/>
                      <w:szCs w:val="18"/>
                      <w:lang w:val="en-US" w:eastAsia="zh-CN"/>
                    </w:rPr>
                  </w:pPr>
                  <w:r>
                    <w:rPr>
                      <w:rFonts w:hint="eastAsia" w:ascii="Times New Roman" w:hAnsi="Times New Roman" w:eastAsia="宋体"/>
                      <w:bCs/>
                      <w:color w:val="auto"/>
                      <w:sz w:val="18"/>
                      <w:szCs w:val="18"/>
                      <w:lang w:val="en-US" w:eastAsia="zh-CN"/>
                    </w:rPr>
                    <w:t>8</w:t>
                  </w:r>
                </w:p>
              </w:tc>
              <w:tc>
                <w:tcPr>
                  <w:tcW w:w="1194" w:type="pct"/>
                  <w:tcBorders>
                    <w:tl2br w:val="nil"/>
                    <w:tr2bl w:val="nil"/>
                  </w:tcBorders>
                  <w:vAlign w:val="center"/>
                </w:tcPr>
                <w:p w14:paraId="17E52E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Theme="minorEastAsia" w:cstheme="minorBidi"/>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3%戊巴比妥钠</w:t>
                  </w:r>
                </w:p>
              </w:tc>
              <w:tc>
                <w:tcPr>
                  <w:tcW w:w="696" w:type="pct"/>
                  <w:vMerge w:val="continue"/>
                  <w:tcBorders>
                    <w:tl2br w:val="nil"/>
                    <w:tr2bl w:val="nil"/>
                  </w:tcBorders>
                  <w:vAlign w:val="center"/>
                </w:tcPr>
                <w:p w14:paraId="42359B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lang w:val="en-US" w:eastAsia="zh-CN"/>
                    </w:rPr>
                  </w:pPr>
                </w:p>
              </w:tc>
              <w:tc>
                <w:tcPr>
                  <w:tcW w:w="896" w:type="pct"/>
                  <w:tcBorders>
                    <w:tl2br w:val="nil"/>
                    <w:tr2bl w:val="nil"/>
                  </w:tcBorders>
                  <w:vAlign w:val="center"/>
                </w:tcPr>
                <w:p w14:paraId="574042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heme="minorEastAsia" w:cstheme="minorBidi"/>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0.001</w:t>
                  </w:r>
                </w:p>
              </w:tc>
              <w:tc>
                <w:tcPr>
                  <w:tcW w:w="631" w:type="pct"/>
                  <w:tcBorders>
                    <w:tl2br w:val="nil"/>
                    <w:tr2bl w:val="nil"/>
                  </w:tcBorders>
                  <w:vAlign w:val="center"/>
                </w:tcPr>
                <w:p w14:paraId="187558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6D9FC0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325C9E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5" w:hRule="atLeast"/>
              </w:trPr>
              <w:tc>
                <w:tcPr>
                  <w:tcW w:w="480" w:type="pct"/>
                  <w:tcBorders>
                    <w:tl2br w:val="nil"/>
                    <w:tr2bl w:val="nil"/>
                  </w:tcBorders>
                  <w:vAlign w:val="center"/>
                </w:tcPr>
                <w:p w14:paraId="4E494D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bCs/>
                      <w:color w:val="auto"/>
                      <w:sz w:val="18"/>
                      <w:szCs w:val="18"/>
                      <w:lang w:val="en-US" w:eastAsia="zh-CN"/>
                    </w:rPr>
                  </w:pPr>
                  <w:r>
                    <w:rPr>
                      <w:rFonts w:hint="eastAsia" w:ascii="Times New Roman" w:hAnsi="Times New Roman" w:eastAsia="宋体"/>
                      <w:bCs/>
                      <w:color w:val="auto"/>
                      <w:sz w:val="18"/>
                      <w:szCs w:val="18"/>
                      <w:lang w:val="en-US" w:eastAsia="zh-CN"/>
                    </w:rPr>
                    <w:t>9</w:t>
                  </w:r>
                </w:p>
              </w:tc>
              <w:tc>
                <w:tcPr>
                  <w:tcW w:w="1194" w:type="pct"/>
                  <w:tcBorders>
                    <w:tl2br w:val="nil"/>
                    <w:tr2bl w:val="nil"/>
                  </w:tcBorders>
                  <w:vAlign w:val="center"/>
                </w:tcPr>
                <w:p w14:paraId="4FF127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heme="minorBidi"/>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水合氯醛</w:t>
                  </w:r>
                </w:p>
              </w:tc>
              <w:tc>
                <w:tcPr>
                  <w:tcW w:w="696" w:type="pct"/>
                  <w:vMerge w:val="continue"/>
                  <w:tcBorders>
                    <w:tl2br w:val="nil"/>
                    <w:tr2bl w:val="nil"/>
                  </w:tcBorders>
                  <w:vAlign w:val="center"/>
                </w:tcPr>
                <w:p w14:paraId="74329E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p>
              </w:tc>
              <w:tc>
                <w:tcPr>
                  <w:tcW w:w="896" w:type="pct"/>
                  <w:tcBorders>
                    <w:tl2br w:val="nil"/>
                    <w:tr2bl w:val="nil"/>
                  </w:tcBorders>
                  <w:vAlign w:val="center"/>
                </w:tcPr>
                <w:p w14:paraId="128CC9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heme="minorEastAsia" w:cstheme="minorBidi"/>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0.031</w:t>
                  </w:r>
                </w:p>
              </w:tc>
              <w:tc>
                <w:tcPr>
                  <w:tcW w:w="631" w:type="pct"/>
                  <w:tcBorders>
                    <w:tl2br w:val="nil"/>
                    <w:tr2bl w:val="nil"/>
                  </w:tcBorders>
                  <w:vAlign w:val="center"/>
                </w:tcPr>
                <w:p w14:paraId="7D8333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2B18AA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24349B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0" w:hRule="atLeast"/>
              </w:trPr>
              <w:tc>
                <w:tcPr>
                  <w:tcW w:w="480" w:type="pct"/>
                  <w:tcBorders>
                    <w:tl2br w:val="nil"/>
                    <w:tr2bl w:val="nil"/>
                  </w:tcBorders>
                  <w:vAlign w:val="center"/>
                </w:tcPr>
                <w:p w14:paraId="54A1C9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Cs/>
                      <w:color w:val="auto"/>
                      <w:sz w:val="18"/>
                      <w:szCs w:val="18"/>
                      <w:lang w:val="en-US" w:eastAsia="zh-CN"/>
                    </w:rPr>
                  </w:pPr>
                  <w:r>
                    <w:rPr>
                      <w:rFonts w:hint="eastAsia" w:ascii="Times New Roman" w:hAnsi="Times New Roman" w:eastAsia="宋体"/>
                      <w:bCs/>
                      <w:color w:val="auto"/>
                      <w:sz w:val="18"/>
                      <w:szCs w:val="18"/>
                      <w:lang w:val="en-US" w:eastAsia="zh-CN"/>
                    </w:rPr>
                    <w:t>10</w:t>
                  </w:r>
                </w:p>
              </w:tc>
              <w:tc>
                <w:tcPr>
                  <w:tcW w:w="1194" w:type="pct"/>
                  <w:tcBorders>
                    <w:tl2br w:val="nil"/>
                    <w:tr2bl w:val="nil"/>
                  </w:tcBorders>
                  <w:vAlign w:val="center"/>
                </w:tcPr>
                <w:p w14:paraId="22C6EC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Theme="minorEastAsia" w:cstheme="minorBidi"/>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十二烷基硫酸钠</w:t>
                  </w:r>
                </w:p>
              </w:tc>
              <w:tc>
                <w:tcPr>
                  <w:tcW w:w="696" w:type="pct"/>
                  <w:vMerge w:val="continue"/>
                  <w:tcBorders>
                    <w:tl2br w:val="nil"/>
                    <w:tr2bl w:val="nil"/>
                  </w:tcBorders>
                  <w:vAlign w:val="center"/>
                </w:tcPr>
                <w:p w14:paraId="1B0ED5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p>
              </w:tc>
              <w:tc>
                <w:tcPr>
                  <w:tcW w:w="896" w:type="pct"/>
                  <w:tcBorders>
                    <w:tl2br w:val="nil"/>
                    <w:tr2bl w:val="nil"/>
                  </w:tcBorders>
                  <w:vAlign w:val="center"/>
                </w:tcPr>
                <w:p w14:paraId="012045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Theme="minorEastAsia" w:cstheme="minorBidi"/>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0.046</w:t>
                  </w:r>
                </w:p>
              </w:tc>
              <w:tc>
                <w:tcPr>
                  <w:tcW w:w="631" w:type="pct"/>
                  <w:tcBorders>
                    <w:tl2br w:val="nil"/>
                    <w:tr2bl w:val="nil"/>
                  </w:tcBorders>
                  <w:vAlign w:val="center"/>
                </w:tcPr>
                <w:p w14:paraId="777062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030CC0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13753C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5" w:hRule="atLeast"/>
              </w:trPr>
              <w:tc>
                <w:tcPr>
                  <w:tcW w:w="480" w:type="pct"/>
                  <w:tcBorders>
                    <w:tl2br w:val="nil"/>
                    <w:tr2bl w:val="nil"/>
                  </w:tcBorders>
                  <w:vAlign w:val="center"/>
                </w:tcPr>
                <w:p w14:paraId="22CCC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Cs/>
                      <w:color w:val="auto"/>
                      <w:sz w:val="18"/>
                      <w:szCs w:val="18"/>
                      <w:lang w:val="en-US" w:eastAsia="zh-CN"/>
                    </w:rPr>
                  </w:pPr>
                  <w:r>
                    <w:rPr>
                      <w:rFonts w:hint="eastAsia"/>
                      <w:bCs/>
                      <w:color w:val="auto"/>
                      <w:sz w:val="18"/>
                      <w:szCs w:val="18"/>
                      <w:lang w:val="en-US" w:eastAsia="zh-CN"/>
                    </w:rPr>
                    <w:t>11</w:t>
                  </w:r>
                </w:p>
              </w:tc>
              <w:tc>
                <w:tcPr>
                  <w:tcW w:w="1194" w:type="pct"/>
                  <w:tcBorders>
                    <w:tl2br w:val="nil"/>
                    <w:tr2bl w:val="nil"/>
                  </w:tcBorders>
                  <w:vAlign w:val="center"/>
                </w:tcPr>
                <w:p w14:paraId="6823AE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Theme="minorEastAsia" w:cstheme="minorBidi"/>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三（羟甲基）氨基甲烷</w:t>
                  </w:r>
                </w:p>
              </w:tc>
              <w:tc>
                <w:tcPr>
                  <w:tcW w:w="696" w:type="pct"/>
                  <w:vMerge w:val="continue"/>
                  <w:tcBorders>
                    <w:tl2br w:val="nil"/>
                    <w:tr2bl w:val="nil"/>
                  </w:tcBorders>
                  <w:vAlign w:val="center"/>
                </w:tcPr>
                <w:p w14:paraId="51A590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p>
              </w:tc>
              <w:tc>
                <w:tcPr>
                  <w:tcW w:w="896" w:type="pct"/>
                  <w:tcBorders>
                    <w:tl2br w:val="nil"/>
                    <w:tr2bl w:val="nil"/>
                  </w:tcBorders>
                  <w:vAlign w:val="center"/>
                </w:tcPr>
                <w:p w14:paraId="0CE8D5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Bidi"/>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0.021</w:t>
                  </w:r>
                </w:p>
              </w:tc>
              <w:tc>
                <w:tcPr>
                  <w:tcW w:w="631" w:type="pct"/>
                  <w:tcBorders>
                    <w:tl2br w:val="nil"/>
                    <w:tr2bl w:val="nil"/>
                  </w:tcBorders>
                  <w:vAlign w:val="center"/>
                </w:tcPr>
                <w:p w14:paraId="4156A7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4652DF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04EE07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5" w:hRule="atLeast"/>
              </w:trPr>
              <w:tc>
                <w:tcPr>
                  <w:tcW w:w="480" w:type="pct"/>
                  <w:tcBorders>
                    <w:tl2br w:val="nil"/>
                    <w:tr2bl w:val="nil"/>
                  </w:tcBorders>
                  <w:vAlign w:val="center"/>
                </w:tcPr>
                <w:p w14:paraId="195474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Cs/>
                      <w:color w:val="auto"/>
                      <w:sz w:val="18"/>
                      <w:szCs w:val="18"/>
                      <w:lang w:val="en-US" w:eastAsia="zh-CN"/>
                    </w:rPr>
                  </w:pPr>
                  <w:r>
                    <w:rPr>
                      <w:rFonts w:hint="eastAsia"/>
                      <w:bCs/>
                      <w:color w:val="auto"/>
                      <w:sz w:val="18"/>
                      <w:szCs w:val="18"/>
                      <w:lang w:val="en-US" w:eastAsia="zh-CN"/>
                    </w:rPr>
                    <w:t>12</w:t>
                  </w:r>
                </w:p>
              </w:tc>
              <w:tc>
                <w:tcPr>
                  <w:tcW w:w="1194" w:type="pct"/>
                  <w:tcBorders>
                    <w:tl2br w:val="nil"/>
                    <w:tr2bl w:val="nil"/>
                  </w:tcBorders>
                  <w:vAlign w:val="center"/>
                </w:tcPr>
                <w:p w14:paraId="3EE86D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Theme="minorEastAsia" w:cstheme="minorBidi"/>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乙基苯基聚乙二醇</w:t>
                  </w:r>
                </w:p>
              </w:tc>
              <w:tc>
                <w:tcPr>
                  <w:tcW w:w="696" w:type="pct"/>
                  <w:vMerge w:val="continue"/>
                  <w:tcBorders>
                    <w:tl2br w:val="nil"/>
                    <w:tr2bl w:val="nil"/>
                  </w:tcBorders>
                  <w:vAlign w:val="center"/>
                </w:tcPr>
                <w:p w14:paraId="048E70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p>
              </w:tc>
              <w:tc>
                <w:tcPr>
                  <w:tcW w:w="896" w:type="pct"/>
                  <w:tcBorders>
                    <w:tl2br w:val="nil"/>
                    <w:tr2bl w:val="nil"/>
                  </w:tcBorders>
                  <w:vAlign w:val="center"/>
                </w:tcPr>
                <w:p w14:paraId="25FFAC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Bidi"/>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0.004</w:t>
                  </w:r>
                </w:p>
              </w:tc>
              <w:tc>
                <w:tcPr>
                  <w:tcW w:w="631" w:type="pct"/>
                  <w:tcBorders>
                    <w:tl2br w:val="nil"/>
                    <w:tr2bl w:val="nil"/>
                  </w:tcBorders>
                  <w:vAlign w:val="center"/>
                </w:tcPr>
                <w:p w14:paraId="560CCC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3C688B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4E182E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5" w:hRule="atLeast"/>
              </w:trPr>
              <w:tc>
                <w:tcPr>
                  <w:tcW w:w="480" w:type="pct"/>
                  <w:tcBorders>
                    <w:tl2br w:val="nil"/>
                    <w:tr2bl w:val="nil"/>
                  </w:tcBorders>
                  <w:vAlign w:val="center"/>
                </w:tcPr>
                <w:p w14:paraId="2FA6C8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bCs/>
                      <w:color w:val="auto"/>
                      <w:sz w:val="18"/>
                      <w:szCs w:val="18"/>
                      <w:lang w:val="en-US" w:eastAsia="zh-CN"/>
                    </w:rPr>
                  </w:pPr>
                  <w:r>
                    <w:rPr>
                      <w:rFonts w:hint="eastAsia"/>
                      <w:bCs/>
                      <w:color w:val="auto"/>
                      <w:sz w:val="18"/>
                      <w:szCs w:val="18"/>
                      <w:lang w:val="en-US" w:eastAsia="zh-CN"/>
                    </w:rPr>
                    <w:t>13</w:t>
                  </w:r>
                </w:p>
              </w:tc>
              <w:tc>
                <w:tcPr>
                  <w:tcW w:w="1194" w:type="pct"/>
                  <w:tcBorders>
                    <w:tl2br w:val="nil"/>
                    <w:tr2bl w:val="nil"/>
                  </w:tcBorders>
                  <w:vAlign w:val="center"/>
                </w:tcPr>
                <w:p w14:paraId="29E2BC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lang w:val="en-US" w:eastAsia="zh-CN" w:bidi="ar"/>
                    </w:rPr>
                    <w:t>氯化钠</w:t>
                  </w:r>
                </w:p>
              </w:tc>
              <w:tc>
                <w:tcPr>
                  <w:tcW w:w="696" w:type="pct"/>
                  <w:vMerge w:val="continue"/>
                  <w:tcBorders>
                    <w:tl2br w:val="nil"/>
                    <w:tr2bl w:val="nil"/>
                  </w:tcBorders>
                  <w:vAlign w:val="center"/>
                </w:tcPr>
                <w:p w14:paraId="624AA5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p>
              </w:tc>
              <w:tc>
                <w:tcPr>
                  <w:tcW w:w="896" w:type="pct"/>
                  <w:tcBorders>
                    <w:tl2br w:val="nil"/>
                    <w:tr2bl w:val="nil"/>
                  </w:tcBorders>
                  <w:vAlign w:val="center"/>
                </w:tcPr>
                <w:p w14:paraId="2A41EF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sz w:val="18"/>
                      <w:szCs w:val="18"/>
                      <w:lang w:val="en-US" w:eastAsia="zh-CN"/>
                    </w:rPr>
                    <w:t>0.063</w:t>
                  </w:r>
                </w:p>
              </w:tc>
              <w:tc>
                <w:tcPr>
                  <w:tcW w:w="631" w:type="pct"/>
                  <w:tcBorders>
                    <w:tl2br w:val="nil"/>
                    <w:tr2bl w:val="nil"/>
                  </w:tcBorders>
                  <w:vAlign w:val="center"/>
                </w:tcPr>
                <w:p w14:paraId="0CDF49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76CC94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19CF82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5" w:hRule="atLeast"/>
              </w:trPr>
              <w:tc>
                <w:tcPr>
                  <w:tcW w:w="480" w:type="pct"/>
                  <w:tcBorders>
                    <w:tl2br w:val="nil"/>
                    <w:tr2bl w:val="nil"/>
                  </w:tcBorders>
                  <w:vAlign w:val="center"/>
                </w:tcPr>
                <w:p w14:paraId="6B2CB2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Cs/>
                      <w:color w:val="auto"/>
                      <w:sz w:val="18"/>
                      <w:szCs w:val="18"/>
                      <w:lang w:val="en-US" w:eastAsia="zh-CN"/>
                    </w:rPr>
                  </w:pPr>
                  <w:r>
                    <w:rPr>
                      <w:rFonts w:hint="eastAsia"/>
                      <w:bCs/>
                      <w:color w:val="auto"/>
                      <w:sz w:val="18"/>
                      <w:szCs w:val="18"/>
                      <w:lang w:val="en-US" w:eastAsia="zh-CN"/>
                    </w:rPr>
                    <w:t>14</w:t>
                  </w:r>
                </w:p>
              </w:tc>
              <w:tc>
                <w:tcPr>
                  <w:tcW w:w="1194" w:type="pct"/>
                  <w:tcBorders>
                    <w:tl2br w:val="nil"/>
                    <w:tr2bl w:val="nil"/>
                  </w:tcBorders>
                  <w:vAlign w:val="center"/>
                </w:tcPr>
                <w:p w14:paraId="43F7F4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heme="minorBidi"/>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氯化钾</w:t>
                  </w:r>
                </w:p>
              </w:tc>
              <w:tc>
                <w:tcPr>
                  <w:tcW w:w="696" w:type="pct"/>
                  <w:vMerge w:val="continue"/>
                  <w:tcBorders>
                    <w:tl2br w:val="nil"/>
                    <w:tr2bl w:val="nil"/>
                  </w:tcBorders>
                  <w:vAlign w:val="center"/>
                </w:tcPr>
                <w:p w14:paraId="0007C8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p>
              </w:tc>
              <w:tc>
                <w:tcPr>
                  <w:tcW w:w="896" w:type="pct"/>
                  <w:tcBorders>
                    <w:tl2br w:val="nil"/>
                    <w:tr2bl w:val="nil"/>
                  </w:tcBorders>
                  <w:vAlign w:val="center"/>
                </w:tcPr>
                <w:p w14:paraId="7F1A9F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Bidi"/>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0.010</w:t>
                  </w:r>
                </w:p>
              </w:tc>
              <w:tc>
                <w:tcPr>
                  <w:tcW w:w="631" w:type="pct"/>
                  <w:tcBorders>
                    <w:tl2br w:val="nil"/>
                    <w:tr2bl w:val="nil"/>
                  </w:tcBorders>
                  <w:vAlign w:val="center"/>
                </w:tcPr>
                <w:p w14:paraId="6F2E9A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0ECD75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27ED93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55" w:hRule="atLeast"/>
              </w:trPr>
              <w:tc>
                <w:tcPr>
                  <w:tcW w:w="480" w:type="pct"/>
                  <w:tcBorders>
                    <w:tl2br w:val="nil"/>
                    <w:tr2bl w:val="nil"/>
                  </w:tcBorders>
                  <w:vAlign w:val="center"/>
                </w:tcPr>
                <w:p w14:paraId="193304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Cs/>
                      <w:color w:val="auto"/>
                      <w:sz w:val="18"/>
                      <w:szCs w:val="18"/>
                      <w:lang w:val="en-US" w:eastAsia="zh-CN"/>
                    </w:rPr>
                  </w:pPr>
                  <w:r>
                    <w:rPr>
                      <w:rFonts w:hint="eastAsia"/>
                      <w:bCs/>
                      <w:color w:val="auto"/>
                      <w:sz w:val="18"/>
                      <w:szCs w:val="18"/>
                      <w:lang w:val="en-US" w:eastAsia="zh-CN"/>
                    </w:rPr>
                    <w:t>15</w:t>
                  </w:r>
                </w:p>
              </w:tc>
              <w:tc>
                <w:tcPr>
                  <w:tcW w:w="1194" w:type="pct"/>
                  <w:tcBorders>
                    <w:tl2br w:val="nil"/>
                    <w:tr2bl w:val="nil"/>
                  </w:tcBorders>
                  <w:vAlign w:val="center"/>
                </w:tcPr>
                <w:p w14:paraId="5CA773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heme="minorBidi"/>
                      <w:color w:val="auto"/>
                      <w:kern w:val="2"/>
                      <w:sz w:val="18"/>
                      <w:szCs w:val="18"/>
                      <w:lang w:val="en-US" w:eastAsia="zh-CN" w:bidi="ar-SA"/>
                    </w:rPr>
                  </w:pPr>
                  <w:r>
                    <w:rPr>
                      <w:rFonts w:hint="default" w:ascii="Times New Roman" w:hAnsi="Times New Roman" w:eastAsia="宋体" w:cs="Times New Roman"/>
                      <w:color w:val="auto"/>
                      <w:kern w:val="0"/>
                      <w:sz w:val="18"/>
                      <w:szCs w:val="18"/>
                      <w:lang w:val="en-US" w:eastAsia="zh-CN" w:bidi="ar"/>
                    </w:rPr>
                    <w:t>磷酸氢二钠</w:t>
                  </w:r>
                </w:p>
              </w:tc>
              <w:tc>
                <w:tcPr>
                  <w:tcW w:w="696" w:type="pct"/>
                  <w:vMerge w:val="continue"/>
                  <w:tcBorders>
                    <w:tl2br w:val="nil"/>
                    <w:tr2bl w:val="nil"/>
                  </w:tcBorders>
                  <w:vAlign w:val="center"/>
                </w:tcPr>
                <w:p w14:paraId="420EA0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p>
              </w:tc>
              <w:tc>
                <w:tcPr>
                  <w:tcW w:w="896" w:type="pct"/>
                  <w:tcBorders>
                    <w:tl2br w:val="nil"/>
                    <w:tr2bl w:val="nil"/>
                  </w:tcBorders>
                  <w:vAlign w:val="center"/>
                </w:tcPr>
                <w:p w14:paraId="0FF2CB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Bidi"/>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0.042</w:t>
                  </w:r>
                </w:p>
              </w:tc>
              <w:tc>
                <w:tcPr>
                  <w:tcW w:w="631" w:type="pct"/>
                  <w:tcBorders>
                    <w:tl2br w:val="nil"/>
                    <w:tr2bl w:val="nil"/>
                  </w:tcBorders>
                  <w:vAlign w:val="center"/>
                </w:tcPr>
                <w:p w14:paraId="144CB4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67392E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74A7A6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55" w:hRule="atLeast"/>
              </w:trPr>
              <w:tc>
                <w:tcPr>
                  <w:tcW w:w="480" w:type="pct"/>
                  <w:tcBorders>
                    <w:tl2br w:val="nil"/>
                    <w:tr2bl w:val="nil"/>
                  </w:tcBorders>
                  <w:vAlign w:val="center"/>
                </w:tcPr>
                <w:p w14:paraId="261746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Cs/>
                      <w:color w:val="auto"/>
                      <w:sz w:val="18"/>
                      <w:szCs w:val="18"/>
                      <w:lang w:val="en-US" w:eastAsia="zh-CN"/>
                    </w:rPr>
                  </w:pPr>
                  <w:r>
                    <w:rPr>
                      <w:rFonts w:hint="eastAsia"/>
                      <w:bCs/>
                      <w:color w:val="auto"/>
                      <w:sz w:val="18"/>
                      <w:szCs w:val="18"/>
                      <w:lang w:val="en-US" w:eastAsia="zh-CN"/>
                    </w:rPr>
                    <w:t>16</w:t>
                  </w:r>
                </w:p>
              </w:tc>
              <w:tc>
                <w:tcPr>
                  <w:tcW w:w="1194" w:type="pct"/>
                  <w:tcBorders>
                    <w:tl2br w:val="nil"/>
                    <w:tr2bl w:val="nil"/>
                  </w:tcBorders>
                  <w:vAlign w:val="center"/>
                </w:tcPr>
                <w:p w14:paraId="2853A9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磷酸二氢钾</w:t>
                  </w:r>
                </w:p>
              </w:tc>
              <w:tc>
                <w:tcPr>
                  <w:tcW w:w="696" w:type="pct"/>
                  <w:vMerge w:val="continue"/>
                  <w:tcBorders>
                    <w:tl2br w:val="nil"/>
                    <w:tr2bl w:val="nil"/>
                  </w:tcBorders>
                  <w:vAlign w:val="center"/>
                </w:tcPr>
                <w:p w14:paraId="7B2B96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p>
              </w:tc>
              <w:tc>
                <w:tcPr>
                  <w:tcW w:w="896" w:type="pct"/>
                  <w:tcBorders>
                    <w:tl2br w:val="nil"/>
                    <w:tr2bl w:val="nil"/>
                  </w:tcBorders>
                  <w:vAlign w:val="center"/>
                </w:tcPr>
                <w:p w14:paraId="682219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sz w:val="18"/>
                      <w:szCs w:val="18"/>
                      <w:lang w:val="en-US" w:eastAsia="zh-CN"/>
                    </w:rPr>
                    <w:t>0.004</w:t>
                  </w:r>
                </w:p>
              </w:tc>
              <w:tc>
                <w:tcPr>
                  <w:tcW w:w="631" w:type="pct"/>
                  <w:tcBorders>
                    <w:tl2br w:val="nil"/>
                    <w:tr2bl w:val="nil"/>
                  </w:tcBorders>
                  <w:vAlign w:val="center"/>
                </w:tcPr>
                <w:p w14:paraId="73589A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03E898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7128A4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80" w:type="pct"/>
                  <w:tcBorders>
                    <w:tl2br w:val="nil"/>
                    <w:tr2bl w:val="nil"/>
                  </w:tcBorders>
                  <w:vAlign w:val="center"/>
                </w:tcPr>
                <w:p w14:paraId="3CEAA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bCs/>
                      <w:color w:val="auto"/>
                      <w:sz w:val="18"/>
                      <w:szCs w:val="18"/>
                      <w:lang w:val="en-US" w:eastAsia="zh-CN"/>
                    </w:rPr>
                  </w:pPr>
                  <w:r>
                    <w:rPr>
                      <w:rFonts w:hint="eastAsia"/>
                      <w:bCs/>
                      <w:color w:val="auto"/>
                      <w:sz w:val="18"/>
                      <w:szCs w:val="18"/>
                      <w:lang w:val="en-US" w:eastAsia="zh-CN"/>
                    </w:rPr>
                    <w:t>17</w:t>
                  </w:r>
                </w:p>
              </w:tc>
              <w:tc>
                <w:tcPr>
                  <w:tcW w:w="1194" w:type="pct"/>
                  <w:tcBorders>
                    <w:tl2br w:val="nil"/>
                    <w:tr2bl w:val="nil"/>
                  </w:tcBorders>
                  <w:vAlign w:val="center"/>
                </w:tcPr>
                <w:p w14:paraId="04710B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Bidi"/>
                      <w:color w:val="auto"/>
                      <w:kern w:val="2"/>
                      <w:sz w:val="18"/>
                      <w:szCs w:val="18"/>
                      <w:lang w:val="en-US" w:eastAsia="zh-CN" w:bidi="ar-SA"/>
                    </w:rPr>
                  </w:pPr>
                  <w:r>
                    <w:rPr>
                      <w:rFonts w:hint="default" w:ascii="Times New Roman" w:hAnsi="Times New Roman" w:eastAsia="宋体" w:cs="Times New Roman"/>
                      <w:color w:val="auto"/>
                      <w:sz w:val="18"/>
                      <w:szCs w:val="18"/>
                    </w:rPr>
                    <w:t>废活性炭</w:t>
                  </w:r>
                </w:p>
              </w:tc>
              <w:tc>
                <w:tcPr>
                  <w:tcW w:w="696" w:type="pct"/>
                  <w:vMerge w:val="continue"/>
                  <w:tcBorders>
                    <w:tl2br w:val="nil"/>
                    <w:tr2bl w:val="nil"/>
                  </w:tcBorders>
                  <w:vAlign w:val="center"/>
                </w:tcPr>
                <w:p w14:paraId="163383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p>
              </w:tc>
              <w:tc>
                <w:tcPr>
                  <w:tcW w:w="896" w:type="pct"/>
                  <w:tcBorders>
                    <w:tl2br w:val="nil"/>
                    <w:tr2bl w:val="nil"/>
                  </w:tcBorders>
                  <w:vAlign w:val="center"/>
                </w:tcPr>
                <w:p w14:paraId="0E913F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Bidi"/>
                      <w:color w:val="auto"/>
                      <w:kern w:val="0"/>
                      <w:sz w:val="18"/>
                      <w:szCs w:val="18"/>
                      <w:lang w:val="en-US" w:eastAsia="zh-CN" w:bidi="ar-SA"/>
                    </w:rPr>
                  </w:pPr>
                  <w:r>
                    <w:rPr>
                      <w:rFonts w:hint="eastAsia" w:cs="Times New Roman"/>
                      <w:color w:val="auto"/>
                      <w:kern w:val="0"/>
                      <w:sz w:val="18"/>
                      <w:szCs w:val="18"/>
                      <w:lang w:val="en-US" w:eastAsia="zh-CN"/>
                    </w:rPr>
                    <w:t>0.382</w:t>
                  </w:r>
                </w:p>
              </w:tc>
              <w:tc>
                <w:tcPr>
                  <w:tcW w:w="631" w:type="pct"/>
                  <w:tcBorders>
                    <w:tl2br w:val="nil"/>
                    <w:tr2bl w:val="nil"/>
                  </w:tcBorders>
                  <w:vAlign w:val="center"/>
                </w:tcPr>
                <w:p w14:paraId="255C94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w:t>
                  </w:r>
                </w:p>
              </w:tc>
              <w:tc>
                <w:tcPr>
                  <w:tcW w:w="1735" w:type="dxa"/>
                  <w:tcBorders>
                    <w:tl2br w:val="nil"/>
                    <w:tr2bl w:val="nil"/>
                  </w:tcBorders>
                  <w:vAlign w:val="center"/>
                </w:tcPr>
                <w:p w14:paraId="2E063B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heme="minorBidi"/>
                      <w:b w:val="0"/>
                      <w:bCs w:val="0"/>
                      <w:color w:val="auto"/>
                      <w:kern w:val="2"/>
                      <w:sz w:val="18"/>
                      <w:szCs w:val="18"/>
                      <w:lang w:val="en-US" w:eastAsia="zh-CN" w:bidi="ar-SA"/>
                    </w:rPr>
                  </w:pPr>
                  <w:r>
                    <w:rPr>
                      <w:rFonts w:hint="eastAsia"/>
                      <w:b w:val="0"/>
                      <w:bCs w:val="0"/>
                      <w:color w:val="auto"/>
                      <w:sz w:val="18"/>
                      <w:szCs w:val="18"/>
                      <w:lang w:val="en-US" w:eastAsia="zh-CN"/>
                    </w:rPr>
                    <w:t>/</w:t>
                  </w:r>
                </w:p>
              </w:tc>
            </w:tr>
            <w:tr w14:paraId="5C24B8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75" w:hRule="atLeast"/>
              </w:trPr>
              <w:tc>
                <w:tcPr>
                  <w:tcW w:w="480" w:type="pct"/>
                  <w:tcBorders>
                    <w:tl2br w:val="nil"/>
                    <w:tr2bl w:val="nil"/>
                  </w:tcBorders>
                  <w:vAlign w:val="center"/>
                </w:tcPr>
                <w:p w14:paraId="507BF1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Cs/>
                      <w:color w:val="auto"/>
                      <w:sz w:val="18"/>
                      <w:szCs w:val="18"/>
                      <w:lang w:val="en-US" w:eastAsia="zh-CN"/>
                    </w:rPr>
                  </w:pPr>
                  <w:r>
                    <w:rPr>
                      <w:rFonts w:hint="eastAsia"/>
                      <w:bCs/>
                      <w:color w:val="auto"/>
                      <w:sz w:val="18"/>
                      <w:szCs w:val="18"/>
                      <w:lang w:val="en-US" w:eastAsia="zh-CN"/>
                    </w:rPr>
                    <w:t>18</w:t>
                  </w:r>
                </w:p>
              </w:tc>
              <w:tc>
                <w:tcPr>
                  <w:tcW w:w="1194" w:type="pct"/>
                  <w:tcBorders>
                    <w:tl2br w:val="nil"/>
                    <w:tr2bl w:val="nil"/>
                  </w:tcBorders>
                  <w:vAlign w:val="center"/>
                </w:tcPr>
                <w:p w14:paraId="0343F3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eastAsia="zh-CN"/>
                    </w:rPr>
                    <w:t>医疗废物</w:t>
                  </w:r>
                </w:p>
              </w:tc>
              <w:tc>
                <w:tcPr>
                  <w:tcW w:w="696" w:type="pct"/>
                  <w:vMerge w:val="restart"/>
                  <w:tcBorders>
                    <w:tl2br w:val="nil"/>
                    <w:tr2bl w:val="nil"/>
                  </w:tcBorders>
                  <w:vAlign w:val="center"/>
                </w:tcPr>
                <w:p w14:paraId="5A63AA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r>
                    <w:rPr>
                      <w:rFonts w:hint="eastAsia" w:ascii="Times New Roman" w:hAnsi="Times New Roman" w:eastAsia="宋体"/>
                      <w:color w:val="auto"/>
                      <w:kern w:val="0"/>
                      <w:sz w:val="18"/>
                      <w:szCs w:val="18"/>
                    </w:rPr>
                    <w:t>健康危险急性毒性物质（类别2，类别3）</w:t>
                  </w:r>
                </w:p>
              </w:tc>
              <w:tc>
                <w:tcPr>
                  <w:tcW w:w="896" w:type="pct"/>
                  <w:tcBorders>
                    <w:tl2br w:val="nil"/>
                    <w:tr2bl w:val="nil"/>
                  </w:tcBorders>
                  <w:vAlign w:val="center"/>
                </w:tcPr>
                <w:p w14:paraId="1D1CE9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0.007</w:t>
                  </w:r>
                </w:p>
              </w:tc>
              <w:tc>
                <w:tcPr>
                  <w:tcW w:w="631" w:type="pct"/>
                  <w:tcBorders>
                    <w:tl2br w:val="nil"/>
                    <w:tr2bl w:val="nil"/>
                  </w:tcBorders>
                  <w:vAlign w:val="center"/>
                </w:tcPr>
                <w:p w14:paraId="3C6E3F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50</w:t>
                  </w:r>
                </w:p>
              </w:tc>
              <w:tc>
                <w:tcPr>
                  <w:tcW w:w="1735" w:type="dxa"/>
                  <w:tcBorders>
                    <w:tl2br w:val="nil"/>
                    <w:tr2bl w:val="nil"/>
                  </w:tcBorders>
                  <w:vAlign w:val="center"/>
                </w:tcPr>
                <w:p w14:paraId="696813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heme="minorBidi"/>
                      <w:b w:val="0"/>
                      <w:bCs w:val="0"/>
                      <w:color w:val="auto"/>
                      <w:kern w:val="2"/>
                      <w:sz w:val="18"/>
                      <w:szCs w:val="18"/>
                      <w:lang w:val="en-US" w:eastAsia="zh-CN" w:bidi="ar-SA"/>
                    </w:rPr>
                  </w:pPr>
                  <w:r>
                    <w:rPr>
                      <w:rFonts w:hint="default" w:ascii="Times New Roman" w:hAnsi="Times New Roman" w:eastAsia="宋体" w:cstheme="minorBidi"/>
                      <w:b w:val="0"/>
                      <w:bCs w:val="0"/>
                      <w:color w:val="auto"/>
                      <w:kern w:val="2"/>
                      <w:sz w:val="18"/>
                      <w:szCs w:val="18"/>
                      <w:lang w:val="en-US" w:eastAsia="zh-CN" w:bidi="ar-SA"/>
                    </w:rPr>
                    <w:t>0.00014</w:t>
                  </w:r>
                </w:p>
              </w:tc>
            </w:tr>
            <w:tr w14:paraId="6B8D94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480" w:type="pct"/>
                  <w:tcBorders>
                    <w:tl2br w:val="nil"/>
                    <w:tr2bl w:val="nil"/>
                  </w:tcBorders>
                  <w:vAlign w:val="center"/>
                </w:tcPr>
                <w:p w14:paraId="4C23F0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Cs/>
                      <w:color w:val="auto"/>
                      <w:sz w:val="18"/>
                      <w:szCs w:val="18"/>
                      <w:lang w:val="en-US" w:eastAsia="zh-CN"/>
                    </w:rPr>
                  </w:pPr>
                  <w:r>
                    <w:rPr>
                      <w:rFonts w:hint="eastAsia"/>
                      <w:bCs/>
                      <w:color w:val="auto"/>
                      <w:sz w:val="18"/>
                      <w:szCs w:val="18"/>
                      <w:lang w:val="en-US" w:eastAsia="zh-CN"/>
                    </w:rPr>
                    <w:t>19</w:t>
                  </w:r>
                </w:p>
              </w:tc>
              <w:tc>
                <w:tcPr>
                  <w:tcW w:w="1194" w:type="pct"/>
                  <w:tcBorders>
                    <w:tl2br w:val="nil"/>
                    <w:tr2bl w:val="nil"/>
                  </w:tcBorders>
                  <w:vAlign w:val="center"/>
                </w:tcPr>
                <w:p w14:paraId="158E23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eastAsiaTheme="minorEastAsia"/>
                      <w:color w:val="auto"/>
                      <w:sz w:val="18"/>
                      <w:szCs w:val="18"/>
                      <w:lang w:eastAsia="zh-CN"/>
                    </w:rPr>
                    <w:t>污水处理站</w:t>
                  </w:r>
                  <w:r>
                    <w:rPr>
                      <w:rFonts w:hint="default" w:ascii="Times New Roman" w:hAnsi="Times New Roman" w:cs="Times New Roman" w:eastAsiaTheme="minorEastAsia"/>
                      <w:color w:val="auto"/>
                      <w:sz w:val="18"/>
                      <w:szCs w:val="18"/>
                    </w:rPr>
                    <w:t>污泥</w:t>
                  </w:r>
                </w:p>
              </w:tc>
              <w:tc>
                <w:tcPr>
                  <w:tcW w:w="696" w:type="pct"/>
                  <w:vMerge w:val="continue"/>
                  <w:tcBorders>
                    <w:tl2br w:val="nil"/>
                    <w:tr2bl w:val="nil"/>
                  </w:tcBorders>
                  <w:vAlign w:val="center"/>
                </w:tcPr>
                <w:p w14:paraId="6BFF7E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kern w:val="0"/>
                      <w:sz w:val="18"/>
                      <w:szCs w:val="18"/>
                    </w:rPr>
                  </w:pPr>
                </w:p>
              </w:tc>
              <w:tc>
                <w:tcPr>
                  <w:tcW w:w="896" w:type="pct"/>
                  <w:tcBorders>
                    <w:tl2br w:val="nil"/>
                    <w:tr2bl w:val="nil"/>
                  </w:tcBorders>
                  <w:vAlign w:val="center"/>
                </w:tcPr>
                <w:p w14:paraId="167FDD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lang w:val="en-US" w:eastAsia="zh-CN"/>
                    </w:rPr>
                  </w:pPr>
                  <w:r>
                    <w:rPr>
                      <w:rFonts w:hint="eastAsia" w:cs="Times New Roman"/>
                      <w:color w:val="auto"/>
                      <w:kern w:val="0"/>
                      <w:sz w:val="18"/>
                      <w:szCs w:val="18"/>
                      <w:lang w:val="en-US" w:eastAsia="zh-CN"/>
                    </w:rPr>
                    <w:t>0.002</w:t>
                  </w:r>
                </w:p>
              </w:tc>
              <w:tc>
                <w:tcPr>
                  <w:tcW w:w="631" w:type="pct"/>
                  <w:tcBorders>
                    <w:tl2br w:val="nil"/>
                    <w:tr2bl w:val="nil"/>
                  </w:tcBorders>
                  <w:vAlign w:val="center"/>
                </w:tcPr>
                <w:p w14:paraId="784C93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50</w:t>
                  </w:r>
                </w:p>
              </w:tc>
              <w:tc>
                <w:tcPr>
                  <w:tcW w:w="1735" w:type="dxa"/>
                  <w:tcBorders>
                    <w:tl2br w:val="nil"/>
                    <w:tr2bl w:val="nil"/>
                  </w:tcBorders>
                  <w:vAlign w:val="center"/>
                </w:tcPr>
                <w:p w14:paraId="500F4F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heme="minorBidi"/>
                      <w:b w:val="0"/>
                      <w:bCs w:val="0"/>
                      <w:color w:val="auto"/>
                      <w:kern w:val="2"/>
                      <w:sz w:val="18"/>
                      <w:szCs w:val="18"/>
                      <w:lang w:val="en-US" w:eastAsia="zh-CN" w:bidi="ar-SA"/>
                    </w:rPr>
                  </w:pPr>
                  <w:r>
                    <w:rPr>
                      <w:rFonts w:hint="default" w:ascii="Times New Roman" w:hAnsi="Times New Roman" w:eastAsia="宋体" w:cstheme="minorBidi"/>
                      <w:b w:val="0"/>
                      <w:bCs w:val="0"/>
                      <w:color w:val="auto"/>
                      <w:kern w:val="2"/>
                      <w:sz w:val="18"/>
                      <w:szCs w:val="18"/>
                      <w:lang w:val="en-US" w:eastAsia="zh-CN" w:bidi="ar-SA"/>
                    </w:rPr>
                    <w:t>0.00004</w:t>
                  </w:r>
                </w:p>
              </w:tc>
            </w:tr>
            <w:tr w14:paraId="42A3FB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3897" w:type="pct"/>
                  <w:gridSpan w:val="5"/>
                  <w:tcBorders>
                    <w:tl2br w:val="nil"/>
                    <w:tr2bl w:val="nil"/>
                  </w:tcBorders>
                  <w:vAlign w:val="center"/>
                </w:tcPr>
                <w:p w14:paraId="77D534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Cs/>
                      <w:color w:val="auto"/>
                      <w:sz w:val="18"/>
                      <w:szCs w:val="18"/>
                    </w:rPr>
                  </w:pPr>
                  <w:r>
                    <w:rPr>
                      <w:rFonts w:hint="eastAsia" w:ascii="Times New Roman" w:hAnsi="Times New Roman" w:eastAsia="宋体"/>
                      <w:bCs/>
                      <w:color w:val="auto"/>
                      <w:sz w:val="18"/>
                      <w:szCs w:val="18"/>
                    </w:rPr>
                    <w:t>合计</w:t>
                  </w:r>
                </w:p>
              </w:tc>
              <w:tc>
                <w:tcPr>
                  <w:tcW w:w="1735" w:type="dxa"/>
                  <w:tcBorders>
                    <w:tl2br w:val="nil"/>
                    <w:tr2bl w:val="nil"/>
                  </w:tcBorders>
                  <w:vAlign w:val="center"/>
                </w:tcPr>
                <w:p w14:paraId="36401F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heme="minorBidi"/>
                      <w:b w:val="0"/>
                      <w:bCs w:val="0"/>
                      <w:color w:val="auto"/>
                      <w:kern w:val="2"/>
                      <w:sz w:val="18"/>
                      <w:szCs w:val="18"/>
                      <w:lang w:val="en-US" w:eastAsia="zh-CN" w:bidi="ar-SA"/>
                    </w:rPr>
                  </w:pPr>
                  <w:r>
                    <w:rPr>
                      <w:rFonts w:hint="default" w:ascii="Times New Roman" w:hAnsi="Times New Roman" w:eastAsia="宋体" w:cstheme="minorBidi"/>
                      <w:b w:val="0"/>
                      <w:bCs w:val="0"/>
                      <w:color w:val="auto"/>
                      <w:kern w:val="2"/>
                      <w:sz w:val="18"/>
                      <w:szCs w:val="18"/>
                      <w:lang w:val="en-US" w:eastAsia="zh-CN" w:bidi="ar-SA"/>
                    </w:rPr>
                    <w:t>0.0014</w:t>
                  </w:r>
                </w:p>
              </w:tc>
            </w:tr>
          </w:tbl>
          <w:p w14:paraId="6FCB5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lang w:val="en-US" w:eastAsia="zh-CN"/>
              </w:rPr>
            </w:pPr>
            <w:r>
              <w:rPr>
                <w:rFonts w:hint="eastAsia" w:eastAsiaTheme="minorEastAsia"/>
                <w:color w:val="auto"/>
                <w:kern w:val="0"/>
                <w:sz w:val="24"/>
              </w:rPr>
              <w:t>上表中物质的Q（</w:t>
            </w:r>
            <w:r>
              <w:rPr>
                <w:rFonts w:hint="eastAsia" w:eastAsiaTheme="minorEastAsia"/>
                <w:color w:val="auto"/>
                <w:kern w:val="0"/>
                <w:sz w:val="24"/>
                <w:lang w:val="en-US" w:eastAsia="zh-CN"/>
              </w:rPr>
              <w:t>0.0014</w:t>
            </w:r>
            <w:r>
              <w:rPr>
                <w:rFonts w:hint="eastAsia" w:eastAsiaTheme="minorEastAsia"/>
                <w:color w:val="auto"/>
                <w:kern w:val="0"/>
                <w:sz w:val="24"/>
              </w:rPr>
              <w:t>）＜1，根据《建设项目环境风险评价技术导则》（HJ169-2018）附录C，</w:t>
            </w:r>
            <w:r>
              <w:rPr>
                <w:rFonts w:hint="eastAsia" w:eastAsiaTheme="minorEastAsia"/>
                <w:color w:val="auto"/>
                <w:kern w:val="0"/>
                <w:sz w:val="24"/>
                <w:lang w:eastAsia="zh-CN"/>
              </w:rPr>
              <w:t>建设项目</w:t>
            </w:r>
            <w:r>
              <w:rPr>
                <w:rFonts w:hint="eastAsia" w:eastAsiaTheme="minorEastAsia"/>
                <w:color w:val="auto"/>
                <w:kern w:val="0"/>
                <w:sz w:val="24"/>
              </w:rPr>
              <w:t>环境风险潜势为Ⅰ。</w:t>
            </w:r>
          </w:p>
          <w:p w14:paraId="4E91C351">
            <w:pPr>
              <w:keepNext w:val="0"/>
              <w:keepLines w:val="0"/>
              <w:numPr>
                <w:ilvl w:val="1"/>
                <w:numId w:val="11"/>
              </w:numPr>
              <w:suppressLineNumbers w:val="0"/>
              <w:bidi w:val="0"/>
              <w:spacing w:before="0" w:beforeAutospacing="0" w:after="0" w:afterAutospacing="0"/>
              <w:ind w:left="0" w:leftChars="0" w:right="0" w:firstLine="482" w:firstLineChars="200"/>
              <w:rPr>
                <w:rFonts w:hint="eastAsia"/>
                <w:b/>
                <w:bCs/>
                <w:color w:val="auto"/>
                <w:lang w:val="en-US" w:eastAsia="zh-CN"/>
              </w:rPr>
            </w:pPr>
            <w:r>
              <w:rPr>
                <w:rFonts w:hint="eastAsia"/>
                <w:b/>
                <w:bCs/>
                <w:color w:val="auto"/>
                <w:lang w:val="en-US" w:eastAsia="zh-CN"/>
              </w:rPr>
              <w:t>环境风险识别</w:t>
            </w:r>
          </w:p>
          <w:p w14:paraId="68684488">
            <w:pPr>
              <w:keepNext w:val="0"/>
              <w:keepLines w:val="0"/>
              <w:widowControl/>
              <w:suppressLineNumbers w:val="0"/>
              <w:autoSpaceDE w:val="0"/>
              <w:autoSpaceDN w:val="0"/>
              <w:adjustRightInd w:val="0"/>
              <w:snapToGrid w:val="0"/>
              <w:spacing w:before="0" w:beforeAutospacing="0" w:after="0" w:afterAutospacing="0"/>
              <w:ind w:left="0" w:right="0" w:firstLine="480"/>
              <w:jc w:val="left"/>
              <w:rPr>
                <w:rFonts w:hint="eastAsia" w:cs="宋体"/>
                <w:color w:val="auto"/>
                <w:kern w:val="0"/>
              </w:rPr>
            </w:pPr>
            <w:r>
              <w:rPr>
                <w:rFonts w:hint="eastAsia" w:cs="宋体"/>
                <w:color w:val="auto"/>
                <w:kern w:val="0"/>
              </w:rPr>
              <w:t>根据风险调查结果，</w:t>
            </w:r>
            <w:r>
              <w:rPr>
                <w:rFonts w:hint="eastAsia" w:cs="宋体"/>
                <w:color w:val="auto"/>
                <w:kern w:val="0"/>
                <w:lang w:eastAsia="zh-CN"/>
              </w:rPr>
              <w:t>本项目</w:t>
            </w:r>
            <w:r>
              <w:rPr>
                <w:rFonts w:hint="eastAsia" w:cs="宋体"/>
                <w:color w:val="auto"/>
                <w:kern w:val="0"/>
              </w:rPr>
              <w:t>环境风险识别如下：</w:t>
            </w:r>
          </w:p>
          <w:p w14:paraId="04717428">
            <w:pPr>
              <w:keepNext w:val="0"/>
              <w:keepLines w:val="0"/>
              <w:widowControl/>
              <w:suppressLineNumbers w:val="0"/>
              <w:adjustRightInd w:val="0"/>
              <w:snapToGrid w:val="0"/>
              <w:spacing w:before="0" w:beforeAutospacing="0" w:after="0" w:afterAutospacing="0" w:line="240" w:lineRule="auto"/>
              <w:ind w:left="0" w:right="0" w:firstLine="482"/>
              <w:jc w:val="center"/>
              <w:rPr>
                <w:rFonts w:hint="eastAsia" w:cs="宋体"/>
                <w:b/>
                <w:bCs/>
                <w:color w:val="auto"/>
                <w:kern w:val="0"/>
              </w:rPr>
            </w:pPr>
            <w:r>
              <w:rPr>
                <w:rFonts w:hint="eastAsia" w:cs="宋体"/>
                <w:b/>
                <w:bCs/>
                <w:color w:val="auto"/>
                <w:kern w:val="0"/>
              </w:rPr>
              <w:t>表</w:t>
            </w:r>
            <w:r>
              <w:rPr>
                <w:rFonts w:hint="eastAsia"/>
                <w:b/>
                <w:bCs/>
                <w:color w:val="auto"/>
                <w:kern w:val="0"/>
                <w:lang w:bidi="en-US"/>
              </w:rPr>
              <w:t xml:space="preserve">4.7-3 </w:t>
            </w:r>
            <w:r>
              <w:rPr>
                <w:rFonts w:hint="eastAsia"/>
                <w:b/>
                <w:bCs/>
                <w:color w:val="auto"/>
                <w:kern w:val="0"/>
                <w:lang w:val="en-US" w:eastAsia="zh-CN" w:bidi="en-US"/>
              </w:rPr>
              <w:t>本项目</w:t>
            </w:r>
            <w:r>
              <w:rPr>
                <w:rFonts w:hint="eastAsia" w:cs="宋体"/>
                <w:b/>
                <w:bCs/>
                <w:color w:val="auto"/>
                <w:kern w:val="0"/>
              </w:rPr>
              <w:t>环境风险识别汇总表</w:t>
            </w:r>
          </w:p>
          <w:tbl>
            <w:tblPr>
              <w:tblStyle w:val="24"/>
              <w:tblW w:w="492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538"/>
              <w:gridCol w:w="836"/>
              <w:gridCol w:w="1860"/>
              <w:gridCol w:w="918"/>
              <w:gridCol w:w="1345"/>
              <w:gridCol w:w="2237"/>
            </w:tblGrid>
            <w:tr w14:paraId="26C720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67" w:hRule="atLeast"/>
                <w:jc w:val="center"/>
              </w:trPr>
              <w:tc>
                <w:tcPr>
                  <w:tcW w:w="348" w:type="pct"/>
                  <w:tcBorders>
                    <w:top w:val="single" w:color="000000" w:sz="12" w:space="0"/>
                    <w:left w:val="nil"/>
                    <w:bottom w:val="single" w:color="auto" w:sz="4" w:space="0"/>
                    <w:right w:val="single" w:color="000000" w:sz="4" w:space="0"/>
                  </w:tcBorders>
                  <w:vAlign w:val="center"/>
                </w:tcPr>
                <w:p w14:paraId="43BD0B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18"/>
                      <w:szCs w:val="18"/>
                    </w:rPr>
                  </w:pPr>
                  <w:r>
                    <w:rPr>
                      <w:rFonts w:hint="eastAsia" w:ascii="Times New Roman" w:hAnsi="Times New Roman" w:eastAsia="宋体"/>
                      <w:b/>
                      <w:color w:val="auto"/>
                      <w:sz w:val="18"/>
                      <w:szCs w:val="18"/>
                    </w:rPr>
                    <w:t>序号</w:t>
                  </w:r>
                </w:p>
              </w:tc>
              <w:tc>
                <w:tcPr>
                  <w:tcW w:w="540" w:type="pct"/>
                  <w:tcBorders>
                    <w:top w:val="single" w:color="000000" w:sz="12" w:space="0"/>
                    <w:left w:val="single" w:color="000000" w:sz="4" w:space="0"/>
                    <w:bottom w:val="single" w:color="auto" w:sz="4" w:space="0"/>
                    <w:right w:val="single" w:color="000000" w:sz="4" w:space="0"/>
                  </w:tcBorders>
                  <w:vAlign w:val="center"/>
                </w:tcPr>
                <w:p w14:paraId="053E12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18"/>
                      <w:szCs w:val="18"/>
                    </w:rPr>
                  </w:pPr>
                  <w:r>
                    <w:rPr>
                      <w:rFonts w:hint="eastAsia" w:ascii="Times New Roman" w:hAnsi="Times New Roman" w:eastAsia="宋体"/>
                      <w:b/>
                      <w:color w:val="auto"/>
                      <w:sz w:val="18"/>
                      <w:szCs w:val="18"/>
                    </w:rPr>
                    <w:t>危险单元</w:t>
                  </w:r>
                </w:p>
              </w:tc>
              <w:tc>
                <w:tcPr>
                  <w:tcW w:w="1202" w:type="pct"/>
                  <w:tcBorders>
                    <w:top w:val="single" w:color="000000" w:sz="12" w:space="0"/>
                    <w:left w:val="single" w:color="000000" w:sz="4" w:space="0"/>
                    <w:bottom w:val="single" w:color="auto" w:sz="4" w:space="0"/>
                    <w:right w:val="single" w:color="000000" w:sz="4" w:space="0"/>
                  </w:tcBorders>
                  <w:vAlign w:val="center"/>
                </w:tcPr>
                <w:p w14:paraId="30EEDB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18"/>
                      <w:szCs w:val="18"/>
                    </w:rPr>
                  </w:pPr>
                  <w:r>
                    <w:rPr>
                      <w:rFonts w:hint="eastAsia" w:ascii="Times New Roman" w:hAnsi="Times New Roman" w:eastAsia="宋体"/>
                      <w:b/>
                      <w:color w:val="auto"/>
                      <w:sz w:val="18"/>
                      <w:szCs w:val="18"/>
                    </w:rPr>
                    <w:t>主要危险物质</w:t>
                  </w:r>
                </w:p>
              </w:tc>
              <w:tc>
                <w:tcPr>
                  <w:tcW w:w="593" w:type="pct"/>
                  <w:tcBorders>
                    <w:top w:val="single" w:color="000000" w:sz="12" w:space="0"/>
                    <w:left w:val="single" w:color="000000" w:sz="4" w:space="0"/>
                    <w:bottom w:val="single" w:color="auto" w:sz="4" w:space="0"/>
                    <w:right w:val="single" w:color="000000" w:sz="4" w:space="0"/>
                  </w:tcBorders>
                  <w:vAlign w:val="center"/>
                </w:tcPr>
                <w:p w14:paraId="4EC8FC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18"/>
                      <w:szCs w:val="18"/>
                    </w:rPr>
                  </w:pPr>
                  <w:r>
                    <w:rPr>
                      <w:rFonts w:hint="eastAsia" w:ascii="Times New Roman" w:hAnsi="Times New Roman" w:eastAsia="宋体"/>
                      <w:b/>
                      <w:color w:val="auto"/>
                      <w:sz w:val="18"/>
                      <w:szCs w:val="18"/>
                    </w:rPr>
                    <w:t>环境风险</w:t>
                  </w:r>
                </w:p>
                <w:p w14:paraId="1F9711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18"/>
                      <w:szCs w:val="18"/>
                    </w:rPr>
                  </w:pPr>
                  <w:r>
                    <w:rPr>
                      <w:rFonts w:hint="eastAsia" w:ascii="Times New Roman" w:hAnsi="Times New Roman" w:eastAsia="宋体"/>
                      <w:b/>
                      <w:color w:val="auto"/>
                      <w:sz w:val="18"/>
                      <w:szCs w:val="18"/>
                    </w:rPr>
                    <w:t>类型</w:t>
                  </w:r>
                </w:p>
              </w:tc>
              <w:tc>
                <w:tcPr>
                  <w:tcW w:w="869" w:type="pct"/>
                  <w:tcBorders>
                    <w:top w:val="single" w:color="000000" w:sz="12" w:space="0"/>
                    <w:left w:val="single" w:color="000000" w:sz="4" w:space="0"/>
                    <w:bottom w:val="single" w:color="auto" w:sz="4" w:space="0"/>
                    <w:right w:val="single" w:color="000000" w:sz="4" w:space="0"/>
                  </w:tcBorders>
                  <w:vAlign w:val="center"/>
                </w:tcPr>
                <w:p w14:paraId="4A36D8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18"/>
                      <w:szCs w:val="18"/>
                    </w:rPr>
                  </w:pPr>
                  <w:r>
                    <w:rPr>
                      <w:rFonts w:hint="eastAsia" w:ascii="Times New Roman" w:hAnsi="Times New Roman" w:eastAsia="宋体"/>
                      <w:b/>
                      <w:color w:val="auto"/>
                      <w:sz w:val="18"/>
                      <w:szCs w:val="18"/>
                    </w:rPr>
                    <w:t>环境影响途径</w:t>
                  </w:r>
                </w:p>
              </w:tc>
              <w:tc>
                <w:tcPr>
                  <w:tcW w:w="1445" w:type="pct"/>
                  <w:tcBorders>
                    <w:top w:val="single" w:color="000000" w:sz="12" w:space="0"/>
                    <w:left w:val="single" w:color="000000" w:sz="4" w:space="0"/>
                    <w:bottom w:val="single" w:color="auto" w:sz="4" w:space="0"/>
                    <w:right w:val="nil"/>
                  </w:tcBorders>
                  <w:vAlign w:val="center"/>
                </w:tcPr>
                <w:p w14:paraId="708F45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18"/>
                      <w:szCs w:val="18"/>
                    </w:rPr>
                  </w:pPr>
                  <w:r>
                    <w:rPr>
                      <w:rFonts w:hint="eastAsia" w:ascii="Times New Roman" w:hAnsi="Times New Roman" w:eastAsia="宋体"/>
                      <w:b/>
                      <w:color w:val="auto"/>
                      <w:sz w:val="18"/>
                      <w:szCs w:val="18"/>
                    </w:rPr>
                    <w:t>可能受影响的环境敏感目标</w:t>
                  </w:r>
                </w:p>
              </w:tc>
            </w:tr>
            <w:tr w14:paraId="7DAA4D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20" w:hRule="atLeast"/>
                <w:jc w:val="center"/>
              </w:trPr>
              <w:tc>
                <w:tcPr>
                  <w:tcW w:w="348" w:type="pct"/>
                  <w:tcBorders>
                    <w:top w:val="single" w:color="000000" w:sz="4" w:space="0"/>
                    <w:left w:val="nil"/>
                    <w:bottom w:val="single" w:color="000000" w:sz="4" w:space="0"/>
                    <w:right w:val="single" w:color="000000" w:sz="4" w:space="0"/>
                  </w:tcBorders>
                  <w:vAlign w:val="center"/>
                </w:tcPr>
                <w:p w14:paraId="33D2EA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rPr>
                  </w:pPr>
                  <w:r>
                    <w:rPr>
                      <w:rFonts w:hint="eastAsia" w:ascii="Times New Roman" w:hAnsi="Times New Roman" w:eastAsia="宋体"/>
                      <w:color w:val="auto"/>
                      <w:sz w:val="18"/>
                      <w:szCs w:val="18"/>
                    </w:rPr>
                    <w:t>1</w:t>
                  </w:r>
                </w:p>
              </w:tc>
              <w:tc>
                <w:tcPr>
                  <w:tcW w:w="540" w:type="pct"/>
                  <w:tcBorders>
                    <w:top w:val="single" w:color="000000" w:sz="4" w:space="0"/>
                    <w:left w:val="single" w:color="000000" w:sz="4" w:space="0"/>
                    <w:bottom w:val="single" w:color="000000" w:sz="4" w:space="0"/>
                    <w:right w:val="single" w:color="000000" w:sz="4" w:space="0"/>
                  </w:tcBorders>
                  <w:vAlign w:val="center"/>
                </w:tcPr>
                <w:p w14:paraId="34929C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cs="Times New Roman"/>
                      <w:color w:val="auto"/>
                      <w:sz w:val="18"/>
                      <w:szCs w:val="18"/>
                      <w:lang w:val="en-US" w:eastAsia="zh-CN"/>
                    </w:rPr>
                    <w:t>实验室</w:t>
                  </w:r>
                </w:p>
              </w:tc>
              <w:tc>
                <w:tcPr>
                  <w:tcW w:w="1202" w:type="pct"/>
                  <w:tcBorders>
                    <w:top w:val="single" w:color="000000" w:sz="4" w:space="0"/>
                    <w:left w:val="single" w:color="000000" w:sz="4" w:space="0"/>
                    <w:bottom w:val="single" w:color="000000" w:sz="4" w:space="0"/>
                    <w:right w:val="single" w:color="000000" w:sz="4" w:space="0"/>
                  </w:tcBorders>
                  <w:vAlign w:val="center"/>
                </w:tcPr>
                <w:p w14:paraId="6CEC4B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rPr>
                    <w:t>原料（</w:t>
                  </w:r>
                  <w:r>
                    <w:rPr>
                      <w:rFonts w:hint="eastAsia" w:cs="Times New Roman"/>
                      <w:b w:val="0"/>
                      <w:bCs/>
                      <w:color w:val="auto"/>
                      <w:sz w:val="18"/>
                      <w:szCs w:val="18"/>
                      <w:lang w:val="en-US" w:eastAsia="zh-CN"/>
                    </w:rPr>
                    <w:t>乙醇</w:t>
                  </w:r>
                  <w:r>
                    <w:rPr>
                      <w:rFonts w:hint="eastAsia"/>
                      <w:color w:val="auto"/>
                      <w:sz w:val="18"/>
                      <w:szCs w:val="18"/>
                      <w:lang w:val="en-US" w:eastAsia="zh-CN"/>
                    </w:rPr>
                    <w:t>、</w:t>
                  </w:r>
                  <w:r>
                    <w:rPr>
                      <w:rFonts w:hint="eastAsia" w:cs="Times New Roman"/>
                      <w:b w:val="0"/>
                      <w:bCs/>
                      <w:color w:val="auto"/>
                      <w:sz w:val="18"/>
                      <w:szCs w:val="18"/>
                      <w:lang w:val="en-US" w:eastAsia="zh-CN"/>
                    </w:rPr>
                    <w:t>异丙醇、丙烯酰胺</w:t>
                  </w:r>
                  <w:r>
                    <w:rPr>
                      <w:rFonts w:hint="eastAsia" w:ascii="Times New Roman" w:hAnsi="Times New Roman" w:eastAsia="宋体"/>
                      <w:color w:val="auto"/>
                      <w:sz w:val="18"/>
                      <w:szCs w:val="18"/>
                    </w:rPr>
                    <w:t>等）</w:t>
                  </w:r>
                  <w:r>
                    <w:rPr>
                      <w:rFonts w:hint="eastAsia"/>
                      <w:color w:val="auto"/>
                      <w:sz w:val="18"/>
                      <w:szCs w:val="18"/>
                      <w:lang w:eastAsia="zh-CN"/>
                    </w:rPr>
                    <w:t>；</w:t>
                  </w:r>
                  <w:r>
                    <w:rPr>
                      <w:rFonts w:hint="eastAsia"/>
                      <w:color w:val="auto"/>
                      <w:sz w:val="18"/>
                      <w:szCs w:val="18"/>
                      <w:lang w:val="en-US" w:eastAsia="zh-CN"/>
                    </w:rPr>
                    <w:t>火灾次生有害物质</w:t>
                  </w:r>
                </w:p>
              </w:tc>
              <w:tc>
                <w:tcPr>
                  <w:tcW w:w="593" w:type="pct"/>
                  <w:tcBorders>
                    <w:top w:val="single" w:color="000000" w:sz="4" w:space="0"/>
                    <w:left w:val="single" w:color="000000" w:sz="4" w:space="0"/>
                    <w:bottom w:val="single" w:color="000000" w:sz="4" w:space="0"/>
                    <w:right w:val="single" w:color="000000" w:sz="4" w:space="0"/>
                  </w:tcBorders>
                  <w:vAlign w:val="center"/>
                </w:tcPr>
                <w:p w14:paraId="5C136A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rPr>
                    <w:t>泄漏</w:t>
                  </w:r>
                  <w:r>
                    <w:rPr>
                      <w:rFonts w:hint="eastAsia" w:ascii="Times New Roman" w:hAnsi="Times New Roman" w:eastAsia="宋体"/>
                      <w:color w:val="auto"/>
                      <w:sz w:val="18"/>
                      <w:szCs w:val="18"/>
                      <w:lang w:eastAsia="zh-CN"/>
                    </w:rPr>
                    <w:t>、</w:t>
                  </w:r>
                  <w:r>
                    <w:rPr>
                      <w:rFonts w:hint="eastAsia" w:ascii="Times New Roman" w:hAnsi="Times New Roman" w:eastAsia="宋体"/>
                      <w:color w:val="auto"/>
                      <w:sz w:val="18"/>
                      <w:szCs w:val="18"/>
                    </w:rPr>
                    <w:t>火灾</w:t>
                  </w:r>
                  <w:r>
                    <w:rPr>
                      <w:rFonts w:hint="eastAsia"/>
                      <w:color w:val="auto"/>
                      <w:sz w:val="18"/>
                      <w:szCs w:val="18"/>
                      <w:lang w:eastAsia="zh-CN"/>
                    </w:rPr>
                    <w:t>引发次伴生</w:t>
                  </w:r>
                </w:p>
              </w:tc>
              <w:tc>
                <w:tcPr>
                  <w:tcW w:w="869" w:type="pct"/>
                  <w:tcBorders>
                    <w:top w:val="single" w:color="000000" w:sz="4" w:space="0"/>
                    <w:left w:val="single" w:color="000000" w:sz="4" w:space="0"/>
                    <w:bottom w:val="single" w:color="000000" w:sz="4" w:space="0"/>
                    <w:right w:val="single" w:color="000000" w:sz="4" w:space="0"/>
                  </w:tcBorders>
                  <w:vAlign w:val="center"/>
                </w:tcPr>
                <w:p w14:paraId="414350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eastAsia="zh-CN"/>
                    </w:rPr>
                  </w:pPr>
                  <w:r>
                    <w:rPr>
                      <w:rFonts w:hint="eastAsia" w:ascii="Times New Roman" w:hAnsi="Times New Roman" w:eastAsia="宋体"/>
                      <w:color w:val="auto"/>
                      <w:sz w:val="18"/>
                      <w:szCs w:val="18"/>
                    </w:rPr>
                    <w:t>大气</w:t>
                  </w:r>
                  <w:r>
                    <w:rPr>
                      <w:rFonts w:hint="eastAsia"/>
                      <w:color w:val="auto"/>
                      <w:sz w:val="18"/>
                      <w:szCs w:val="18"/>
                      <w:lang w:eastAsia="zh-CN"/>
                    </w:rPr>
                    <w:t>扩散</w:t>
                  </w:r>
                  <w:r>
                    <w:rPr>
                      <w:rFonts w:hint="eastAsia" w:ascii="Times New Roman" w:hAnsi="Times New Roman" w:eastAsia="宋体"/>
                      <w:color w:val="auto"/>
                      <w:sz w:val="18"/>
                      <w:szCs w:val="18"/>
                    </w:rPr>
                    <w:t>、地表</w:t>
                  </w:r>
                  <w:r>
                    <w:rPr>
                      <w:rFonts w:hint="eastAsia"/>
                      <w:color w:val="auto"/>
                      <w:sz w:val="18"/>
                      <w:szCs w:val="18"/>
                      <w:lang w:eastAsia="zh-CN"/>
                    </w:rPr>
                    <w:t>漫流</w:t>
                  </w:r>
                  <w:r>
                    <w:rPr>
                      <w:rFonts w:hint="eastAsia" w:ascii="Times New Roman" w:hAnsi="Times New Roman" w:eastAsia="宋体"/>
                      <w:color w:val="auto"/>
                      <w:sz w:val="18"/>
                      <w:szCs w:val="18"/>
                    </w:rPr>
                    <w:t>、土壤</w:t>
                  </w:r>
                  <w:r>
                    <w:rPr>
                      <w:rFonts w:hint="eastAsia"/>
                      <w:color w:val="auto"/>
                      <w:sz w:val="18"/>
                      <w:szCs w:val="18"/>
                      <w:lang w:eastAsia="zh-CN"/>
                    </w:rPr>
                    <w:t>及地下水渗透吸收</w:t>
                  </w:r>
                </w:p>
              </w:tc>
              <w:tc>
                <w:tcPr>
                  <w:tcW w:w="1445" w:type="pct"/>
                  <w:tcBorders>
                    <w:top w:val="single" w:color="000000" w:sz="4" w:space="0"/>
                    <w:left w:val="single" w:color="000000" w:sz="4" w:space="0"/>
                    <w:bottom w:val="single" w:color="000000" w:sz="4" w:space="0"/>
                    <w:right w:val="nil"/>
                  </w:tcBorders>
                  <w:vAlign w:val="center"/>
                </w:tcPr>
                <w:p w14:paraId="108C93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rPr>
                  </w:pPr>
                  <w:r>
                    <w:rPr>
                      <w:rFonts w:hint="eastAsia" w:ascii="Times New Roman" w:hAnsi="Times New Roman" w:eastAsia="宋体"/>
                      <w:color w:val="auto"/>
                      <w:sz w:val="18"/>
                      <w:szCs w:val="18"/>
                    </w:rPr>
                    <w:t>周边居民区</w:t>
                  </w:r>
                  <w:r>
                    <w:rPr>
                      <w:rFonts w:hint="eastAsia"/>
                      <w:color w:val="auto"/>
                      <w:sz w:val="18"/>
                      <w:szCs w:val="18"/>
                      <w:lang w:eastAsia="zh-CN"/>
                    </w:rPr>
                    <w:t>、学校，</w:t>
                  </w:r>
                  <w:r>
                    <w:rPr>
                      <w:rFonts w:hint="eastAsia" w:ascii="Times New Roman" w:hAnsi="Times New Roman" w:eastAsia="宋体"/>
                      <w:color w:val="auto"/>
                      <w:sz w:val="18"/>
                      <w:szCs w:val="18"/>
                    </w:rPr>
                    <w:t>地下水及土壤，附近水体等</w:t>
                  </w:r>
                </w:p>
              </w:tc>
            </w:tr>
            <w:tr w14:paraId="0102C0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20" w:hRule="atLeast"/>
                <w:jc w:val="center"/>
              </w:trPr>
              <w:tc>
                <w:tcPr>
                  <w:tcW w:w="348" w:type="pct"/>
                  <w:tcBorders>
                    <w:top w:val="single" w:color="000000" w:sz="4" w:space="0"/>
                    <w:left w:val="nil"/>
                    <w:bottom w:val="single" w:color="000000" w:sz="4" w:space="0"/>
                    <w:right w:val="single" w:color="000000" w:sz="4" w:space="0"/>
                  </w:tcBorders>
                  <w:vAlign w:val="center"/>
                </w:tcPr>
                <w:p w14:paraId="793702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val="en-US" w:eastAsia="zh-CN"/>
                    </w:rPr>
                  </w:pPr>
                  <w:r>
                    <w:rPr>
                      <w:rFonts w:hint="eastAsia"/>
                      <w:color w:val="auto"/>
                      <w:sz w:val="18"/>
                      <w:szCs w:val="18"/>
                      <w:lang w:val="en-US" w:eastAsia="zh-CN"/>
                    </w:rPr>
                    <w:t>2</w:t>
                  </w:r>
                </w:p>
              </w:tc>
              <w:tc>
                <w:tcPr>
                  <w:tcW w:w="540" w:type="pct"/>
                  <w:tcBorders>
                    <w:top w:val="single" w:color="000000" w:sz="4" w:space="0"/>
                    <w:left w:val="single" w:color="000000" w:sz="4" w:space="0"/>
                    <w:bottom w:val="single" w:color="000000" w:sz="4" w:space="0"/>
                    <w:right w:val="single" w:color="000000" w:sz="4" w:space="0"/>
                  </w:tcBorders>
                  <w:vAlign w:val="center"/>
                </w:tcPr>
                <w:p w14:paraId="04EDFF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医疗危废暂存间</w:t>
                  </w:r>
                </w:p>
              </w:tc>
              <w:tc>
                <w:tcPr>
                  <w:tcW w:w="1202" w:type="pct"/>
                  <w:tcBorders>
                    <w:top w:val="single" w:color="000000" w:sz="4" w:space="0"/>
                    <w:left w:val="single" w:color="000000" w:sz="4" w:space="0"/>
                    <w:bottom w:val="single" w:color="000000" w:sz="4" w:space="0"/>
                    <w:right w:val="single" w:color="000000" w:sz="4" w:space="0"/>
                  </w:tcBorders>
                  <w:vAlign w:val="center"/>
                </w:tcPr>
                <w:p w14:paraId="509B24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rPr>
                  </w:pPr>
                  <w:r>
                    <w:rPr>
                      <w:rFonts w:hint="eastAsia"/>
                      <w:color w:val="auto"/>
                      <w:sz w:val="18"/>
                      <w:szCs w:val="18"/>
                      <w:lang w:eastAsia="zh-CN"/>
                    </w:rPr>
                    <w:t>各类医疗废物、污水处理站污泥</w:t>
                  </w:r>
                  <w:r>
                    <w:rPr>
                      <w:rFonts w:hint="eastAsia"/>
                      <w:color w:val="auto"/>
                      <w:sz w:val="18"/>
                      <w:szCs w:val="18"/>
                      <w:lang w:val="en-US" w:eastAsia="zh-CN"/>
                    </w:rPr>
                    <w:t>以及废活性炭</w:t>
                  </w:r>
                  <w:r>
                    <w:rPr>
                      <w:rFonts w:hint="eastAsia" w:ascii="Times New Roman" w:hAnsi="Times New Roman" w:eastAsia="宋体"/>
                      <w:color w:val="auto"/>
                      <w:sz w:val="18"/>
                      <w:szCs w:val="18"/>
                    </w:rPr>
                    <w:t>等</w:t>
                  </w:r>
                  <w:r>
                    <w:rPr>
                      <w:rFonts w:hint="eastAsia"/>
                      <w:color w:val="auto"/>
                      <w:sz w:val="18"/>
                      <w:szCs w:val="18"/>
                      <w:lang w:eastAsia="zh-CN"/>
                    </w:rPr>
                    <w:t>；</w:t>
                  </w:r>
                  <w:r>
                    <w:rPr>
                      <w:rFonts w:hint="eastAsia"/>
                      <w:color w:val="auto"/>
                      <w:sz w:val="18"/>
                      <w:szCs w:val="18"/>
                      <w:lang w:val="en-US" w:eastAsia="zh-CN"/>
                    </w:rPr>
                    <w:t>火灾次生有害物质</w:t>
                  </w:r>
                </w:p>
              </w:tc>
              <w:tc>
                <w:tcPr>
                  <w:tcW w:w="593" w:type="pct"/>
                  <w:tcBorders>
                    <w:top w:val="single" w:color="000000" w:sz="4" w:space="0"/>
                    <w:left w:val="single" w:color="000000" w:sz="4" w:space="0"/>
                    <w:bottom w:val="single" w:color="000000" w:sz="4" w:space="0"/>
                    <w:right w:val="single" w:color="000000" w:sz="4" w:space="0"/>
                  </w:tcBorders>
                  <w:vAlign w:val="center"/>
                </w:tcPr>
                <w:p w14:paraId="3E587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olor w:val="auto"/>
                      <w:sz w:val="18"/>
                      <w:szCs w:val="18"/>
                    </w:rPr>
                  </w:pPr>
                  <w:r>
                    <w:rPr>
                      <w:rFonts w:hint="eastAsia" w:ascii="Times New Roman" w:hAnsi="Times New Roman" w:eastAsia="宋体"/>
                      <w:color w:val="auto"/>
                      <w:sz w:val="18"/>
                      <w:szCs w:val="18"/>
                    </w:rPr>
                    <w:t>泄漏</w:t>
                  </w:r>
                  <w:r>
                    <w:rPr>
                      <w:rFonts w:hint="eastAsia" w:ascii="Times New Roman" w:hAnsi="Times New Roman" w:eastAsia="宋体"/>
                      <w:color w:val="auto"/>
                      <w:sz w:val="18"/>
                      <w:szCs w:val="18"/>
                      <w:lang w:eastAsia="zh-CN"/>
                    </w:rPr>
                    <w:t>、</w:t>
                  </w:r>
                  <w:r>
                    <w:rPr>
                      <w:rFonts w:hint="eastAsia" w:ascii="Times New Roman" w:hAnsi="Times New Roman" w:eastAsia="宋体"/>
                      <w:color w:val="auto"/>
                      <w:sz w:val="18"/>
                      <w:szCs w:val="18"/>
                    </w:rPr>
                    <w:t>火灾</w:t>
                  </w:r>
                  <w:r>
                    <w:rPr>
                      <w:rFonts w:hint="eastAsia"/>
                      <w:color w:val="auto"/>
                      <w:sz w:val="18"/>
                      <w:szCs w:val="18"/>
                      <w:lang w:eastAsia="zh-CN"/>
                    </w:rPr>
                    <w:t>引发次伴生</w:t>
                  </w:r>
                </w:p>
              </w:tc>
              <w:tc>
                <w:tcPr>
                  <w:tcW w:w="869" w:type="pct"/>
                  <w:tcBorders>
                    <w:top w:val="single" w:color="000000" w:sz="4" w:space="0"/>
                    <w:left w:val="single" w:color="000000" w:sz="4" w:space="0"/>
                    <w:bottom w:val="single" w:color="000000" w:sz="4" w:space="0"/>
                    <w:right w:val="single" w:color="000000" w:sz="4" w:space="0"/>
                  </w:tcBorders>
                  <w:vAlign w:val="center"/>
                </w:tcPr>
                <w:p w14:paraId="45FD60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olor w:val="auto"/>
                      <w:sz w:val="18"/>
                      <w:szCs w:val="18"/>
                    </w:rPr>
                  </w:pPr>
                  <w:r>
                    <w:rPr>
                      <w:rFonts w:hint="eastAsia" w:ascii="Times New Roman" w:hAnsi="Times New Roman" w:eastAsia="宋体"/>
                      <w:color w:val="auto"/>
                      <w:sz w:val="18"/>
                      <w:szCs w:val="18"/>
                    </w:rPr>
                    <w:t>大气</w:t>
                  </w:r>
                  <w:r>
                    <w:rPr>
                      <w:rFonts w:hint="eastAsia"/>
                      <w:color w:val="auto"/>
                      <w:sz w:val="18"/>
                      <w:szCs w:val="18"/>
                      <w:lang w:eastAsia="zh-CN"/>
                    </w:rPr>
                    <w:t>扩散</w:t>
                  </w:r>
                  <w:r>
                    <w:rPr>
                      <w:rFonts w:hint="eastAsia" w:ascii="Times New Roman" w:hAnsi="Times New Roman" w:eastAsia="宋体"/>
                      <w:color w:val="auto"/>
                      <w:sz w:val="18"/>
                      <w:szCs w:val="18"/>
                    </w:rPr>
                    <w:t>、地表</w:t>
                  </w:r>
                  <w:r>
                    <w:rPr>
                      <w:rFonts w:hint="eastAsia"/>
                      <w:color w:val="auto"/>
                      <w:sz w:val="18"/>
                      <w:szCs w:val="18"/>
                      <w:lang w:eastAsia="zh-CN"/>
                    </w:rPr>
                    <w:t>漫流</w:t>
                  </w:r>
                  <w:r>
                    <w:rPr>
                      <w:rFonts w:hint="eastAsia" w:ascii="Times New Roman" w:hAnsi="Times New Roman" w:eastAsia="宋体"/>
                      <w:color w:val="auto"/>
                      <w:sz w:val="18"/>
                      <w:szCs w:val="18"/>
                    </w:rPr>
                    <w:t>、土壤</w:t>
                  </w:r>
                  <w:r>
                    <w:rPr>
                      <w:rFonts w:hint="eastAsia"/>
                      <w:color w:val="auto"/>
                      <w:sz w:val="18"/>
                      <w:szCs w:val="18"/>
                      <w:lang w:eastAsia="zh-CN"/>
                    </w:rPr>
                    <w:t>及地下水渗透吸收</w:t>
                  </w:r>
                </w:p>
              </w:tc>
              <w:tc>
                <w:tcPr>
                  <w:tcW w:w="1445" w:type="pct"/>
                  <w:tcBorders>
                    <w:top w:val="single" w:color="000000" w:sz="4" w:space="0"/>
                    <w:left w:val="single" w:color="000000" w:sz="4" w:space="0"/>
                    <w:bottom w:val="single" w:color="000000" w:sz="4" w:space="0"/>
                    <w:right w:val="nil"/>
                  </w:tcBorders>
                  <w:vAlign w:val="center"/>
                </w:tcPr>
                <w:p w14:paraId="13D1C5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eastAsia"/>
                      <w:color w:val="auto"/>
                      <w:sz w:val="18"/>
                      <w:szCs w:val="18"/>
                      <w:lang w:eastAsia="zh-CN"/>
                    </w:rPr>
                  </w:pPr>
                  <w:r>
                    <w:rPr>
                      <w:rFonts w:hint="eastAsia" w:ascii="Times New Roman" w:hAnsi="Times New Roman" w:eastAsia="宋体"/>
                      <w:color w:val="auto"/>
                      <w:sz w:val="18"/>
                      <w:szCs w:val="18"/>
                    </w:rPr>
                    <w:t>周边居民区</w:t>
                  </w:r>
                  <w:r>
                    <w:rPr>
                      <w:rFonts w:hint="eastAsia"/>
                      <w:color w:val="auto"/>
                      <w:sz w:val="18"/>
                      <w:szCs w:val="18"/>
                      <w:lang w:eastAsia="zh-CN"/>
                    </w:rPr>
                    <w:t>、学校，</w:t>
                  </w:r>
                  <w:r>
                    <w:rPr>
                      <w:rFonts w:hint="eastAsia" w:ascii="Times New Roman" w:hAnsi="Times New Roman" w:eastAsia="宋体"/>
                      <w:color w:val="auto"/>
                      <w:sz w:val="18"/>
                      <w:szCs w:val="18"/>
                    </w:rPr>
                    <w:t>地下水及土壤，附近水体等</w:t>
                  </w:r>
                </w:p>
              </w:tc>
            </w:tr>
            <w:tr w14:paraId="0A4717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20" w:hRule="atLeast"/>
                <w:jc w:val="center"/>
              </w:trPr>
              <w:tc>
                <w:tcPr>
                  <w:tcW w:w="348" w:type="pct"/>
                  <w:tcBorders>
                    <w:top w:val="single" w:color="000000" w:sz="4" w:space="0"/>
                    <w:left w:val="nil"/>
                    <w:bottom w:val="single" w:color="000000" w:sz="4" w:space="0"/>
                    <w:right w:val="single" w:color="000000" w:sz="4" w:space="0"/>
                  </w:tcBorders>
                  <w:vAlign w:val="center"/>
                </w:tcPr>
                <w:p w14:paraId="542A1D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val="en-US" w:eastAsia="zh-CN"/>
                    </w:rPr>
                  </w:pPr>
                  <w:r>
                    <w:rPr>
                      <w:rFonts w:hint="eastAsia"/>
                      <w:color w:val="auto"/>
                      <w:sz w:val="18"/>
                      <w:szCs w:val="18"/>
                      <w:lang w:val="en-US" w:eastAsia="zh-CN"/>
                    </w:rPr>
                    <w:t>3</w:t>
                  </w:r>
                </w:p>
              </w:tc>
              <w:tc>
                <w:tcPr>
                  <w:tcW w:w="540" w:type="pct"/>
                  <w:tcBorders>
                    <w:top w:val="single" w:color="000000" w:sz="4" w:space="0"/>
                    <w:left w:val="single" w:color="000000" w:sz="4" w:space="0"/>
                    <w:bottom w:val="single" w:color="000000" w:sz="4" w:space="0"/>
                    <w:right w:val="single" w:color="000000" w:sz="4" w:space="0"/>
                  </w:tcBorders>
                  <w:vAlign w:val="center"/>
                </w:tcPr>
                <w:p w14:paraId="550B8A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污水处理站</w:t>
                  </w:r>
                </w:p>
              </w:tc>
              <w:tc>
                <w:tcPr>
                  <w:tcW w:w="1202" w:type="pct"/>
                  <w:tcBorders>
                    <w:top w:val="single" w:color="000000" w:sz="4" w:space="0"/>
                    <w:left w:val="single" w:color="000000" w:sz="4" w:space="0"/>
                    <w:bottom w:val="single" w:color="000000" w:sz="4" w:space="0"/>
                    <w:right w:val="single" w:color="000000" w:sz="4" w:space="0"/>
                  </w:tcBorders>
                  <w:vAlign w:val="center"/>
                </w:tcPr>
                <w:p w14:paraId="39B91D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医疗废水</w:t>
                  </w:r>
                </w:p>
              </w:tc>
              <w:tc>
                <w:tcPr>
                  <w:tcW w:w="593" w:type="pct"/>
                  <w:tcBorders>
                    <w:top w:val="single" w:color="000000" w:sz="4" w:space="0"/>
                    <w:left w:val="single" w:color="000000" w:sz="4" w:space="0"/>
                    <w:bottom w:val="single" w:color="000000" w:sz="4" w:space="0"/>
                    <w:right w:val="single" w:color="000000" w:sz="4" w:space="0"/>
                  </w:tcBorders>
                  <w:vAlign w:val="center"/>
                </w:tcPr>
                <w:p w14:paraId="678889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color w:val="auto"/>
                      <w:kern w:val="2"/>
                      <w:sz w:val="18"/>
                      <w:szCs w:val="18"/>
                      <w:lang w:val="en-US" w:eastAsia="zh-CN" w:bidi="ar-SA"/>
                    </w:rPr>
                  </w:pPr>
                  <w:r>
                    <w:rPr>
                      <w:rFonts w:hint="eastAsia" w:ascii="Times New Roman" w:hAnsi="Times New Roman" w:eastAsia="宋体"/>
                      <w:color w:val="auto"/>
                      <w:sz w:val="18"/>
                      <w:szCs w:val="18"/>
                    </w:rPr>
                    <w:t>泄漏</w:t>
                  </w:r>
                </w:p>
              </w:tc>
              <w:tc>
                <w:tcPr>
                  <w:tcW w:w="869" w:type="pct"/>
                  <w:tcBorders>
                    <w:top w:val="single" w:color="000000" w:sz="4" w:space="0"/>
                    <w:left w:val="single" w:color="000000" w:sz="4" w:space="0"/>
                    <w:bottom w:val="single" w:color="000000" w:sz="4" w:space="0"/>
                    <w:right w:val="single" w:color="000000" w:sz="4" w:space="0"/>
                  </w:tcBorders>
                  <w:vAlign w:val="center"/>
                </w:tcPr>
                <w:p w14:paraId="23A259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color w:val="auto"/>
                      <w:kern w:val="2"/>
                      <w:sz w:val="18"/>
                      <w:szCs w:val="18"/>
                      <w:lang w:val="en-US" w:eastAsia="zh-CN" w:bidi="ar-SA"/>
                    </w:rPr>
                  </w:pPr>
                  <w:r>
                    <w:rPr>
                      <w:rFonts w:hint="eastAsia" w:ascii="Times New Roman" w:hAnsi="Times New Roman" w:eastAsia="宋体"/>
                      <w:color w:val="auto"/>
                      <w:sz w:val="18"/>
                      <w:szCs w:val="18"/>
                    </w:rPr>
                    <w:t>地表</w:t>
                  </w:r>
                  <w:r>
                    <w:rPr>
                      <w:rFonts w:hint="eastAsia"/>
                      <w:color w:val="auto"/>
                      <w:sz w:val="18"/>
                      <w:szCs w:val="18"/>
                      <w:lang w:eastAsia="zh-CN"/>
                    </w:rPr>
                    <w:t>漫流</w:t>
                  </w:r>
                  <w:r>
                    <w:rPr>
                      <w:rFonts w:hint="eastAsia" w:ascii="Times New Roman" w:hAnsi="Times New Roman" w:eastAsia="宋体"/>
                      <w:color w:val="auto"/>
                      <w:sz w:val="18"/>
                      <w:szCs w:val="18"/>
                    </w:rPr>
                    <w:t>、土壤</w:t>
                  </w:r>
                  <w:r>
                    <w:rPr>
                      <w:rFonts w:hint="eastAsia"/>
                      <w:color w:val="auto"/>
                      <w:sz w:val="18"/>
                      <w:szCs w:val="18"/>
                      <w:lang w:eastAsia="zh-CN"/>
                    </w:rPr>
                    <w:t>及地下水渗透吸收</w:t>
                  </w:r>
                </w:p>
              </w:tc>
              <w:tc>
                <w:tcPr>
                  <w:tcW w:w="1445" w:type="pct"/>
                  <w:tcBorders>
                    <w:top w:val="single" w:color="000000" w:sz="4" w:space="0"/>
                    <w:left w:val="single" w:color="000000" w:sz="4" w:space="0"/>
                    <w:bottom w:val="single" w:color="000000" w:sz="4" w:space="0"/>
                    <w:right w:val="nil"/>
                  </w:tcBorders>
                  <w:vAlign w:val="center"/>
                </w:tcPr>
                <w:p w14:paraId="248761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color w:val="auto"/>
                      <w:kern w:val="2"/>
                      <w:sz w:val="18"/>
                      <w:szCs w:val="18"/>
                      <w:lang w:val="en-US" w:eastAsia="zh-CN" w:bidi="ar-SA"/>
                    </w:rPr>
                  </w:pPr>
                  <w:r>
                    <w:rPr>
                      <w:rFonts w:hint="eastAsia" w:ascii="Times New Roman" w:hAnsi="Times New Roman" w:eastAsia="宋体"/>
                      <w:color w:val="auto"/>
                      <w:sz w:val="18"/>
                      <w:szCs w:val="18"/>
                    </w:rPr>
                    <w:t>地下水及土壤，附近水体等</w:t>
                  </w:r>
                </w:p>
              </w:tc>
            </w:tr>
            <w:tr w14:paraId="15093C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20" w:hRule="atLeast"/>
                <w:jc w:val="center"/>
              </w:trPr>
              <w:tc>
                <w:tcPr>
                  <w:tcW w:w="348" w:type="pct"/>
                  <w:tcBorders>
                    <w:top w:val="single" w:color="000000" w:sz="4" w:space="0"/>
                    <w:left w:val="nil"/>
                    <w:bottom w:val="single" w:color="auto" w:sz="12" w:space="0"/>
                    <w:right w:val="single" w:color="000000" w:sz="4" w:space="0"/>
                  </w:tcBorders>
                  <w:vAlign w:val="center"/>
                </w:tcPr>
                <w:p w14:paraId="5F7DD4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lang w:eastAsia="zh-CN"/>
                    </w:rPr>
                  </w:pPr>
                  <w:r>
                    <w:rPr>
                      <w:rFonts w:hint="eastAsia"/>
                      <w:color w:val="auto"/>
                      <w:sz w:val="18"/>
                      <w:szCs w:val="18"/>
                      <w:lang w:val="en-US" w:eastAsia="zh-CN"/>
                    </w:rPr>
                    <w:t>4</w:t>
                  </w:r>
                </w:p>
              </w:tc>
              <w:tc>
                <w:tcPr>
                  <w:tcW w:w="540" w:type="pct"/>
                  <w:tcBorders>
                    <w:top w:val="single" w:color="000000" w:sz="4" w:space="0"/>
                    <w:left w:val="single" w:color="000000" w:sz="4" w:space="0"/>
                    <w:bottom w:val="single" w:color="auto" w:sz="12" w:space="0"/>
                    <w:right w:val="single" w:color="000000" w:sz="4" w:space="0"/>
                  </w:tcBorders>
                  <w:vAlign w:val="center"/>
                </w:tcPr>
                <w:p w14:paraId="16A448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rPr>
                  </w:pPr>
                  <w:r>
                    <w:rPr>
                      <w:rFonts w:hint="eastAsia" w:ascii="Times New Roman" w:hAnsi="Times New Roman" w:eastAsia="宋体"/>
                      <w:color w:val="auto"/>
                      <w:sz w:val="18"/>
                      <w:szCs w:val="18"/>
                    </w:rPr>
                    <w:t>废气处理设施</w:t>
                  </w:r>
                </w:p>
              </w:tc>
              <w:tc>
                <w:tcPr>
                  <w:tcW w:w="1202" w:type="pct"/>
                  <w:tcBorders>
                    <w:top w:val="single" w:color="000000" w:sz="4" w:space="0"/>
                    <w:left w:val="single" w:color="000000" w:sz="4" w:space="0"/>
                    <w:bottom w:val="single" w:color="auto" w:sz="12" w:space="0"/>
                    <w:right w:val="single" w:color="000000" w:sz="4" w:space="0"/>
                  </w:tcBorders>
                  <w:vAlign w:val="center"/>
                </w:tcPr>
                <w:p w14:paraId="74FFF3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color w:val="auto"/>
                      <w:sz w:val="18"/>
                      <w:szCs w:val="18"/>
                      <w:lang w:val="en-US" w:eastAsia="zh-CN"/>
                    </w:rPr>
                    <w:t>非甲烷总烃；火灾次生有害物质</w:t>
                  </w:r>
                </w:p>
              </w:tc>
              <w:tc>
                <w:tcPr>
                  <w:tcW w:w="593" w:type="pct"/>
                  <w:tcBorders>
                    <w:top w:val="single" w:color="000000" w:sz="4" w:space="0"/>
                    <w:left w:val="single" w:color="000000" w:sz="4" w:space="0"/>
                    <w:bottom w:val="single" w:color="auto" w:sz="12" w:space="0"/>
                    <w:right w:val="single" w:color="000000" w:sz="4" w:space="0"/>
                  </w:tcBorders>
                  <w:vAlign w:val="center"/>
                </w:tcPr>
                <w:p w14:paraId="385B4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18"/>
                      <w:szCs w:val="18"/>
                    </w:rPr>
                  </w:pPr>
                  <w:r>
                    <w:rPr>
                      <w:rFonts w:hint="eastAsia" w:ascii="Times New Roman" w:hAnsi="Times New Roman" w:eastAsia="宋体"/>
                      <w:color w:val="auto"/>
                      <w:sz w:val="18"/>
                      <w:szCs w:val="18"/>
                    </w:rPr>
                    <w:t>火灾</w:t>
                  </w:r>
                  <w:r>
                    <w:rPr>
                      <w:rFonts w:hint="eastAsia"/>
                      <w:color w:val="auto"/>
                      <w:sz w:val="18"/>
                      <w:szCs w:val="18"/>
                      <w:lang w:eastAsia="zh-CN"/>
                    </w:rPr>
                    <w:t>引发次伴生</w:t>
                  </w:r>
                </w:p>
              </w:tc>
              <w:tc>
                <w:tcPr>
                  <w:tcW w:w="869" w:type="pct"/>
                  <w:tcBorders>
                    <w:top w:val="single" w:color="000000" w:sz="4" w:space="0"/>
                    <w:left w:val="single" w:color="000000" w:sz="4" w:space="0"/>
                    <w:bottom w:val="single" w:color="auto" w:sz="12" w:space="0"/>
                    <w:right w:val="single" w:color="000000" w:sz="4" w:space="0"/>
                  </w:tcBorders>
                  <w:vAlign w:val="center"/>
                </w:tcPr>
                <w:p w14:paraId="68C717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olor w:val="auto"/>
                      <w:sz w:val="18"/>
                      <w:szCs w:val="18"/>
                    </w:rPr>
                  </w:pPr>
                  <w:r>
                    <w:rPr>
                      <w:rFonts w:hint="eastAsia" w:ascii="Times New Roman" w:hAnsi="Times New Roman" w:eastAsia="宋体"/>
                      <w:color w:val="auto"/>
                      <w:sz w:val="18"/>
                      <w:szCs w:val="18"/>
                    </w:rPr>
                    <w:t>大气</w:t>
                  </w:r>
                  <w:r>
                    <w:rPr>
                      <w:rFonts w:hint="eastAsia"/>
                      <w:color w:val="auto"/>
                      <w:sz w:val="18"/>
                      <w:szCs w:val="18"/>
                      <w:lang w:eastAsia="zh-CN"/>
                    </w:rPr>
                    <w:t>扩散</w:t>
                  </w:r>
                  <w:r>
                    <w:rPr>
                      <w:rFonts w:hint="eastAsia" w:ascii="Times New Roman" w:hAnsi="Times New Roman" w:eastAsia="宋体"/>
                      <w:color w:val="auto"/>
                      <w:sz w:val="18"/>
                      <w:szCs w:val="18"/>
                    </w:rPr>
                    <w:t>、地表</w:t>
                  </w:r>
                  <w:r>
                    <w:rPr>
                      <w:rFonts w:hint="eastAsia"/>
                      <w:color w:val="auto"/>
                      <w:sz w:val="18"/>
                      <w:szCs w:val="18"/>
                      <w:lang w:eastAsia="zh-CN"/>
                    </w:rPr>
                    <w:t>漫流</w:t>
                  </w:r>
                  <w:r>
                    <w:rPr>
                      <w:rFonts w:hint="eastAsia" w:ascii="Times New Roman" w:hAnsi="Times New Roman" w:eastAsia="宋体"/>
                      <w:color w:val="auto"/>
                      <w:sz w:val="18"/>
                      <w:szCs w:val="18"/>
                    </w:rPr>
                    <w:t>、土壤</w:t>
                  </w:r>
                  <w:r>
                    <w:rPr>
                      <w:rFonts w:hint="eastAsia"/>
                      <w:color w:val="auto"/>
                      <w:sz w:val="18"/>
                      <w:szCs w:val="18"/>
                      <w:lang w:eastAsia="zh-CN"/>
                    </w:rPr>
                    <w:t>及地下水渗透吸收</w:t>
                  </w:r>
                </w:p>
              </w:tc>
              <w:tc>
                <w:tcPr>
                  <w:tcW w:w="1445" w:type="pct"/>
                  <w:tcBorders>
                    <w:top w:val="single" w:color="000000" w:sz="4" w:space="0"/>
                    <w:left w:val="single" w:color="000000" w:sz="4" w:space="0"/>
                    <w:bottom w:val="single" w:color="auto" w:sz="12" w:space="0"/>
                    <w:right w:val="nil"/>
                  </w:tcBorders>
                  <w:vAlign w:val="center"/>
                </w:tcPr>
                <w:p w14:paraId="116CD4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eastAsia="宋体"/>
                      <w:color w:val="auto"/>
                      <w:sz w:val="18"/>
                      <w:szCs w:val="18"/>
                    </w:rPr>
                    <w:t>周边居民区</w:t>
                  </w:r>
                  <w:r>
                    <w:rPr>
                      <w:rFonts w:hint="eastAsia"/>
                      <w:color w:val="auto"/>
                      <w:sz w:val="18"/>
                      <w:szCs w:val="18"/>
                      <w:lang w:eastAsia="zh-CN"/>
                    </w:rPr>
                    <w:t>、学校，</w:t>
                  </w:r>
                  <w:r>
                    <w:rPr>
                      <w:rFonts w:hint="eastAsia" w:ascii="Times New Roman" w:hAnsi="Times New Roman" w:eastAsia="宋体"/>
                      <w:color w:val="auto"/>
                      <w:sz w:val="18"/>
                      <w:szCs w:val="18"/>
                    </w:rPr>
                    <w:t>地下水及土壤，附近水体等</w:t>
                  </w:r>
                </w:p>
              </w:tc>
            </w:tr>
          </w:tbl>
          <w:p w14:paraId="53EF203B">
            <w:pPr>
              <w:keepNext w:val="0"/>
              <w:keepLines w:val="0"/>
              <w:pageBreakBefore w:val="0"/>
              <w:widowControl w:val="0"/>
              <w:suppressLineNumbers w:val="0"/>
              <w:kinsoku/>
              <w:wordWrap/>
              <w:overflowPunct/>
              <w:topLinePunct w:val="0"/>
              <w:bidi w:val="0"/>
              <w:adjustRightInd w:val="0"/>
              <w:snapToGrid w:val="0"/>
              <w:spacing w:before="157" w:beforeLines="50" w:beforeAutospacing="0" w:after="0" w:afterAutospacing="0" w:line="360" w:lineRule="auto"/>
              <w:ind w:left="0" w:right="0"/>
              <w:textAlignment w:val="auto"/>
              <w:rPr>
                <w:rFonts w:hint="default" w:ascii="Times New Roman" w:hAnsi="Times New Roman" w:cs="Times New Roman"/>
                <w:b/>
                <w:bCs/>
                <w:color w:val="auto"/>
              </w:rPr>
            </w:pPr>
            <w:r>
              <w:rPr>
                <w:rFonts w:hint="default" w:ascii="Times New Roman" w:hAnsi="Times New Roman" w:cs="Times New Roman"/>
                <w:b/>
                <w:bCs/>
                <w:color w:val="auto"/>
              </w:rPr>
              <w:t>7.3</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环境风险防范措施</w:t>
            </w:r>
          </w:p>
          <w:p w14:paraId="4C289E9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eastAsia="zh-CN"/>
              </w:rPr>
              <w:t>建设单位</w:t>
            </w:r>
            <w:r>
              <w:rPr>
                <w:rFonts w:hint="default" w:ascii="Times New Roman" w:hAnsi="Times New Roman" w:cs="Times New Roman"/>
                <w:color w:val="auto"/>
              </w:rPr>
              <w:t>总平面布置严格遵守国家颁布的有关防火和安全等方面规范和规定，采取实验室、集中办公区、危废暂存区分离，设置明显的标志；</w:t>
            </w:r>
          </w:p>
          <w:p w14:paraId="1369A3F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rPr>
              <w:t>（2）制定安全实验制度，同时加强实验操作人员培训，严格按照程序实验，确保实验安全；日常监管设施实验配套有监控和烟雾报警器等预警措施；</w:t>
            </w:r>
            <w:r>
              <w:rPr>
                <w:rFonts w:hint="eastAsia" w:cs="Times New Roman"/>
                <w:color w:val="auto"/>
                <w:lang w:eastAsia="zh-CN"/>
              </w:rPr>
              <w:t>实验区</w:t>
            </w:r>
            <w:r>
              <w:rPr>
                <w:rFonts w:hint="default" w:ascii="Times New Roman" w:hAnsi="Times New Roman" w:cs="Times New Roman"/>
                <w:color w:val="auto"/>
              </w:rPr>
              <w:t>合理配套充足的消防器材，专人管理和定期检查，确保满足风险防控管理要求。</w:t>
            </w:r>
          </w:p>
          <w:p w14:paraId="2ED47C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eastAsia="zh-CN"/>
              </w:rPr>
              <w:t>化学品仓储区</w:t>
            </w:r>
            <w:r>
              <w:rPr>
                <w:rFonts w:hint="default" w:ascii="Times New Roman" w:hAnsi="Times New Roman" w:cs="Times New Roman"/>
                <w:color w:val="auto"/>
              </w:rPr>
              <w:t>做到干燥、阴凉、通风，地面防潮、防渗，配备充足的消防器材，在明显位置张贴“严禁烟火”等警示牌；加强对化学品储存及使用的管理，管理人员必须进行安全教育；严格执行防爆柜原辅料存储的操作规程，发现问题及时处理；严格执行原料试剂等入库前记账、登记制度，入库后应当定期检查并做详细的文字记录；定期检查化学品封口是否严密，有无挥发和渗漏等情况。</w:t>
            </w:r>
          </w:p>
          <w:p w14:paraId="2883B6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（4）危废暂存</w:t>
            </w:r>
            <w:r>
              <w:rPr>
                <w:rFonts w:hint="eastAsia" w:cs="Times New Roman"/>
                <w:color w:val="auto"/>
                <w:lang w:eastAsia="zh-CN"/>
              </w:rPr>
              <w:t>间</w:t>
            </w:r>
            <w:r>
              <w:rPr>
                <w:rFonts w:hint="default" w:ascii="Times New Roman" w:hAnsi="Times New Roman" w:cs="Times New Roman"/>
                <w:color w:val="auto"/>
              </w:rPr>
              <w:t>按照《危险废物贮存污染控制标准》（GB18597-2023）建设管理，设置防风、防雨、防晒、防渗等措施，配套监控；危险固废进行科学的分类收集；危废暂存区应铺设环氧地坪、托盘等防渗措施；对危废进行规范的贮存和运送；建立长效管控措施，防止危废暂存区发生环境污染事故和安全事故；危废转交及运送过程中，严格执行《危险废物转移联单管理办法》中的相关条款，确保危废安全转移运输</w:t>
            </w:r>
            <w:r>
              <w:rPr>
                <w:rFonts w:hint="eastAsia" w:cs="Times New Roman"/>
                <w:color w:val="auto"/>
                <w:lang w:eastAsia="zh-CN"/>
              </w:rPr>
              <w:t>。</w:t>
            </w:r>
          </w:p>
          <w:p w14:paraId="223B2F2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5</w:t>
            </w:r>
            <w:r>
              <w:rPr>
                <w:rFonts w:hint="default" w:ascii="Times New Roman" w:hAnsi="Times New Roman" w:cs="Times New Roman"/>
                <w:color w:val="auto"/>
              </w:rPr>
              <w:t>）本项目为小型实验室，所用原料量较少，暂存量较小，不存在发生大规模泄漏的可能；实验试剂或液态危废泄漏可采用防渗漏托盘或应急桶收集，</w:t>
            </w:r>
            <w:r>
              <w:rPr>
                <w:rFonts w:hint="eastAsia" w:cs="Times New Roman"/>
                <w:color w:val="auto"/>
                <w:lang w:eastAsia="zh-CN"/>
              </w:rPr>
              <w:t>砂袋</w:t>
            </w:r>
            <w:r>
              <w:rPr>
                <w:rFonts w:hint="default" w:ascii="Times New Roman" w:hAnsi="Times New Roman" w:cs="Times New Roman"/>
                <w:color w:val="auto"/>
              </w:rPr>
              <w:t>条截留吸附，并做危废处置。</w:t>
            </w:r>
          </w:p>
          <w:p w14:paraId="40980B6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6</w:t>
            </w:r>
            <w:r>
              <w:rPr>
                <w:rFonts w:hint="default" w:ascii="Times New Roman" w:hAnsi="Times New Roman" w:cs="Times New Roman"/>
                <w:color w:val="auto"/>
              </w:rPr>
              <w:t>）</w:t>
            </w:r>
            <w:r>
              <w:rPr>
                <w:rFonts w:hint="eastAsia" w:cs="Times New Roman"/>
                <w:color w:val="auto"/>
                <w:lang w:eastAsia="zh-CN"/>
              </w:rPr>
              <w:t>教学科研楼</w:t>
            </w:r>
            <w:r>
              <w:rPr>
                <w:rFonts w:hint="default" w:ascii="Times New Roman" w:hAnsi="Times New Roman" w:cs="Times New Roman"/>
                <w:color w:val="auto"/>
              </w:rPr>
              <w:t>配备消防设施、</w:t>
            </w:r>
            <w:r>
              <w:rPr>
                <w:rFonts w:hint="eastAsia" w:cs="Times New Roman"/>
                <w:color w:val="auto"/>
                <w:lang w:eastAsia="zh-CN"/>
              </w:rPr>
              <w:t>院</w:t>
            </w:r>
            <w:r>
              <w:rPr>
                <w:rFonts w:hint="default" w:ascii="Times New Roman" w:hAnsi="Times New Roman" w:cs="Times New Roman"/>
                <w:color w:val="auto"/>
              </w:rPr>
              <w:t>区内管线完善、地面道路均设置地面硬化；同时，设有专门环保专员负责整个</w:t>
            </w:r>
            <w:r>
              <w:rPr>
                <w:rFonts w:hint="eastAsia" w:cs="Times New Roman"/>
                <w:color w:val="auto"/>
                <w:lang w:eastAsia="zh-CN"/>
              </w:rPr>
              <w:t>院</w:t>
            </w:r>
            <w:r>
              <w:rPr>
                <w:rFonts w:hint="default" w:ascii="Times New Roman" w:hAnsi="Times New Roman" w:cs="Times New Roman"/>
                <w:color w:val="auto"/>
              </w:rPr>
              <w:t>区的环境管理、环境统计及长效管理；当发生小面积火灾时应立即利用消防设施灭火；若火情不可控应及时通知环保专员，并辅助指导疏散撤离整栋楼工作人员，采取应急响应措施。</w:t>
            </w:r>
            <w:r>
              <w:rPr>
                <w:rFonts w:hint="eastAsia" w:cs="Times New Roman"/>
                <w:color w:val="auto"/>
                <w:lang w:eastAsia="zh-CN"/>
              </w:rPr>
              <w:t>院区</w:t>
            </w:r>
            <w:r>
              <w:rPr>
                <w:rFonts w:hint="default" w:ascii="Times New Roman" w:hAnsi="Times New Roman" w:cs="Times New Roman"/>
                <w:color w:val="auto"/>
              </w:rPr>
              <w:t>雨水排口设置节流阀门，一旦发生火灾、爆炸事故，事故废水中将会含有泄漏化学品物质，发生事故时，立即切断污水排口，防止事故废水进入周边地表水。事故废水及消防废水应收集处理达标后，方可排入市政管网；严格落实“单元</w:t>
            </w:r>
            <w:r>
              <w:rPr>
                <w:rFonts w:hint="eastAsia" w:cs="Times New Roman"/>
                <w:color w:val="auto"/>
                <w:lang w:eastAsia="zh-CN"/>
              </w:rPr>
              <w:t>－院</w:t>
            </w:r>
            <w:r>
              <w:rPr>
                <w:rFonts w:hint="default" w:ascii="Times New Roman" w:hAnsi="Times New Roman" w:cs="Times New Roman"/>
                <w:color w:val="auto"/>
              </w:rPr>
              <w:t>区</w:t>
            </w:r>
            <w:r>
              <w:rPr>
                <w:rFonts w:hint="eastAsia" w:cs="Times New Roman"/>
                <w:color w:val="auto"/>
                <w:lang w:eastAsia="zh-CN"/>
              </w:rPr>
              <w:t>－</w:t>
            </w:r>
            <w:r>
              <w:rPr>
                <w:rFonts w:hint="default" w:ascii="Times New Roman" w:hAnsi="Times New Roman" w:cs="Times New Roman"/>
                <w:color w:val="auto"/>
              </w:rPr>
              <w:t>区域”三级环境风险防控要求，确保事故废水不进入外环境。</w:t>
            </w:r>
          </w:p>
          <w:p w14:paraId="3EC4C25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7</w:t>
            </w:r>
            <w:r>
              <w:rPr>
                <w:rFonts w:hint="default" w:ascii="Times New Roman" w:hAnsi="Times New Roman" w:cs="Times New Roman"/>
                <w:color w:val="auto"/>
              </w:rPr>
              <w:t>）废气风险防范措施</w:t>
            </w:r>
          </w:p>
          <w:p w14:paraId="4C0C778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rPr>
              <w:t>①平时加强废气处理设施的维护保养，定期检查废气处理装置，及时发现处理设备的隐患，并及时进行维修，确保废气处理系统正常运行；</w:t>
            </w:r>
          </w:p>
          <w:p w14:paraId="54A9A5D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rPr>
              <w:t>②建立健全的环保机构，对管理人员和技术人员进行岗位培训，对废气处理实行全过程跟踪控制。</w:t>
            </w:r>
          </w:p>
          <w:p w14:paraId="16A441E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bCs/>
                <w:snapToGrid w:val="0"/>
                <w:color w:val="auto"/>
                <w:kern w:val="0"/>
              </w:rPr>
            </w:pPr>
            <w:r>
              <w:rPr>
                <w:rFonts w:hint="default" w:ascii="Times New Roman" w:hAnsi="Times New Roman" w:cs="Times New Roman"/>
                <w:bCs/>
                <w:snapToGrid w:val="0"/>
                <w:color w:val="auto"/>
                <w:kern w:val="0"/>
              </w:rPr>
              <w:t>（</w:t>
            </w:r>
            <w:r>
              <w:rPr>
                <w:rFonts w:hint="eastAsia" w:cs="Times New Roman"/>
                <w:bCs/>
                <w:snapToGrid w:val="0"/>
                <w:color w:val="auto"/>
                <w:kern w:val="0"/>
                <w:lang w:val="en-US" w:eastAsia="zh-CN"/>
              </w:rPr>
              <w:t>8</w:t>
            </w:r>
            <w:r>
              <w:rPr>
                <w:rFonts w:hint="default" w:ascii="Times New Roman" w:hAnsi="Times New Roman" w:cs="Times New Roman"/>
                <w:bCs/>
                <w:snapToGrid w:val="0"/>
                <w:color w:val="auto"/>
                <w:kern w:val="0"/>
              </w:rPr>
              <w:t>）废水事故风险防范措施</w:t>
            </w:r>
          </w:p>
          <w:p w14:paraId="1E48E0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bCs/>
                <w:snapToGrid w:val="0"/>
                <w:color w:val="auto"/>
                <w:kern w:val="0"/>
                <w:lang w:eastAsia="zh-CN"/>
              </w:rPr>
            </w:pPr>
            <w:r>
              <w:rPr>
                <w:rFonts w:hint="eastAsia" w:cs="Times New Roman"/>
                <w:bCs/>
                <w:snapToGrid w:val="0"/>
                <w:color w:val="auto"/>
                <w:kern w:val="0"/>
                <w:lang w:val="en-US" w:eastAsia="zh-CN"/>
              </w:rPr>
              <w:t>建设项目</w:t>
            </w:r>
            <w:r>
              <w:rPr>
                <w:rFonts w:hint="default" w:ascii="Times New Roman" w:hAnsi="Times New Roman" w:cs="Times New Roman"/>
                <w:bCs/>
                <w:snapToGrid w:val="0"/>
                <w:color w:val="auto"/>
                <w:kern w:val="0"/>
                <w:lang w:val="en-US" w:eastAsia="zh-CN"/>
              </w:rPr>
              <w:t>建成</w:t>
            </w:r>
            <w:r>
              <w:rPr>
                <w:rFonts w:hint="default" w:ascii="Times New Roman" w:hAnsi="Times New Roman" w:cs="Times New Roman"/>
                <w:bCs/>
                <w:snapToGrid w:val="0"/>
                <w:color w:val="auto"/>
                <w:kern w:val="0"/>
                <w:lang w:eastAsia="zh-CN"/>
              </w:rPr>
              <w:t>后，</w:t>
            </w:r>
            <w:r>
              <w:rPr>
                <w:rFonts w:hint="eastAsia" w:cs="Times New Roman"/>
                <w:bCs/>
                <w:snapToGrid w:val="0"/>
                <w:color w:val="auto"/>
                <w:kern w:val="0"/>
                <w:lang w:eastAsia="zh-CN"/>
              </w:rPr>
              <w:t>医疗</w:t>
            </w:r>
            <w:r>
              <w:rPr>
                <w:rFonts w:hint="default" w:ascii="Times New Roman" w:hAnsi="Times New Roman" w:cs="Times New Roman"/>
                <w:bCs/>
                <w:snapToGrid w:val="0"/>
                <w:color w:val="auto"/>
                <w:kern w:val="0"/>
                <w:lang w:eastAsia="zh-CN"/>
              </w:rPr>
              <w:t>废水进入</w:t>
            </w:r>
            <w:r>
              <w:rPr>
                <w:rFonts w:hint="eastAsia" w:cs="Times New Roman"/>
                <w:bCs/>
                <w:snapToGrid w:val="0"/>
                <w:color w:val="auto"/>
                <w:kern w:val="0"/>
                <w:lang w:eastAsia="zh-CN"/>
              </w:rPr>
              <w:t>医院现有</w:t>
            </w:r>
            <w:r>
              <w:rPr>
                <w:rFonts w:hint="default" w:ascii="Times New Roman" w:hAnsi="Times New Roman" w:cs="Times New Roman"/>
                <w:bCs/>
                <w:snapToGrid w:val="0"/>
                <w:color w:val="auto"/>
                <w:kern w:val="0"/>
                <w:lang w:val="en-US" w:eastAsia="zh-CN"/>
              </w:rPr>
              <w:t>1座</w:t>
            </w:r>
            <w:r>
              <w:rPr>
                <w:rFonts w:hint="default" w:ascii="Times New Roman" w:hAnsi="Times New Roman" w:cs="Times New Roman"/>
                <w:bCs/>
                <w:snapToGrid w:val="0"/>
                <w:color w:val="auto"/>
                <w:kern w:val="0"/>
                <w:lang w:eastAsia="zh-CN"/>
              </w:rPr>
              <w:t>污水处理站处理，污水处理站风险防范措施如下：</w:t>
            </w:r>
          </w:p>
          <w:p w14:paraId="7C4F3D2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bCs/>
                <w:snapToGrid w:val="0"/>
                <w:color w:val="auto"/>
                <w:kern w:val="0"/>
                <w:lang w:eastAsia="zh-CN"/>
              </w:rPr>
            </w:pPr>
            <w:r>
              <w:rPr>
                <w:rFonts w:hint="default" w:ascii="Times New Roman" w:hAnsi="Times New Roman" w:cs="Times New Roman"/>
                <w:bCs/>
                <w:snapToGrid w:val="0"/>
                <w:color w:val="auto"/>
                <w:kern w:val="0"/>
                <w:lang w:eastAsia="zh-CN"/>
              </w:rPr>
              <w:t>①加强对</w:t>
            </w:r>
            <w:r>
              <w:rPr>
                <w:rFonts w:hint="default" w:ascii="Times New Roman" w:hAnsi="Times New Roman" w:cs="Times New Roman"/>
                <w:bCs/>
                <w:snapToGrid w:val="0"/>
                <w:color w:val="auto"/>
                <w:kern w:val="0"/>
                <w:lang w:val="en-US" w:eastAsia="zh-CN"/>
              </w:rPr>
              <w:t>污水</w:t>
            </w:r>
            <w:r>
              <w:rPr>
                <w:rFonts w:hint="default" w:ascii="Times New Roman" w:hAnsi="Times New Roman" w:cs="Times New Roman"/>
                <w:bCs/>
                <w:snapToGrid w:val="0"/>
                <w:color w:val="auto"/>
                <w:kern w:val="0"/>
                <w:lang w:eastAsia="zh-CN"/>
              </w:rPr>
              <w:t>处理站的日常检查，做好记录备查；</w:t>
            </w:r>
          </w:p>
          <w:p w14:paraId="61BB82C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bCs/>
                <w:snapToGrid w:val="0"/>
                <w:color w:val="auto"/>
                <w:kern w:val="0"/>
                <w:lang w:eastAsia="zh-CN"/>
              </w:rPr>
            </w:pPr>
            <w:r>
              <w:rPr>
                <w:rFonts w:hint="default" w:ascii="Times New Roman" w:hAnsi="Times New Roman" w:cs="Times New Roman"/>
                <w:bCs/>
                <w:snapToGrid w:val="0"/>
                <w:color w:val="auto"/>
                <w:kern w:val="0"/>
                <w:lang w:eastAsia="zh-CN"/>
              </w:rPr>
              <w:t>②对</w:t>
            </w:r>
            <w:r>
              <w:rPr>
                <w:rFonts w:hint="default" w:ascii="Times New Roman" w:hAnsi="Times New Roman" w:cs="Times New Roman"/>
                <w:bCs/>
                <w:snapToGrid w:val="0"/>
                <w:color w:val="auto"/>
                <w:kern w:val="0"/>
                <w:lang w:val="en-US" w:eastAsia="zh-CN"/>
              </w:rPr>
              <w:t>污水</w:t>
            </w:r>
            <w:r>
              <w:rPr>
                <w:rFonts w:hint="default" w:ascii="Times New Roman" w:hAnsi="Times New Roman" w:cs="Times New Roman"/>
                <w:bCs/>
                <w:snapToGrid w:val="0"/>
                <w:color w:val="auto"/>
                <w:kern w:val="0"/>
                <w:lang w:eastAsia="zh-CN"/>
              </w:rPr>
              <w:t>处理站设备进行定期保养，尽可能减少设备事故性停运；</w:t>
            </w:r>
          </w:p>
          <w:p w14:paraId="5962110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bCs/>
                <w:snapToGrid w:val="0"/>
                <w:color w:val="auto"/>
                <w:kern w:val="0"/>
                <w:lang w:eastAsia="zh-CN"/>
              </w:rPr>
            </w:pPr>
            <w:r>
              <w:rPr>
                <w:rFonts w:hint="default" w:ascii="Times New Roman" w:hAnsi="Times New Roman" w:cs="Times New Roman"/>
                <w:bCs/>
                <w:snapToGrid w:val="0"/>
                <w:color w:val="auto"/>
                <w:kern w:val="0"/>
                <w:lang w:eastAsia="zh-CN"/>
              </w:rPr>
              <w:t>③废水处理站做好每日的进出水水质分析，严格监控接管废水的水质情况；</w:t>
            </w:r>
          </w:p>
          <w:p w14:paraId="16A5A6C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bCs/>
                <w:snapToGrid w:val="0"/>
                <w:color w:val="auto"/>
                <w:kern w:val="0"/>
                <w:lang w:eastAsia="zh-CN"/>
              </w:rPr>
            </w:pPr>
            <w:r>
              <w:rPr>
                <w:rFonts w:hint="default" w:ascii="Times New Roman" w:hAnsi="Times New Roman" w:cs="Times New Roman"/>
                <w:bCs/>
                <w:snapToGrid w:val="0"/>
                <w:color w:val="auto"/>
                <w:kern w:val="0"/>
                <w:lang w:eastAsia="zh-CN"/>
              </w:rPr>
              <w:t>④废水处理构筑物在设计、施工时，严格按照工程设计规范要求进行，选用标准管材，并做必要的防腐防渗处理。</w:t>
            </w:r>
          </w:p>
          <w:p w14:paraId="5CF9C71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textAlignment w:val="auto"/>
              <w:rPr>
                <w:rFonts w:hint="default" w:ascii="Times New Roman" w:hAnsi="Times New Roman" w:cs="Times New Roman"/>
                <w:bCs/>
                <w:snapToGrid w:val="0"/>
                <w:color w:val="auto"/>
                <w:kern w:val="0"/>
              </w:rPr>
            </w:pPr>
            <w:r>
              <w:rPr>
                <w:rFonts w:hint="default" w:ascii="Times New Roman" w:hAnsi="Times New Roman" w:cs="Times New Roman"/>
                <w:bCs/>
                <w:snapToGrid w:val="0"/>
                <w:color w:val="auto"/>
                <w:kern w:val="0"/>
                <w:lang w:eastAsia="zh-CN"/>
              </w:rPr>
              <w:t>⑤</w:t>
            </w:r>
            <w:r>
              <w:rPr>
                <w:rFonts w:hint="default" w:ascii="Times New Roman" w:hAnsi="Times New Roman" w:cs="Times New Roman"/>
                <w:bCs/>
                <w:snapToGrid w:val="0"/>
                <w:color w:val="auto"/>
                <w:kern w:val="0"/>
              </w:rPr>
              <w:t>定期检查</w:t>
            </w:r>
            <w:r>
              <w:rPr>
                <w:rFonts w:hint="eastAsia" w:cs="Times New Roman"/>
                <w:bCs/>
                <w:snapToGrid w:val="0"/>
                <w:color w:val="auto"/>
                <w:kern w:val="0"/>
                <w:lang w:val="en-US" w:eastAsia="zh-CN"/>
              </w:rPr>
              <w:t>各废水处理构筑物</w:t>
            </w:r>
            <w:r>
              <w:rPr>
                <w:rFonts w:hint="default" w:ascii="Times New Roman" w:hAnsi="Times New Roman" w:cs="Times New Roman"/>
                <w:bCs/>
                <w:snapToGrid w:val="0"/>
                <w:color w:val="auto"/>
                <w:kern w:val="0"/>
                <w:lang w:eastAsia="zh-CN"/>
              </w:rPr>
              <w:t>等</w:t>
            </w:r>
            <w:r>
              <w:rPr>
                <w:rFonts w:hint="default" w:ascii="Times New Roman" w:hAnsi="Times New Roman" w:cs="Times New Roman"/>
                <w:bCs/>
                <w:snapToGrid w:val="0"/>
                <w:color w:val="auto"/>
                <w:kern w:val="0"/>
              </w:rPr>
              <w:t>废水处理装置，在废水处理装置出现故障时，立即停止废水处理系统的运行，待检修</w:t>
            </w:r>
            <w:r>
              <w:rPr>
                <w:rFonts w:hint="default" w:ascii="Times New Roman" w:hAnsi="Times New Roman" w:cs="Times New Roman"/>
                <w:bCs/>
                <w:snapToGrid w:val="0"/>
                <w:color w:val="auto"/>
                <w:kern w:val="0"/>
                <w:lang w:val="en-US" w:eastAsia="zh-CN"/>
              </w:rPr>
              <w:t>完毕，正常运行后</w:t>
            </w:r>
            <w:r>
              <w:rPr>
                <w:rFonts w:hint="default" w:ascii="Times New Roman" w:hAnsi="Times New Roman" w:cs="Times New Roman"/>
                <w:bCs/>
                <w:snapToGrid w:val="0"/>
                <w:color w:val="auto"/>
                <w:kern w:val="0"/>
              </w:rPr>
              <w:t>再进行处理。</w:t>
            </w:r>
          </w:p>
          <w:p w14:paraId="51EE91F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textAlignment w:val="auto"/>
              <w:rPr>
                <w:rFonts w:hint="eastAsia" w:ascii="Times New Roman" w:hAnsi="Times New Roman" w:eastAsia="宋体" w:cs="Times New Roman"/>
                <w:b w:val="0"/>
                <w:bCs w:val="0"/>
                <w:color w:val="auto"/>
                <w:lang w:eastAsia="zh-CN"/>
              </w:rPr>
            </w:pPr>
            <w:r>
              <w:rPr>
                <w:rFonts w:hint="eastAsia" w:cs="Times New Roman"/>
                <w:b w:val="0"/>
                <w:bCs w:val="0"/>
                <w:color w:val="auto"/>
                <w:lang w:eastAsia="zh-CN"/>
              </w:rPr>
              <w:t>（</w:t>
            </w:r>
            <w:r>
              <w:rPr>
                <w:rFonts w:hint="eastAsia" w:cs="Times New Roman"/>
                <w:b w:val="0"/>
                <w:bCs w:val="0"/>
                <w:color w:val="auto"/>
                <w:lang w:val="en-US" w:eastAsia="zh-CN"/>
              </w:rPr>
              <w:t>9</w:t>
            </w:r>
            <w:r>
              <w:rPr>
                <w:rFonts w:hint="eastAsia" w:cs="Times New Roman"/>
                <w:b w:val="0"/>
                <w:bCs w:val="0"/>
                <w:color w:val="auto"/>
                <w:lang w:eastAsia="zh-CN"/>
              </w:rPr>
              <w:t>）项目建成后，建设单位应及时依据《企业事业单位突发环境事件应急预案备案管理办法（试行）》（环发〔2015〕4号）、《企事业单位和工业园区突发环境事件应急预案编制导则》（DB32/T3795-2020）更新环境风险应急预案，并按应急预案实施各项环境风险防范措施，加强应急演练。</w:t>
            </w:r>
          </w:p>
          <w:p w14:paraId="24DC78F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8.电磁辐射</w:t>
            </w:r>
          </w:p>
          <w:p w14:paraId="5EBFF96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r>
              <w:rPr>
                <w:rFonts w:hint="eastAsia" w:cs="Times New Roman"/>
                <w:color w:val="auto"/>
                <w:kern w:val="0"/>
                <w:sz w:val="24"/>
                <w:lang w:val="en-US" w:eastAsia="zh-CN"/>
              </w:rPr>
              <w:t>建设项目</w:t>
            </w:r>
            <w:r>
              <w:rPr>
                <w:rFonts w:hint="default" w:ascii="Times New Roman" w:hAnsi="Times New Roman" w:cs="Times New Roman"/>
                <w:color w:val="auto"/>
                <w:kern w:val="0"/>
                <w:sz w:val="24"/>
              </w:rPr>
              <w:t>不涉及电磁辐射环境影响。</w:t>
            </w:r>
          </w:p>
          <w:p w14:paraId="46D3566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7259B82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4CDB32C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11345F6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4F31EA1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7C67A5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382415B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3509C40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3615D54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1B7BCB9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041DF88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color w:val="auto"/>
                <w:kern w:val="0"/>
                <w:sz w:val="24"/>
              </w:rPr>
            </w:pPr>
          </w:p>
          <w:p w14:paraId="0F5250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textAlignment w:val="auto"/>
              <w:rPr>
                <w:rFonts w:hint="eastAsia" w:eastAsia="宋体"/>
                <w:color w:val="auto"/>
                <w:vertAlign w:val="baseline"/>
                <w:lang w:val="en-US" w:eastAsia="zh-CN"/>
              </w:rPr>
            </w:pPr>
          </w:p>
        </w:tc>
      </w:tr>
    </w:tbl>
    <w:p w14:paraId="53493343">
      <w:pPr>
        <w:ind w:left="0" w:leftChars="0" w:firstLine="0" w:firstLineChars="0"/>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E0811C">
      <w:pPr>
        <w:numPr>
          <w:ilvl w:val="0"/>
          <w:numId w:val="0"/>
        </w:numPr>
        <w:spacing w:line="240" w:lineRule="auto"/>
        <w:ind w:firstLine="0" w:firstLineChars="0"/>
        <w:jc w:val="center"/>
        <w:outlineLvl w:val="0"/>
        <w:rPr>
          <w:rFonts w:hint="eastAsia"/>
          <w:b/>
          <w:bCs/>
          <w:color w:val="auto"/>
          <w:sz w:val="28"/>
          <w:szCs w:val="28"/>
          <w:lang w:val="en-US" w:eastAsia="zh-CN"/>
        </w:rPr>
      </w:pPr>
      <w:bookmarkStart w:id="26" w:name="_Toc16503"/>
      <w:bookmarkStart w:id="27" w:name="_Toc25772"/>
      <w:r>
        <w:rPr>
          <w:rFonts w:hint="eastAsia" w:cstheme="minorBidi"/>
          <w:b/>
          <w:bCs/>
          <w:color w:val="auto"/>
          <w:kern w:val="2"/>
          <w:sz w:val="28"/>
          <w:szCs w:val="28"/>
          <w:lang w:val="en-US" w:eastAsia="zh-CN" w:bidi="ar-SA"/>
        </w:rPr>
        <w:t>五</w:t>
      </w:r>
      <w:r>
        <w:rPr>
          <w:rFonts w:hint="eastAsia" w:ascii="Times New Roman" w:hAnsi="Times New Roman" w:eastAsia="宋体" w:cstheme="minorBidi"/>
          <w:b/>
          <w:bCs/>
          <w:color w:val="auto"/>
          <w:kern w:val="2"/>
          <w:sz w:val="28"/>
          <w:szCs w:val="28"/>
          <w:lang w:val="en-US" w:eastAsia="zh-CN" w:bidi="ar-SA"/>
        </w:rPr>
        <w:t>、</w:t>
      </w:r>
      <w:r>
        <w:rPr>
          <w:rFonts w:hint="eastAsia"/>
          <w:b/>
          <w:bCs/>
          <w:color w:val="auto"/>
          <w:sz w:val="28"/>
          <w:szCs w:val="28"/>
          <w:lang w:val="en-US" w:eastAsia="zh-CN"/>
        </w:rPr>
        <w:t>环境保护措施监督检查清单</w:t>
      </w:r>
      <w:bookmarkEnd w:id="26"/>
      <w:bookmarkEnd w:id="27"/>
    </w:p>
    <w:tbl>
      <w:tblPr>
        <w:tblStyle w:val="24"/>
        <w:tblW w:w="89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021"/>
        <w:gridCol w:w="708"/>
        <w:gridCol w:w="993"/>
        <w:gridCol w:w="755"/>
        <w:gridCol w:w="1231"/>
        <w:gridCol w:w="1749"/>
        <w:gridCol w:w="2443"/>
      </w:tblGrid>
      <w:tr w14:paraId="0517D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tcBorders>
              <w:top w:val="single" w:color="auto" w:sz="8" w:space="0"/>
              <w:left w:val="single" w:color="auto" w:sz="8" w:space="0"/>
              <w:bottom w:val="single" w:color="auto" w:sz="4" w:space="0"/>
              <w:right w:val="single" w:color="auto" w:sz="4" w:space="0"/>
            </w:tcBorders>
            <w:vAlign w:val="center"/>
          </w:tcPr>
          <w:p w14:paraId="2996F65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内容</w:t>
            </w:r>
          </w:p>
          <w:p w14:paraId="49851DB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要素</w:t>
            </w:r>
          </w:p>
        </w:tc>
        <w:tc>
          <w:tcPr>
            <w:tcW w:w="1701" w:type="dxa"/>
            <w:gridSpan w:val="2"/>
            <w:tcBorders>
              <w:top w:val="single" w:color="auto" w:sz="8" w:space="0"/>
              <w:left w:val="single" w:color="auto" w:sz="4" w:space="0"/>
              <w:bottom w:val="single" w:color="auto" w:sz="4" w:space="0"/>
              <w:right w:val="single" w:color="auto" w:sz="4" w:space="0"/>
            </w:tcBorders>
            <w:vAlign w:val="center"/>
          </w:tcPr>
          <w:p w14:paraId="3C17C37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排放口</w:t>
            </w:r>
            <w:r>
              <w:rPr>
                <w:rFonts w:hint="eastAsia" w:cs="Times New Roman"/>
                <w:b/>
                <w:color w:val="auto"/>
                <w:sz w:val="18"/>
                <w:szCs w:val="18"/>
                <w:lang w:eastAsia="zh-CN"/>
              </w:rPr>
              <w:t>（</w:t>
            </w:r>
            <w:r>
              <w:rPr>
                <w:rFonts w:hint="default" w:ascii="Times New Roman" w:hAnsi="Times New Roman" w:eastAsia="宋体" w:cs="Times New Roman"/>
                <w:b/>
                <w:color w:val="auto"/>
                <w:sz w:val="18"/>
                <w:szCs w:val="18"/>
              </w:rPr>
              <w:t>编号、</w:t>
            </w:r>
          </w:p>
          <w:p w14:paraId="3C93B01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名称</w:t>
            </w:r>
            <w:r>
              <w:rPr>
                <w:rFonts w:hint="eastAsia" w:cs="Times New Roman"/>
                <w:b/>
                <w:color w:val="auto"/>
                <w:sz w:val="18"/>
                <w:szCs w:val="18"/>
                <w:lang w:eastAsia="zh-CN"/>
              </w:rPr>
              <w:t>）</w:t>
            </w:r>
            <w:r>
              <w:rPr>
                <w:rFonts w:hint="default" w:ascii="Times New Roman" w:hAnsi="Times New Roman" w:eastAsia="宋体" w:cs="Times New Roman"/>
                <w:b/>
                <w:color w:val="auto"/>
                <w:sz w:val="18"/>
                <w:szCs w:val="18"/>
              </w:rPr>
              <w:t>/污染源</w:t>
            </w:r>
          </w:p>
        </w:tc>
        <w:tc>
          <w:tcPr>
            <w:tcW w:w="1986" w:type="dxa"/>
            <w:gridSpan w:val="2"/>
            <w:tcBorders>
              <w:top w:val="single" w:color="auto" w:sz="8" w:space="0"/>
              <w:left w:val="single" w:color="auto" w:sz="4" w:space="0"/>
              <w:bottom w:val="single" w:color="auto" w:sz="4" w:space="0"/>
              <w:right w:val="single" w:color="auto" w:sz="4" w:space="0"/>
            </w:tcBorders>
            <w:vAlign w:val="center"/>
          </w:tcPr>
          <w:p w14:paraId="71EB0A9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污染物项目</w:t>
            </w:r>
          </w:p>
        </w:tc>
        <w:tc>
          <w:tcPr>
            <w:tcW w:w="1749" w:type="dxa"/>
            <w:tcBorders>
              <w:top w:val="single" w:color="auto" w:sz="8" w:space="0"/>
              <w:left w:val="single" w:color="auto" w:sz="4" w:space="0"/>
              <w:bottom w:val="single" w:color="auto" w:sz="4" w:space="0"/>
              <w:right w:val="single" w:color="auto" w:sz="4" w:space="0"/>
            </w:tcBorders>
            <w:vAlign w:val="center"/>
          </w:tcPr>
          <w:p w14:paraId="4A712A4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环境保护措施</w:t>
            </w:r>
          </w:p>
        </w:tc>
        <w:tc>
          <w:tcPr>
            <w:tcW w:w="2443" w:type="dxa"/>
            <w:tcBorders>
              <w:top w:val="single" w:color="auto" w:sz="8" w:space="0"/>
              <w:left w:val="single" w:color="auto" w:sz="4" w:space="0"/>
              <w:bottom w:val="single" w:color="auto" w:sz="4" w:space="0"/>
              <w:right w:val="single" w:color="auto" w:sz="8" w:space="0"/>
            </w:tcBorders>
            <w:vAlign w:val="center"/>
          </w:tcPr>
          <w:p w14:paraId="73B2E7F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执行标准</w:t>
            </w:r>
          </w:p>
        </w:tc>
      </w:tr>
      <w:tr w14:paraId="3528D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vMerge w:val="restart"/>
            <w:tcBorders>
              <w:top w:val="single" w:color="auto" w:sz="4" w:space="0"/>
              <w:left w:val="single" w:color="auto" w:sz="8" w:space="0"/>
              <w:right w:val="single" w:color="auto" w:sz="4" w:space="0"/>
            </w:tcBorders>
            <w:vAlign w:val="center"/>
          </w:tcPr>
          <w:p w14:paraId="0A7A63F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大气环境</w:t>
            </w:r>
          </w:p>
        </w:tc>
        <w:tc>
          <w:tcPr>
            <w:tcW w:w="708" w:type="dxa"/>
            <w:tcBorders>
              <w:top w:val="single" w:color="auto" w:sz="4" w:space="0"/>
              <w:left w:val="single" w:color="auto" w:sz="4" w:space="0"/>
              <w:right w:val="single" w:color="auto" w:sz="4" w:space="0"/>
            </w:tcBorders>
            <w:vAlign w:val="center"/>
          </w:tcPr>
          <w:p w14:paraId="5796B43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有组织</w:t>
            </w:r>
          </w:p>
        </w:tc>
        <w:tc>
          <w:tcPr>
            <w:tcW w:w="993" w:type="dxa"/>
            <w:tcBorders>
              <w:top w:val="single" w:color="auto" w:sz="4" w:space="0"/>
              <w:left w:val="single" w:color="auto" w:sz="4" w:space="0"/>
              <w:bottom w:val="single" w:color="auto" w:sz="4" w:space="0"/>
              <w:right w:val="single" w:color="auto" w:sz="4" w:space="0"/>
            </w:tcBorders>
            <w:vAlign w:val="center"/>
          </w:tcPr>
          <w:p w14:paraId="1CF65CC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20m</w:t>
            </w:r>
            <w:r>
              <w:rPr>
                <w:rFonts w:hint="default" w:ascii="Times New Roman" w:hAnsi="Times New Roman" w:eastAsia="宋体" w:cs="Times New Roman"/>
                <w:color w:val="auto"/>
                <w:sz w:val="18"/>
                <w:szCs w:val="18"/>
              </w:rPr>
              <w:t>DA00</w:t>
            </w:r>
            <w:r>
              <w:rPr>
                <w:rFonts w:hint="default" w:ascii="Times New Roman" w:hAnsi="Times New Roman" w:cs="Times New Roman"/>
                <w:color w:val="auto"/>
                <w:sz w:val="18"/>
                <w:szCs w:val="18"/>
                <w:lang w:val="en-US" w:eastAsia="zh-CN"/>
              </w:rPr>
              <w:t>1</w:t>
            </w:r>
          </w:p>
        </w:tc>
        <w:tc>
          <w:tcPr>
            <w:tcW w:w="755" w:type="dxa"/>
            <w:tcBorders>
              <w:top w:val="single" w:color="auto" w:sz="4" w:space="0"/>
              <w:left w:val="single" w:color="auto" w:sz="4" w:space="0"/>
              <w:bottom w:val="single" w:color="auto" w:sz="4" w:space="0"/>
              <w:right w:val="single" w:color="auto" w:sz="4" w:space="0"/>
            </w:tcBorders>
            <w:vAlign w:val="center"/>
          </w:tcPr>
          <w:p w14:paraId="0823B43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rPr>
            </w:pPr>
            <w:r>
              <w:rPr>
                <w:rFonts w:hint="eastAsia" w:cs="Times New Roman"/>
                <w:color w:val="auto"/>
                <w:kern w:val="0"/>
                <w:sz w:val="18"/>
                <w:szCs w:val="18"/>
                <w:lang w:val="en-US" w:eastAsia="zh-CN"/>
              </w:rPr>
              <w:t>实验室废气</w:t>
            </w:r>
          </w:p>
        </w:tc>
        <w:tc>
          <w:tcPr>
            <w:tcW w:w="1231" w:type="dxa"/>
            <w:tcBorders>
              <w:top w:val="single" w:color="auto" w:sz="4" w:space="0"/>
              <w:left w:val="single" w:color="auto" w:sz="4" w:space="0"/>
              <w:bottom w:val="single" w:color="auto" w:sz="4" w:space="0"/>
              <w:right w:val="single" w:color="auto" w:sz="4" w:space="0"/>
            </w:tcBorders>
            <w:vAlign w:val="center"/>
          </w:tcPr>
          <w:p w14:paraId="37A7DA4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eastAsia="zh-CN"/>
              </w:rPr>
            </w:pPr>
            <w:r>
              <w:rPr>
                <w:rFonts w:hint="eastAsia" w:cs="Times New Roman"/>
                <w:color w:val="auto"/>
                <w:kern w:val="0"/>
                <w:sz w:val="18"/>
                <w:szCs w:val="18"/>
                <w:lang w:val="en-US" w:eastAsia="zh-CN"/>
              </w:rPr>
              <w:t>非甲烷总烃</w:t>
            </w:r>
          </w:p>
        </w:tc>
        <w:tc>
          <w:tcPr>
            <w:tcW w:w="1749" w:type="dxa"/>
            <w:tcBorders>
              <w:top w:val="single" w:color="auto" w:sz="4" w:space="0"/>
              <w:left w:val="single" w:color="auto" w:sz="4" w:space="0"/>
              <w:bottom w:val="single" w:color="auto" w:sz="4" w:space="0"/>
              <w:right w:val="single" w:color="auto" w:sz="4" w:space="0"/>
            </w:tcBorders>
            <w:vAlign w:val="center"/>
          </w:tcPr>
          <w:p w14:paraId="7942F32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通风橱/生物安全柜收集</w:t>
            </w:r>
            <w:r>
              <w:rPr>
                <w:rFonts w:hint="default" w:ascii="Times New Roman" w:hAnsi="Times New Roman" w:eastAsia="宋体" w:cs="Times New Roman"/>
                <w:color w:val="auto"/>
                <w:sz w:val="18"/>
                <w:szCs w:val="18"/>
              </w:rPr>
              <w:t>+两级活性炭吸附装置</w:t>
            </w:r>
          </w:p>
        </w:tc>
        <w:tc>
          <w:tcPr>
            <w:tcW w:w="2443" w:type="dxa"/>
            <w:tcBorders>
              <w:top w:val="single" w:color="auto" w:sz="4" w:space="0"/>
              <w:left w:val="single" w:color="auto" w:sz="4" w:space="0"/>
              <w:right w:val="single" w:color="auto" w:sz="8" w:space="0"/>
            </w:tcBorders>
            <w:vAlign w:val="center"/>
          </w:tcPr>
          <w:p w14:paraId="147CA47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《大气污染物综合排放标准》（DB32/4041-2021）表1</w:t>
            </w:r>
          </w:p>
        </w:tc>
      </w:tr>
      <w:tr w14:paraId="06775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vMerge w:val="continue"/>
            <w:tcBorders>
              <w:left w:val="single" w:color="auto" w:sz="8" w:space="0"/>
              <w:right w:val="single" w:color="auto" w:sz="4" w:space="0"/>
            </w:tcBorders>
            <w:vAlign w:val="center"/>
          </w:tcPr>
          <w:p w14:paraId="7E7FAB9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708" w:type="dxa"/>
            <w:vMerge w:val="restart"/>
            <w:tcBorders>
              <w:top w:val="single" w:color="auto" w:sz="4" w:space="0"/>
              <w:left w:val="single" w:color="auto" w:sz="4" w:space="0"/>
              <w:right w:val="single" w:color="auto" w:sz="4" w:space="0"/>
            </w:tcBorders>
            <w:vAlign w:val="center"/>
          </w:tcPr>
          <w:p w14:paraId="73609FA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无组织</w:t>
            </w:r>
          </w:p>
        </w:tc>
        <w:tc>
          <w:tcPr>
            <w:tcW w:w="993" w:type="dxa"/>
            <w:tcBorders>
              <w:top w:val="single" w:color="auto" w:sz="4" w:space="0"/>
              <w:left w:val="single" w:color="auto" w:sz="4" w:space="0"/>
              <w:bottom w:val="single" w:color="auto" w:sz="4" w:space="0"/>
              <w:right w:val="single" w:color="auto" w:sz="4" w:space="0"/>
            </w:tcBorders>
            <w:vAlign w:val="center"/>
          </w:tcPr>
          <w:p w14:paraId="2F42C5E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厂界</w:t>
            </w:r>
          </w:p>
        </w:tc>
        <w:tc>
          <w:tcPr>
            <w:tcW w:w="1986" w:type="dxa"/>
            <w:gridSpan w:val="2"/>
            <w:tcBorders>
              <w:top w:val="single" w:color="auto" w:sz="4" w:space="0"/>
              <w:left w:val="single" w:color="auto" w:sz="4" w:space="0"/>
              <w:bottom w:val="single" w:color="auto" w:sz="4" w:space="0"/>
              <w:right w:val="single" w:color="auto" w:sz="4" w:space="0"/>
            </w:tcBorders>
            <w:vAlign w:val="center"/>
          </w:tcPr>
          <w:p w14:paraId="0599109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非甲烷总烃</w:t>
            </w:r>
          </w:p>
        </w:tc>
        <w:tc>
          <w:tcPr>
            <w:tcW w:w="1749" w:type="dxa"/>
            <w:vMerge w:val="restart"/>
            <w:tcBorders>
              <w:top w:val="single" w:color="auto" w:sz="4" w:space="0"/>
              <w:left w:val="single" w:color="auto" w:sz="4" w:space="0"/>
              <w:right w:val="single" w:color="auto" w:sz="4" w:space="0"/>
            </w:tcBorders>
            <w:vAlign w:val="center"/>
          </w:tcPr>
          <w:p w14:paraId="2CF9F30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加强车间密闭，加大集气设施风量，采用先进生产设备</w:t>
            </w:r>
          </w:p>
        </w:tc>
        <w:tc>
          <w:tcPr>
            <w:tcW w:w="2443" w:type="dxa"/>
            <w:tcBorders>
              <w:top w:val="single" w:color="auto" w:sz="4" w:space="0"/>
              <w:left w:val="single" w:color="auto" w:sz="4" w:space="0"/>
              <w:right w:val="single" w:color="auto" w:sz="8" w:space="0"/>
            </w:tcBorders>
            <w:vAlign w:val="center"/>
          </w:tcPr>
          <w:p w14:paraId="6813091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《大气污染物综合排放标准》（DB32/4041-2021）表</w:t>
            </w:r>
            <w:r>
              <w:rPr>
                <w:rFonts w:hint="default" w:ascii="Times New Roman" w:hAnsi="Times New Roman" w:eastAsia="宋体" w:cs="Times New Roman"/>
                <w:color w:val="auto"/>
                <w:sz w:val="18"/>
                <w:szCs w:val="18"/>
                <w:lang w:val="en-US" w:eastAsia="zh-CN"/>
              </w:rPr>
              <w:t>3</w:t>
            </w:r>
          </w:p>
        </w:tc>
      </w:tr>
      <w:tr w14:paraId="2759A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vMerge w:val="continue"/>
            <w:tcBorders>
              <w:left w:val="single" w:color="auto" w:sz="8" w:space="0"/>
              <w:right w:val="single" w:color="auto" w:sz="4" w:space="0"/>
            </w:tcBorders>
            <w:vAlign w:val="center"/>
          </w:tcPr>
          <w:p w14:paraId="718A520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708" w:type="dxa"/>
            <w:vMerge w:val="continue"/>
            <w:tcBorders>
              <w:left w:val="single" w:color="auto" w:sz="4" w:space="0"/>
              <w:right w:val="single" w:color="auto" w:sz="4" w:space="0"/>
            </w:tcBorders>
            <w:vAlign w:val="center"/>
          </w:tcPr>
          <w:p w14:paraId="4F86ECD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32D1BC9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厂区内</w:t>
            </w:r>
          </w:p>
        </w:tc>
        <w:tc>
          <w:tcPr>
            <w:tcW w:w="1986" w:type="dxa"/>
            <w:gridSpan w:val="2"/>
            <w:tcBorders>
              <w:top w:val="single" w:color="auto" w:sz="4" w:space="0"/>
              <w:left w:val="single" w:color="auto" w:sz="4" w:space="0"/>
              <w:bottom w:val="single" w:color="auto" w:sz="4" w:space="0"/>
              <w:right w:val="single" w:color="auto" w:sz="4" w:space="0"/>
            </w:tcBorders>
            <w:vAlign w:val="center"/>
          </w:tcPr>
          <w:p w14:paraId="764D547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非甲烷总烃</w:t>
            </w:r>
          </w:p>
        </w:tc>
        <w:tc>
          <w:tcPr>
            <w:tcW w:w="1749" w:type="dxa"/>
            <w:vMerge w:val="continue"/>
            <w:tcBorders>
              <w:left w:val="single" w:color="auto" w:sz="4" w:space="0"/>
              <w:bottom w:val="single" w:color="auto" w:sz="4" w:space="0"/>
              <w:right w:val="single" w:color="auto" w:sz="4" w:space="0"/>
            </w:tcBorders>
            <w:vAlign w:val="center"/>
          </w:tcPr>
          <w:p w14:paraId="04C3D59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p>
        </w:tc>
        <w:tc>
          <w:tcPr>
            <w:tcW w:w="2443" w:type="dxa"/>
            <w:tcBorders>
              <w:top w:val="single" w:color="auto" w:sz="4" w:space="0"/>
              <w:left w:val="single" w:color="auto" w:sz="4" w:space="0"/>
              <w:bottom w:val="single" w:color="auto" w:sz="4" w:space="0"/>
              <w:right w:val="single" w:color="auto" w:sz="8" w:space="0"/>
            </w:tcBorders>
            <w:vAlign w:val="center"/>
          </w:tcPr>
          <w:p w14:paraId="3A89818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《大气污染物综合排放标准》（DB32/4041-2021）表</w:t>
            </w:r>
            <w:r>
              <w:rPr>
                <w:rFonts w:hint="eastAsia" w:ascii="Times New Roman" w:hAnsi="Times New Roman" w:eastAsia="宋体" w:cs="Times New Roman"/>
                <w:color w:val="auto"/>
                <w:sz w:val="18"/>
                <w:szCs w:val="18"/>
                <w:lang w:val="en-US" w:eastAsia="zh-CN"/>
              </w:rPr>
              <w:t>2</w:t>
            </w:r>
          </w:p>
        </w:tc>
      </w:tr>
      <w:tr w14:paraId="512DD4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vMerge w:val="continue"/>
            <w:tcBorders>
              <w:left w:val="single" w:color="auto" w:sz="8" w:space="0"/>
              <w:right w:val="single" w:color="auto" w:sz="4" w:space="0"/>
            </w:tcBorders>
            <w:vAlign w:val="center"/>
          </w:tcPr>
          <w:p w14:paraId="3F33D6D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708" w:type="dxa"/>
            <w:vMerge w:val="continue"/>
            <w:tcBorders>
              <w:left w:val="single" w:color="auto" w:sz="4" w:space="0"/>
              <w:right w:val="single" w:color="auto" w:sz="4" w:space="0"/>
            </w:tcBorders>
            <w:vAlign w:val="center"/>
          </w:tcPr>
          <w:p w14:paraId="075198D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1B2BFF9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动物房</w:t>
            </w:r>
          </w:p>
        </w:tc>
        <w:tc>
          <w:tcPr>
            <w:tcW w:w="1986" w:type="dxa"/>
            <w:gridSpan w:val="2"/>
            <w:tcBorders>
              <w:top w:val="single" w:color="auto" w:sz="4" w:space="0"/>
              <w:left w:val="single" w:color="auto" w:sz="4" w:space="0"/>
              <w:bottom w:val="single" w:color="auto" w:sz="4" w:space="0"/>
              <w:right w:val="single" w:color="auto" w:sz="4" w:space="0"/>
            </w:tcBorders>
            <w:vAlign w:val="center"/>
          </w:tcPr>
          <w:p w14:paraId="1D4EA9D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恶臭（氨、硫化氢）</w:t>
            </w:r>
          </w:p>
        </w:tc>
        <w:tc>
          <w:tcPr>
            <w:tcW w:w="1749" w:type="dxa"/>
            <w:tcBorders>
              <w:left w:val="single" w:color="auto" w:sz="4" w:space="0"/>
              <w:bottom w:val="single" w:color="auto" w:sz="4" w:space="0"/>
              <w:right w:val="single" w:color="auto" w:sz="4" w:space="0"/>
            </w:tcBorders>
            <w:vAlign w:val="center"/>
          </w:tcPr>
          <w:p w14:paraId="7AE6DAF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加强动物房密闭，定期喷洒除臭剂</w:t>
            </w:r>
          </w:p>
        </w:tc>
        <w:tc>
          <w:tcPr>
            <w:tcW w:w="2443" w:type="dxa"/>
            <w:tcBorders>
              <w:top w:val="single" w:color="auto" w:sz="4" w:space="0"/>
              <w:left w:val="single" w:color="auto" w:sz="4" w:space="0"/>
              <w:bottom w:val="single" w:color="auto" w:sz="4" w:space="0"/>
              <w:right w:val="single" w:color="auto" w:sz="8" w:space="0"/>
            </w:tcBorders>
            <w:vAlign w:val="center"/>
          </w:tcPr>
          <w:p w14:paraId="0C2774C9">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《恶臭污染物排放标准》（GB14554-93）表</w:t>
            </w:r>
            <w:r>
              <w:rPr>
                <w:rFonts w:hint="default" w:ascii="Times New Roman" w:hAnsi="Times New Roman" w:eastAsia="宋体" w:cs="Times New Roman"/>
                <w:color w:val="auto"/>
                <w:sz w:val="18"/>
                <w:szCs w:val="18"/>
                <w:lang w:val="en-US" w:eastAsia="zh-CN"/>
              </w:rPr>
              <w:t>1</w:t>
            </w:r>
          </w:p>
        </w:tc>
      </w:tr>
      <w:tr w14:paraId="6344AC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vMerge w:val="restart"/>
            <w:tcBorders>
              <w:top w:val="single" w:color="auto" w:sz="4" w:space="0"/>
              <w:left w:val="single" w:color="auto" w:sz="8" w:space="0"/>
              <w:right w:val="single" w:color="auto" w:sz="4" w:space="0"/>
            </w:tcBorders>
            <w:vAlign w:val="center"/>
          </w:tcPr>
          <w:p w14:paraId="6EE619F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地表水环境</w:t>
            </w:r>
          </w:p>
        </w:tc>
        <w:tc>
          <w:tcPr>
            <w:tcW w:w="708" w:type="dxa"/>
            <w:vMerge w:val="restart"/>
            <w:tcBorders>
              <w:top w:val="single" w:color="auto" w:sz="4" w:space="0"/>
              <w:left w:val="single" w:color="auto" w:sz="4" w:space="0"/>
              <w:right w:val="single" w:color="auto" w:sz="4" w:space="0"/>
            </w:tcBorders>
            <w:vAlign w:val="center"/>
          </w:tcPr>
          <w:p w14:paraId="288E379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DW001</w:t>
            </w:r>
          </w:p>
        </w:tc>
        <w:tc>
          <w:tcPr>
            <w:tcW w:w="993" w:type="dxa"/>
            <w:tcBorders>
              <w:top w:val="single" w:color="auto" w:sz="4" w:space="0"/>
              <w:left w:val="single" w:color="auto" w:sz="4" w:space="0"/>
              <w:bottom w:val="single" w:color="auto" w:sz="4" w:space="0"/>
              <w:right w:val="single" w:color="auto" w:sz="4" w:space="0"/>
            </w:tcBorders>
            <w:vAlign w:val="center"/>
          </w:tcPr>
          <w:p w14:paraId="6FF0811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生活污水</w:t>
            </w:r>
          </w:p>
        </w:tc>
        <w:tc>
          <w:tcPr>
            <w:tcW w:w="1986" w:type="dxa"/>
            <w:gridSpan w:val="2"/>
            <w:tcBorders>
              <w:top w:val="single" w:color="auto" w:sz="4" w:space="0"/>
              <w:left w:val="single" w:color="auto" w:sz="4" w:space="0"/>
              <w:bottom w:val="single" w:color="auto" w:sz="4" w:space="0"/>
              <w:right w:val="single" w:color="auto" w:sz="4" w:space="0"/>
            </w:tcBorders>
            <w:vAlign w:val="center"/>
          </w:tcPr>
          <w:p w14:paraId="5FEAFE3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COD、SS、氨氮、总磷、总氮</w:t>
            </w:r>
          </w:p>
        </w:tc>
        <w:tc>
          <w:tcPr>
            <w:tcW w:w="1749" w:type="dxa"/>
            <w:tcBorders>
              <w:top w:val="single" w:color="auto" w:sz="4" w:space="0"/>
              <w:left w:val="single" w:color="auto" w:sz="4" w:space="0"/>
              <w:bottom w:val="single" w:color="auto" w:sz="4" w:space="0"/>
              <w:right w:val="single" w:color="auto" w:sz="4" w:space="0"/>
            </w:tcBorders>
            <w:vAlign w:val="center"/>
          </w:tcPr>
          <w:p w14:paraId="784CEB8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化粪池</w:t>
            </w:r>
          </w:p>
        </w:tc>
        <w:tc>
          <w:tcPr>
            <w:tcW w:w="2443" w:type="dxa"/>
            <w:vMerge w:val="restart"/>
            <w:tcBorders>
              <w:top w:val="single" w:color="auto" w:sz="4" w:space="0"/>
              <w:left w:val="single" w:color="auto" w:sz="4" w:space="0"/>
              <w:right w:val="single" w:color="auto" w:sz="8" w:space="0"/>
            </w:tcBorders>
            <w:vAlign w:val="center"/>
          </w:tcPr>
          <w:p w14:paraId="58ACCED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eastAsia" w:eastAsiaTheme="minorEastAsia"/>
                <w:color w:val="auto"/>
                <w:sz w:val="18"/>
                <w:szCs w:val="18"/>
              </w:rPr>
              <w:t>《医疗机构水污染物排放标准》（GB18466-2005）中表2标准及</w:t>
            </w:r>
            <w:r>
              <w:rPr>
                <w:rFonts w:hint="eastAsia" w:eastAsiaTheme="minorEastAsia"/>
                <w:color w:val="auto"/>
                <w:sz w:val="18"/>
                <w:szCs w:val="18"/>
                <w:lang w:eastAsia="zh-CN"/>
              </w:rPr>
              <w:t>涟水县污水处理厂</w:t>
            </w:r>
            <w:r>
              <w:rPr>
                <w:rFonts w:hint="eastAsia" w:eastAsiaTheme="minorEastAsia"/>
                <w:color w:val="auto"/>
                <w:sz w:val="18"/>
                <w:szCs w:val="18"/>
              </w:rPr>
              <w:t>接管标准</w:t>
            </w:r>
          </w:p>
        </w:tc>
      </w:tr>
      <w:tr w14:paraId="7572F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vMerge w:val="continue"/>
            <w:tcBorders>
              <w:left w:val="single" w:color="auto" w:sz="8" w:space="0"/>
              <w:bottom w:val="single" w:color="auto" w:sz="4" w:space="0"/>
              <w:right w:val="single" w:color="auto" w:sz="4" w:space="0"/>
            </w:tcBorders>
            <w:vAlign w:val="center"/>
          </w:tcPr>
          <w:p w14:paraId="6D5F043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708" w:type="dxa"/>
            <w:vMerge w:val="continue"/>
            <w:tcBorders>
              <w:left w:val="single" w:color="auto" w:sz="4" w:space="0"/>
              <w:bottom w:val="single" w:color="auto" w:sz="4" w:space="0"/>
              <w:right w:val="single" w:color="auto" w:sz="4" w:space="0"/>
            </w:tcBorders>
            <w:vAlign w:val="center"/>
          </w:tcPr>
          <w:p w14:paraId="6FD7B8E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64C0191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医疗</w:t>
            </w:r>
            <w:r>
              <w:rPr>
                <w:rFonts w:hint="default" w:ascii="Times New Roman" w:hAnsi="Times New Roman" w:cs="Times New Roman"/>
                <w:color w:val="auto"/>
                <w:sz w:val="18"/>
                <w:szCs w:val="18"/>
                <w:lang w:val="en-US" w:eastAsia="zh-CN"/>
              </w:rPr>
              <w:t>废水（</w:t>
            </w:r>
            <w:r>
              <w:rPr>
                <w:rFonts w:hint="default" w:ascii="Times New Roman" w:hAnsi="Times New Roman" w:eastAsia="宋体" w:cs="Times New Roman"/>
                <w:bCs/>
                <w:color w:val="auto"/>
                <w:sz w:val="18"/>
                <w:szCs w:val="18"/>
                <w:lang w:val="en-US" w:eastAsia="zh-CN"/>
              </w:rPr>
              <w:t>实验室检测仪器设备及器皿清洗用排水</w:t>
            </w:r>
            <w:r>
              <w:rPr>
                <w:rFonts w:hint="eastAsia" w:ascii="Times New Roman" w:hAnsi="Times New Roman" w:eastAsia="宋体" w:cs="Times New Roman"/>
                <w:bCs/>
                <w:color w:val="auto"/>
                <w:sz w:val="18"/>
                <w:szCs w:val="18"/>
                <w:lang w:val="en-US" w:eastAsia="zh-CN"/>
              </w:rPr>
              <w:t>、笼具清洗废水、</w:t>
            </w:r>
            <w:r>
              <w:rPr>
                <w:rFonts w:hint="default" w:ascii="Times New Roman" w:hAnsi="Times New Roman" w:cs="Times New Roman"/>
                <w:bCs/>
                <w:color w:val="auto"/>
                <w:sz w:val="18"/>
                <w:szCs w:val="18"/>
                <w:lang w:val="en-US" w:eastAsia="zh-CN"/>
              </w:rPr>
              <w:t>纯水制备浓水</w:t>
            </w:r>
            <w:r>
              <w:rPr>
                <w:rFonts w:hint="default" w:ascii="Times New Roman" w:hAnsi="Times New Roman" w:cs="Times New Roman"/>
                <w:color w:val="auto"/>
                <w:sz w:val="18"/>
                <w:szCs w:val="18"/>
                <w:lang w:val="en-US" w:eastAsia="zh-CN"/>
              </w:rPr>
              <w:t>）</w:t>
            </w:r>
          </w:p>
        </w:tc>
        <w:tc>
          <w:tcPr>
            <w:tcW w:w="1986" w:type="dxa"/>
            <w:gridSpan w:val="2"/>
            <w:tcBorders>
              <w:top w:val="single" w:color="auto" w:sz="4" w:space="0"/>
              <w:left w:val="single" w:color="auto" w:sz="4" w:space="0"/>
              <w:bottom w:val="single" w:color="auto" w:sz="4" w:space="0"/>
              <w:right w:val="single" w:color="auto" w:sz="4" w:space="0"/>
            </w:tcBorders>
            <w:vAlign w:val="center"/>
          </w:tcPr>
          <w:p w14:paraId="4AD904F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pH、</w:t>
            </w:r>
            <w:r>
              <w:rPr>
                <w:rFonts w:hint="default" w:ascii="Times New Roman" w:hAnsi="Times New Roman" w:eastAsia="宋体" w:cs="Times New Roman"/>
                <w:color w:val="auto"/>
                <w:sz w:val="18"/>
                <w:szCs w:val="18"/>
              </w:rPr>
              <w:t>COD、</w:t>
            </w:r>
            <w:r>
              <w:rPr>
                <w:rFonts w:hint="default" w:ascii="Times New Roman" w:hAnsi="Times New Roman" w:cs="Times New Roman"/>
                <w:bCs/>
                <w:color w:val="auto"/>
                <w:sz w:val="18"/>
                <w:szCs w:val="18"/>
                <w:lang w:val="en-US" w:eastAsia="zh-CN"/>
              </w:rPr>
              <w:t>BOD</w:t>
            </w:r>
            <w:r>
              <w:rPr>
                <w:rFonts w:hint="default" w:ascii="Times New Roman" w:hAnsi="Times New Roman" w:cs="Times New Roman"/>
                <w:bCs/>
                <w:color w:val="auto"/>
                <w:sz w:val="18"/>
                <w:szCs w:val="18"/>
                <w:vertAlign w:val="subscript"/>
                <w:lang w:val="en-US" w:eastAsia="zh-CN"/>
              </w:rPr>
              <w:t>5</w:t>
            </w:r>
            <w:r>
              <w:rPr>
                <w:rFonts w:hint="eastAsia" w:ascii="Times New Roman" w:hAnsi="Times New Roman" w:cs="Times New Roman"/>
                <w:bCs/>
                <w:color w:val="auto"/>
                <w:sz w:val="18"/>
                <w:szCs w:val="18"/>
                <w:vertAlign w:val="baseline"/>
                <w:lang w:val="en-US" w:eastAsia="zh-CN"/>
              </w:rPr>
              <w:t>、</w:t>
            </w:r>
            <w:r>
              <w:rPr>
                <w:rFonts w:hint="default" w:ascii="Times New Roman" w:hAnsi="Times New Roman" w:eastAsia="宋体" w:cs="Times New Roman"/>
                <w:color w:val="auto"/>
                <w:sz w:val="18"/>
                <w:szCs w:val="18"/>
              </w:rPr>
              <w:t>SS、氨氮、总磷、总氮</w:t>
            </w:r>
            <w:r>
              <w:rPr>
                <w:rFonts w:hint="default" w:ascii="Times New Roman" w:hAnsi="Times New Roman" w:eastAsia="宋体" w:cs="Times New Roman"/>
                <w:color w:val="auto"/>
                <w:sz w:val="18"/>
                <w:szCs w:val="18"/>
                <w:lang w:eastAsia="zh-CN"/>
              </w:rPr>
              <w:t>、</w:t>
            </w:r>
            <w:r>
              <w:rPr>
                <w:rFonts w:hint="eastAsia" w:cs="Times New Roman"/>
                <w:color w:val="auto"/>
                <w:sz w:val="18"/>
                <w:szCs w:val="18"/>
                <w:lang w:val="en-US" w:eastAsia="zh-CN"/>
              </w:rPr>
              <w:t>LAS、</w:t>
            </w:r>
            <w:r>
              <w:rPr>
                <w:rFonts w:hint="default" w:ascii="Times New Roman" w:hAnsi="Times New Roman" w:cs="Times New Roman"/>
                <w:bCs/>
                <w:color w:val="auto"/>
                <w:sz w:val="18"/>
                <w:szCs w:val="18"/>
                <w:lang w:val="en-US" w:eastAsia="zh-CN"/>
              </w:rPr>
              <w:t>粪大肠菌群</w:t>
            </w:r>
          </w:p>
        </w:tc>
        <w:tc>
          <w:tcPr>
            <w:tcW w:w="1749" w:type="dxa"/>
            <w:tcBorders>
              <w:top w:val="single" w:color="auto" w:sz="4" w:space="0"/>
              <w:left w:val="single" w:color="auto" w:sz="4" w:space="0"/>
              <w:bottom w:val="single" w:color="auto" w:sz="4" w:space="0"/>
              <w:right w:val="single" w:color="auto" w:sz="4" w:space="0"/>
            </w:tcBorders>
            <w:vAlign w:val="center"/>
          </w:tcPr>
          <w:p w14:paraId="7B416B9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依托现有</w:t>
            </w:r>
            <w:r>
              <w:rPr>
                <w:rFonts w:hint="default" w:ascii="Times New Roman" w:hAnsi="Times New Roman" w:cs="Times New Roman"/>
                <w:color w:val="auto"/>
                <w:sz w:val="18"/>
                <w:szCs w:val="18"/>
                <w:lang w:val="en-US" w:eastAsia="zh-CN"/>
              </w:rPr>
              <w:t>1座污水处理站</w:t>
            </w:r>
            <w:r>
              <w:rPr>
                <w:rFonts w:hint="eastAsia" w:cs="Times New Roman"/>
                <w:color w:val="auto"/>
                <w:sz w:val="18"/>
                <w:szCs w:val="18"/>
                <w:lang w:val="en-US" w:eastAsia="zh-CN"/>
              </w:rPr>
              <w:t>处理</w:t>
            </w:r>
            <w:r>
              <w:rPr>
                <w:rFonts w:hint="default" w:ascii="Times New Roman" w:hAnsi="Times New Roman" w:cs="Times New Roman"/>
                <w:color w:val="auto"/>
                <w:sz w:val="18"/>
                <w:szCs w:val="18"/>
                <w:lang w:val="en-US" w:eastAsia="zh-CN"/>
              </w:rPr>
              <w:t>，采用“</w:t>
            </w:r>
            <w:r>
              <w:rPr>
                <w:rFonts w:hint="eastAsia" w:cs="Times New Roman"/>
                <w:color w:val="auto"/>
                <w:sz w:val="18"/>
                <w:szCs w:val="18"/>
                <w:lang w:val="en-US" w:eastAsia="zh-CN"/>
              </w:rPr>
              <w:t>p</w:t>
            </w:r>
            <w:r>
              <w:rPr>
                <w:rFonts w:hint="default" w:ascii="Times New Roman" w:hAnsi="Times New Roman" w:cs="Times New Roman"/>
                <w:bCs/>
                <w:color w:val="auto"/>
                <w:sz w:val="18"/>
                <w:szCs w:val="18"/>
                <w:lang w:val="en-US" w:eastAsia="zh-CN"/>
              </w:rPr>
              <w:t>预处理（消毒）+污水处理站处理（调节+接触氧化+二沉池+消毒）</w:t>
            </w:r>
            <w:r>
              <w:rPr>
                <w:rFonts w:hint="default" w:ascii="Times New Roman" w:hAnsi="Times New Roman" w:cs="Times New Roman"/>
                <w:color w:val="auto"/>
                <w:sz w:val="18"/>
                <w:szCs w:val="18"/>
                <w:lang w:val="en-US" w:eastAsia="zh-CN"/>
              </w:rPr>
              <w:t>”的处理工艺”</w:t>
            </w:r>
          </w:p>
        </w:tc>
        <w:tc>
          <w:tcPr>
            <w:tcW w:w="2443" w:type="dxa"/>
            <w:vMerge w:val="continue"/>
            <w:tcBorders>
              <w:left w:val="single" w:color="auto" w:sz="4" w:space="0"/>
              <w:bottom w:val="single" w:color="auto" w:sz="4" w:space="0"/>
              <w:right w:val="single" w:color="auto" w:sz="8" w:space="0"/>
            </w:tcBorders>
            <w:vAlign w:val="center"/>
          </w:tcPr>
          <w:p w14:paraId="2379A15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18"/>
                <w:szCs w:val="18"/>
              </w:rPr>
            </w:pPr>
          </w:p>
        </w:tc>
      </w:tr>
      <w:tr w14:paraId="565AC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tcBorders>
              <w:top w:val="single" w:color="auto" w:sz="4" w:space="0"/>
              <w:left w:val="single" w:color="auto" w:sz="8" w:space="0"/>
              <w:bottom w:val="single" w:color="auto" w:sz="4" w:space="0"/>
              <w:right w:val="single" w:color="auto" w:sz="4" w:space="0"/>
            </w:tcBorders>
            <w:vAlign w:val="center"/>
          </w:tcPr>
          <w:p w14:paraId="513AFE3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声环境</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1C5B51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实验仪器设备</w:t>
            </w:r>
            <w:r>
              <w:rPr>
                <w:rFonts w:hint="default" w:ascii="Times New Roman" w:hAnsi="Times New Roman" w:eastAsia="宋体" w:cs="Times New Roman"/>
                <w:color w:val="auto"/>
                <w:sz w:val="18"/>
                <w:szCs w:val="18"/>
              </w:rPr>
              <w:t>、风机等</w:t>
            </w:r>
            <w:r>
              <w:rPr>
                <w:rFonts w:hint="eastAsia" w:cs="Times New Roman"/>
                <w:color w:val="auto"/>
                <w:sz w:val="18"/>
                <w:szCs w:val="18"/>
                <w:lang w:eastAsia="zh-CN"/>
              </w:rPr>
              <w:t>高噪声设备</w:t>
            </w:r>
          </w:p>
        </w:tc>
        <w:tc>
          <w:tcPr>
            <w:tcW w:w="1986" w:type="dxa"/>
            <w:gridSpan w:val="2"/>
            <w:tcBorders>
              <w:top w:val="single" w:color="auto" w:sz="4" w:space="0"/>
              <w:left w:val="single" w:color="auto" w:sz="4" w:space="0"/>
              <w:bottom w:val="single" w:color="auto" w:sz="4" w:space="0"/>
              <w:right w:val="single" w:color="auto" w:sz="4" w:space="0"/>
            </w:tcBorders>
            <w:vAlign w:val="center"/>
          </w:tcPr>
          <w:p w14:paraId="0105E31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w:t>
            </w:r>
          </w:p>
        </w:tc>
        <w:tc>
          <w:tcPr>
            <w:tcW w:w="1749" w:type="dxa"/>
            <w:tcBorders>
              <w:top w:val="single" w:color="auto" w:sz="4" w:space="0"/>
              <w:left w:val="single" w:color="auto" w:sz="4" w:space="0"/>
              <w:bottom w:val="single" w:color="auto" w:sz="4" w:space="0"/>
              <w:right w:val="single" w:color="auto" w:sz="4" w:space="0"/>
            </w:tcBorders>
            <w:vAlign w:val="center"/>
          </w:tcPr>
          <w:p w14:paraId="2700BEB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合理布局，隔声减振</w:t>
            </w:r>
          </w:p>
        </w:tc>
        <w:tc>
          <w:tcPr>
            <w:tcW w:w="2443" w:type="dxa"/>
            <w:tcBorders>
              <w:top w:val="single" w:color="auto" w:sz="4" w:space="0"/>
              <w:left w:val="single" w:color="auto" w:sz="4" w:space="0"/>
              <w:bottom w:val="single" w:color="auto" w:sz="4" w:space="0"/>
              <w:right w:val="single" w:color="auto" w:sz="8" w:space="0"/>
            </w:tcBorders>
            <w:vAlign w:val="center"/>
          </w:tcPr>
          <w:p w14:paraId="3C53C04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《工业企业厂界环境噪声排放标准》（GB12348-2008）中</w:t>
            </w:r>
            <w:r>
              <w:rPr>
                <w:rFonts w:hint="eastAsia" w:cs="Times New Roman"/>
                <w:color w:val="auto"/>
                <w:sz w:val="18"/>
                <w:szCs w:val="18"/>
                <w:lang w:val="en-US" w:eastAsia="zh-CN"/>
              </w:rPr>
              <w:t>2</w:t>
            </w:r>
            <w:r>
              <w:rPr>
                <w:rFonts w:hint="default" w:ascii="Times New Roman" w:hAnsi="Times New Roman" w:eastAsia="宋体" w:cs="Times New Roman"/>
                <w:color w:val="auto"/>
                <w:sz w:val="18"/>
                <w:szCs w:val="18"/>
              </w:rPr>
              <w:t>类</w:t>
            </w:r>
          </w:p>
        </w:tc>
      </w:tr>
      <w:tr w14:paraId="75B5C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tcBorders>
              <w:top w:val="single" w:color="auto" w:sz="4" w:space="0"/>
              <w:left w:val="single" w:color="auto" w:sz="8" w:space="0"/>
              <w:bottom w:val="single" w:color="auto" w:sz="4" w:space="0"/>
              <w:right w:val="single" w:color="auto" w:sz="4" w:space="0"/>
            </w:tcBorders>
            <w:vAlign w:val="center"/>
          </w:tcPr>
          <w:p w14:paraId="160962D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电磁辐射</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4AA1C6B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986" w:type="dxa"/>
            <w:gridSpan w:val="2"/>
            <w:tcBorders>
              <w:top w:val="single" w:color="auto" w:sz="4" w:space="0"/>
              <w:left w:val="single" w:color="auto" w:sz="4" w:space="0"/>
              <w:bottom w:val="single" w:color="auto" w:sz="4" w:space="0"/>
              <w:right w:val="single" w:color="auto" w:sz="4" w:space="0"/>
            </w:tcBorders>
            <w:vAlign w:val="center"/>
          </w:tcPr>
          <w:p w14:paraId="58361EC2">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749" w:type="dxa"/>
            <w:tcBorders>
              <w:top w:val="single" w:color="auto" w:sz="4" w:space="0"/>
              <w:left w:val="single" w:color="auto" w:sz="4" w:space="0"/>
              <w:bottom w:val="single" w:color="auto" w:sz="4" w:space="0"/>
              <w:right w:val="single" w:color="auto" w:sz="4" w:space="0"/>
            </w:tcBorders>
            <w:vAlign w:val="center"/>
          </w:tcPr>
          <w:p w14:paraId="3891CDE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443" w:type="dxa"/>
            <w:tcBorders>
              <w:top w:val="single" w:color="auto" w:sz="4" w:space="0"/>
              <w:left w:val="single" w:color="auto" w:sz="4" w:space="0"/>
              <w:bottom w:val="single" w:color="auto" w:sz="4" w:space="0"/>
              <w:right w:val="single" w:color="auto" w:sz="8" w:space="0"/>
            </w:tcBorders>
            <w:vAlign w:val="center"/>
          </w:tcPr>
          <w:p w14:paraId="7846D02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227F9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021" w:type="dxa"/>
            <w:vMerge w:val="restart"/>
            <w:tcBorders>
              <w:top w:val="single" w:color="auto" w:sz="4" w:space="0"/>
              <w:left w:val="single" w:color="auto" w:sz="8" w:space="0"/>
              <w:bottom w:val="single" w:color="auto" w:sz="4" w:space="0"/>
              <w:right w:val="single" w:color="auto" w:sz="4" w:space="0"/>
            </w:tcBorders>
            <w:vAlign w:val="center"/>
          </w:tcPr>
          <w:p w14:paraId="65A2659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固体废物</w:t>
            </w:r>
          </w:p>
        </w:tc>
        <w:tc>
          <w:tcPr>
            <w:tcW w:w="1701" w:type="dxa"/>
            <w:gridSpan w:val="2"/>
            <w:tcBorders>
              <w:top w:val="single" w:color="auto" w:sz="4" w:space="0"/>
              <w:left w:val="single" w:color="auto" w:sz="4" w:space="0"/>
              <w:right w:val="single" w:color="auto" w:sz="4" w:space="0"/>
            </w:tcBorders>
            <w:vAlign w:val="center"/>
          </w:tcPr>
          <w:p w14:paraId="04D4739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1986" w:type="dxa"/>
            <w:gridSpan w:val="2"/>
            <w:tcBorders>
              <w:top w:val="single" w:color="auto" w:sz="4" w:space="0"/>
              <w:left w:val="single" w:color="auto" w:sz="4" w:space="0"/>
              <w:right w:val="single" w:color="auto" w:sz="4" w:space="0"/>
            </w:tcBorders>
            <w:vAlign w:val="center"/>
          </w:tcPr>
          <w:p w14:paraId="3F38CA70">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各类医疗废物</w:t>
            </w:r>
            <w:r>
              <w:rPr>
                <w:rFonts w:hint="default" w:ascii="Times New Roman" w:hAnsi="Times New Roman" w:eastAsia="宋体" w:cs="Times New Roman"/>
                <w:color w:val="auto"/>
                <w:sz w:val="18"/>
                <w:szCs w:val="18"/>
                <w:lang w:val="en-US" w:eastAsia="zh-CN"/>
              </w:rPr>
              <w:t>、污水处理</w:t>
            </w:r>
            <w:r>
              <w:rPr>
                <w:rFonts w:hint="eastAsia" w:cs="Times New Roman"/>
                <w:color w:val="auto"/>
                <w:sz w:val="18"/>
                <w:szCs w:val="18"/>
                <w:lang w:val="en-US" w:eastAsia="zh-CN"/>
              </w:rPr>
              <w:t>站</w:t>
            </w:r>
            <w:r>
              <w:rPr>
                <w:rFonts w:hint="default" w:ascii="Times New Roman" w:hAnsi="Times New Roman" w:eastAsia="宋体" w:cs="Times New Roman"/>
                <w:color w:val="auto"/>
                <w:sz w:val="18"/>
                <w:szCs w:val="18"/>
                <w:lang w:val="en-US" w:eastAsia="zh-CN"/>
              </w:rPr>
              <w:t>污泥、废活性炭</w:t>
            </w:r>
          </w:p>
        </w:tc>
        <w:tc>
          <w:tcPr>
            <w:tcW w:w="1749" w:type="dxa"/>
            <w:tcBorders>
              <w:top w:val="single" w:color="auto" w:sz="4" w:space="0"/>
              <w:left w:val="single" w:color="auto" w:sz="4" w:space="0"/>
              <w:right w:val="single" w:color="auto" w:sz="4" w:space="0"/>
            </w:tcBorders>
            <w:vAlign w:val="center"/>
          </w:tcPr>
          <w:p w14:paraId="700F439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依托</w:t>
            </w:r>
            <w:r>
              <w:rPr>
                <w:rFonts w:hint="default" w:ascii="Times New Roman" w:hAnsi="Times New Roman" w:eastAsia="宋体" w:cs="Times New Roman"/>
                <w:color w:val="auto"/>
                <w:sz w:val="18"/>
                <w:szCs w:val="18"/>
              </w:rPr>
              <w:t>1座</w:t>
            </w:r>
            <w:r>
              <w:rPr>
                <w:rFonts w:hint="eastAsia" w:cs="Times New Roman"/>
                <w:color w:val="auto"/>
                <w:sz w:val="18"/>
                <w:szCs w:val="18"/>
                <w:lang w:val="en-US" w:eastAsia="zh-CN"/>
              </w:rPr>
              <w:t>35</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eastAsia" w:cs="Times New Roman"/>
                <w:color w:val="auto"/>
                <w:sz w:val="18"/>
                <w:szCs w:val="18"/>
                <w:lang w:eastAsia="zh-CN"/>
              </w:rPr>
              <w:t>医疗危废暂存间；</w:t>
            </w:r>
            <w:r>
              <w:rPr>
                <w:rFonts w:hint="eastAsia" w:cs="Times New Roman"/>
                <w:color w:val="auto"/>
                <w:sz w:val="18"/>
                <w:szCs w:val="18"/>
                <w:lang w:val="en-US" w:eastAsia="zh-CN"/>
              </w:rPr>
              <w:t>感染性废物及污水处理站污泥消毒处理后与损伤性废物、病理性废物、药物性废物、化学性废物等医疗废物以及废活性炭安全暂存后</w:t>
            </w:r>
            <w:r>
              <w:rPr>
                <w:rFonts w:hint="eastAsia" w:cs="Times New Roman"/>
                <w:color w:val="auto"/>
                <w:sz w:val="18"/>
                <w:szCs w:val="18"/>
                <w:lang w:eastAsia="zh-CN"/>
              </w:rPr>
              <w:t>委托相关资质单位处置</w:t>
            </w:r>
          </w:p>
        </w:tc>
        <w:tc>
          <w:tcPr>
            <w:tcW w:w="2443" w:type="dxa"/>
            <w:tcBorders>
              <w:top w:val="single" w:color="auto" w:sz="4" w:space="0"/>
              <w:left w:val="single" w:color="auto" w:sz="4" w:space="0"/>
              <w:right w:val="single" w:color="auto" w:sz="8" w:space="0"/>
            </w:tcBorders>
            <w:vAlign w:val="center"/>
          </w:tcPr>
          <w:p w14:paraId="45201D1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rPr>
              <w:t>《危险废物贮存污染控制标准》（GB18597-2023）</w:t>
            </w:r>
            <w:r>
              <w:rPr>
                <w:rFonts w:hint="eastAsia" w:cs="Times New Roman"/>
                <w:color w:val="auto"/>
                <w:kern w:val="0"/>
                <w:sz w:val="18"/>
                <w:szCs w:val="18"/>
                <w:lang w:eastAsia="zh-CN"/>
              </w:rPr>
              <w:t>、《医疗废物管理条例》《医疗卫生机构医疗废物管理方法》</w:t>
            </w:r>
          </w:p>
        </w:tc>
      </w:tr>
      <w:tr w14:paraId="4B2F7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vMerge w:val="continue"/>
            <w:tcBorders>
              <w:top w:val="single" w:color="auto" w:sz="4" w:space="0"/>
              <w:left w:val="single" w:color="auto" w:sz="8" w:space="0"/>
              <w:bottom w:val="single" w:color="auto" w:sz="4" w:space="0"/>
              <w:right w:val="single" w:color="auto" w:sz="4" w:space="0"/>
            </w:tcBorders>
            <w:vAlign w:val="center"/>
          </w:tcPr>
          <w:p w14:paraId="36161424">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1701" w:type="dxa"/>
            <w:gridSpan w:val="2"/>
            <w:tcBorders>
              <w:top w:val="single" w:color="auto" w:sz="4" w:space="0"/>
              <w:left w:val="single" w:color="auto" w:sz="4" w:space="0"/>
              <w:right w:val="single" w:color="auto" w:sz="4" w:space="0"/>
            </w:tcBorders>
            <w:vAlign w:val="center"/>
          </w:tcPr>
          <w:p w14:paraId="1344BB9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一般工业固废</w:t>
            </w:r>
          </w:p>
        </w:tc>
        <w:tc>
          <w:tcPr>
            <w:tcW w:w="1986" w:type="dxa"/>
            <w:gridSpan w:val="2"/>
            <w:tcBorders>
              <w:top w:val="single" w:color="auto" w:sz="4" w:space="0"/>
              <w:left w:val="single" w:color="auto" w:sz="4" w:space="0"/>
              <w:right w:val="single" w:color="auto" w:sz="4" w:space="0"/>
            </w:tcBorders>
            <w:vAlign w:val="center"/>
          </w:tcPr>
          <w:p w14:paraId="0E136BE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rPr>
            </w:pPr>
            <w:r>
              <w:rPr>
                <w:rFonts w:hint="default" w:ascii="Times New Roman" w:hAnsi="Times New Roman" w:cs="Times New Roman" w:eastAsiaTheme="minorEastAsia"/>
                <w:color w:val="auto"/>
                <w:sz w:val="18"/>
                <w:szCs w:val="18"/>
                <w:lang w:val="en-US" w:eastAsia="zh-CN"/>
              </w:rPr>
              <w:t>废反渗透膜</w:t>
            </w:r>
          </w:p>
        </w:tc>
        <w:tc>
          <w:tcPr>
            <w:tcW w:w="1749" w:type="dxa"/>
            <w:tcBorders>
              <w:top w:val="single" w:color="auto" w:sz="4" w:space="0"/>
              <w:left w:val="single" w:color="auto" w:sz="4" w:space="0"/>
              <w:right w:val="single" w:color="auto" w:sz="4" w:space="0"/>
            </w:tcBorders>
            <w:vAlign w:val="center"/>
          </w:tcPr>
          <w:p w14:paraId="79AF7A9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1座</w:t>
            </w:r>
            <w:r>
              <w:rPr>
                <w:rFonts w:hint="eastAsia" w:cs="Times New Roman"/>
                <w:color w:val="auto"/>
                <w:sz w:val="18"/>
                <w:szCs w:val="18"/>
                <w:lang w:val="en-US" w:eastAsia="zh-CN"/>
              </w:rPr>
              <w:t>2</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一般</w:t>
            </w:r>
            <w:r>
              <w:rPr>
                <w:rFonts w:hint="eastAsia" w:cs="Times New Roman"/>
                <w:color w:val="auto"/>
                <w:sz w:val="18"/>
                <w:szCs w:val="18"/>
                <w:lang w:val="en-US" w:eastAsia="zh-CN"/>
              </w:rPr>
              <w:t>工业</w:t>
            </w:r>
            <w:r>
              <w:rPr>
                <w:rFonts w:hint="default" w:ascii="Times New Roman" w:hAnsi="Times New Roman" w:eastAsia="宋体" w:cs="Times New Roman"/>
                <w:color w:val="auto"/>
                <w:sz w:val="18"/>
                <w:szCs w:val="18"/>
              </w:rPr>
              <w:t>固废</w:t>
            </w:r>
            <w:r>
              <w:rPr>
                <w:rFonts w:hint="eastAsia" w:cs="Times New Roman"/>
                <w:color w:val="auto"/>
                <w:sz w:val="18"/>
                <w:szCs w:val="18"/>
                <w:lang w:eastAsia="zh-CN"/>
              </w:rPr>
              <w:t>暂存区</w:t>
            </w:r>
          </w:p>
        </w:tc>
        <w:tc>
          <w:tcPr>
            <w:tcW w:w="2443" w:type="dxa"/>
            <w:tcBorders>
              <w:top w:val="single" w:color="auto" w:sz="4" w:space="0"/>
              <w:left w:val="single" w:color="auto" w:sz="4" w:space="0"/>
              <w:right w:val="single" w:color="auto" w:sz="8" w:space="0"/>
            </w:tcBorders>
            <w:vAlign w:val="center"/>
          </w:tcPr>
          <w:p w14:paraId="6A131A6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《一般工业固体废物贮存和填埋污染控制标准》（GB18599-2020）</w:t>
            </w:r>
          </w:p>
        </w:tc>
      </w:tr>
      <w:tr w14:paraId="2292F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vMerge w:val="continue"/>
            <w:tcBorders>
              <w:top w:val="single" w:color="auto" w:sz="4" w:space="0"/>
              <w:left w:val="single" w:color="auto" w:sz="8" w:space="0"/>
              <w:bottom w:val="single" w:color="auto" w:sz="4" w:space="0"/>
              <w:right w:val="single" w:color="auto" w:sz="4" w:space="0"/>
            </w:tcBorders>
            <w:vAlign w:val="center"/>
          </w:tcPr>
          <w:p w14:paraId="4279670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1701" w:type="dxa"/>
            <w:gridSpan w:val="2"/>
            <w:vMerge w:val="restart"/>
            <w:tcBorders>
              <w:top w:val="single" w:color="auto" w:sz="4" w:space="0"/>
              <w:left w:val="single" w:color="auto" w:sz="4" w:space="0"/>
              <w:bottom w:val="single" w:color="auto" w:sz="4" w:space="0"/>
              <w:right w:val="single" w:color="auto" w:sz="4" w:space="0"/>
            </w:tcBorders>
            <w:vAlign w:val="center"/>
          </w:tcPr>
          <w:p w14:paraId="22344BF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1986" w:type="dxa"/>
            <w:gridSpan w:val="2"/>
            <w:tcBorders>
              <w:top w:val="single" w:color="auto" w:sz="4" w:space="0"/>
              <w:left w:val="single" w:color="auto" w:sz="4" w:space="0"/>
              <w:bottom w:val="single" w:color="auto" w:sz="4" w:space="0"/>
              <w:right w:val="single" w:color="auto" w:sz="4" w:space="0"/>
            </w:tcBorders>
            <w:vAlign w:val="center"/>
          </w:tcPr>
          <w:p w14:paraId="2F499CD4">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生活垃圾</w:t>
            </w:r>
          </w:p>
        </w:tc>
        <w:tc>
          <w:tcPr>
            <w:tcW w:w="1749" w:type="dxa"/>
            <w:tcBorders>
              <w:top w:val="single" w:color="auto" w:sz="4" w:space="0"/>
              <w:left w:val="single" w:color="auto" w:sz="4" w:space="0"/>
              <w:bottom w:val="single" w:color="auto" w:sz="4" w:space="0"/>
              <w:right w:val="single" w:color="auto" w:sz="4" w:space="0"/>
            </w:tcBorders>
            <w:vAlign w:val="center"/>
          </w:tcPr>
          <w:p w14:paraId="785EC01F">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eastAsia="zh-CN"/>
              </w:rPr>
              <w:t>环卫清运</w:t>
            </w:r>
          </w:p>
        </w:tc>
        <w:tc>
          <w:tcPr>
            <w:tcW w:w="2443" w:type="dxa"/>
            <w:vMerge w:val="restart"/>
            <w:tcBorders>
              <w:top w:val="single" w:color="auto" w:sz="4" w:space="0"/>
              <w:left w:val="single" w:color="auto" w:sz="4" w:space="0"/>
              <w:bottom w:val="single" w:color="auto" w:sz="4" w:space="0"/>
              <w:right w:val="single" w:color="auto" w:sz="8" w:space="0"/>
            </w:tcBorders>
            <w:vAlign w:val="center"/>
          </w:tcPr>
          <w:p w14:paraId="62AC96B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《城市生活垃圾管理办法》（住房和城乡建设部令第24号，2015年5月4日修正）</w:t>
            </w:r>
          </w:p>
        </w:tc>
      </w:tr>
      <w:tr w14:paraId="28712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vMerge w:val="continue"/>
            <w:tcBorders>
              <w:top w:val="single" w:color="auto" w:sz="4" w:space="0"/>
              <w:left w:val="single" w:color="auto" w:sz="8" w:space="0"/>
              <w:bottom w:val="single" w:color="auto" w:sz="4" w:space="0"/>
              <w:right w:val="single" w:color="auto" w:sz="4" w:space="0"/>
            </w:tcBorders>
            <w:vAlign w:val="center"/>
          </w:tcPr>
          <w:p w14:paraId="6884603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p>
        </w:tc>
        <w:tc>
          <w:tcPr>
            <w:tcW w:w="1701" w:type="dxa"/>
            <w:gridSpan w:val="2"/>
            <w:vMerge w:val="continue"/>
            <w:tcBorders>
              <w:top w:val="single" w:color="auto" w:sz="4" w:space="0"/>
              <w:left w:val="single" w:color="auto" w:sz="4" w:space="0"/>
              <w:bottom w:val="single" w:color="auto" w:sz="4" w:space="0"/>
              <w:right w:val="single" w:color="auto" w:sz="4" w:space="0"/>
            </w:tcBorders>
            <w:vAlign w:val="center"/>
          </w:tcPr>
          <w:p w14:paraId="5CA5E99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1986" w:type="dxa"/>
            <w:gridSpan w:val="2"/>
            <w:tcBorders>
              <w:top w:val="single" w:color="auto" w:sz="4" w:space="0"/>
              <w:left w:val="single" w:color="auto" w:sz="4" w:space="0"/>
              <w:bottom w:val="single" w:color="auto" w:sz="4" w:space="0"/>
              <w:right w:val="single" w:color="auto" w:sz="4" w:space="0"/>
            </w:tcBorders>
            <w:vAlign w:val="center"/>
          </w:tcPr>
          <w:p w14:paraId="2D42AE4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化粪池污泥</w:t>
            </w:r>
          </w:p>
        </w:tc>
        <w:tc>
          <w:tcPr>
            <w:tcW w:w="1749" w:type="dxa"/>
            <w:tcBorders>
              <w:top w:val="single" w:color="auto" w:sz="4" w:space="0"/>
              <w:left w:val="single" w:color="auto" w:sz="4" w:space="0"/>
              <w:bottom w:val="single" w:color="auto" w:sz="4" w:space="0"/>
              <w:right w:val="single" w:color="auto" w:sz="4" w:space="0"/>
            </w:tcBorders>
            <w:vAlign w:val="center"/>
          </w:tcPr>
          <w:p w14:paraId="73C30B6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eastAsia="zh-CN"/>
              </w:rPr>
              <w:t>消毒后环卫清运</w:t>
            </w:r>
          </w:p>
        </w:tc>
        <w:tc>
          <w:tcPr>
            <w:tcW w:w="2443" w:type="dxa"/>
            <w:vMerge w:val="continue"/>
            <w:tcBorders>
              <w:top w:val="single" w:color="auto" w:sz="4" w:space="0"/>
              <w:left w:val="single" w:color="auto" w:sz="4" w:space="0"/>
              <w:bottom w:val="single" w:color="auto" w:sz="4" w:space="0"/>
              <w:right w:val="single" w:color="auto" w:sz="8" w:space="0"/>
            </w:tcBorders>
            <w:vAlign w:val="center"/>
          </w:tcPr>
          <w:p w14:paraId="646913D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6C66E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tcBorders>
              <w:top w:val="single" w:color="auto" w:sz="4" w:space="0"/>
              <w:left w:val="single" w:color="auto" w:sz="8" w:space="0"/>
              <w:bottom w:val="single" w:color="auto" w:sz="4" w:space="0"/>
              <w:right w:val="single" w:color="auto" w:sz="4" w:space="0"/>
            </w:tcBorders>
            <w:vAlign w:val="center"/>
          </w:tcPr>
          <w:p w14:paraId="065EF49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土壤及地下水污染防治措施</w:t>
            </w:r>
          </w:p>
        </w:tc>
        <w:tc>
          <w:tcPr>
            <w:tcW w:w="7879" w:type="dxa"/>
            <w:gridSpan w:val="6"/>
            <w:tcBorders>
              <w:top w:val="single" w:color="auto" w:sz="4" w:space="0"/>
              <w:left w:val="single" w:color="auto" w:sz="4" w:space="0"/>
              <w:bottom w:val="single" w:color="auto" w:sz="4" w:space="0"/>
              <w:right w:val="single" w:color="auto" w:sz="8" w:space="0"/>
            </w:tcBorders>
            <w:vAlign w:val="center"/>
          </w:tcPr>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8"/>
              <w:gridCol w:w="530"/>
              <w:gridCol w:w="1613"/>
              <w:gridCol w:w="1133"/>
              <w:gridCol w:w="943"/>
              <w:gridCol w:w="2783"/>
            </w:tblGrid>
            <w:tr w14:paraId="26B1E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trPr>
              <w:tc>
                <w:tcPr>
                  <w:tcW w:w="523" w:type="pct"/>
                  <w:vAlign w:val="center"/>
                </w:tcPr>
                <w:p w14:paraId="44BB8747">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18"/>
                      <w:szCs w:val="18"/>
                    </w:rPr>
                  </w:pPr>
                  <w:r>
                    <w:rPr>
                      <w:rFonts w:hint="eastAsia" w:eastAsiaTheme="minorEastAsia"/>
                      <w:b/>
                      <w:bCs/>
                      <w:color w:val="auto"/>
                      <w:sz w:val="18"/>
                      <w:szCs w:val="18"/>
                    </w:rPr>
                    <w:t>防渗分区</w:t>
                  </w:r>
                </w:p>
              </w:tc>
              <w:tc>
                <w:tcPr>
                  <w:tcW w:w="1370" w:type="pct"/>
                  <w:gridSpan w:val="2"/>
                  <w:vAlign w:val="center"/>
                </w:tcPr>
                <w:p w14:paraId="6E0A918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污染源</w:t>
                  </w:r>
                </w:p>
              </w:tc>
              <w:tc>
                <w:tcPr>
                  <w:tcW w:w="724" w:type="pct"/>
                  <w:vAlign w:val="center"/>
                </w:tcPr>
                <w:p w14:paraId="2ECD126A">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污染物类型</w:t>
                  </w:r>
                </w:p>
              </w:tc>
              <w:tc>
                <w:tcPr>
                  <w:tcW w:w="603" w:type="pct"/>
                  <w:vAlign w:val="center"/>
                </w:tcPr>
                <w:p w14:paraId="24F74C8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污染途径</w:t>
                  </w:r>
                </w:p>
              </w:tc>
              <w:tc>
                <w:tcPr>
                  <w:tcW w:w="1778" w:type="pct"/>
                  <w:vAlign w:val="center"/>
                </w:tcPr>
                <w:p w14:paraId="43D5FD9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防控措施</w:t>
                  </w:r>
                </w:p>
              </w:tc>
            </w:tr>
            <w:tr w14:paraId="6A42C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9" w:hRule="atLeast"/>
              </w:trPr>
              <w:tc>
                <w:tcPr>
                  <w:tcW w:w="523" w:type="pct"/>
                  <w:vMerge w:val="restart"/>
                  <w:vAlign w:val="center"/>
                </w:tcPr>
                <w:p w14:paraId="79EDDDF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重点防渗区</w:t>
                  </w:r>
                </w:p>
              </w:tc>
              <w:tc>
                <w:tcPr>
                  <w:tcW w:w="339" w:type="pct"/>
                  <w:vMerge w:val="restart"/>
                  <w:vAlign w:val="center"/>
                </w:tcPr>
                <w:p w14:paraId="29B95AA2">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实验室</w:t>
                  </w:r>
                </w:p>
              </w:tc>
              <w:tc>
                <w:tcPr>
                  <w:tcW w:w="1030" w:type="pct"/>
                  <w:vAlign w:val="center"/>
                </w:tcPr>
                <w:p w14:paraId="35029BF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PCR室、灭菌消毒室、分子操作间、细胞储藏及培养室等</w:t>
                  </w:r>
                </w:p>
              </w:tc>
              <w:tc>
                <w:tcPr>
                  <w:tcW w:w="724" w:type="pct"/>
                  <w:vAlign w:val="center"/>
                </w:tcPr>
                <w:p w14:paraId="607A842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有机污染物</w:t>
                  </w:r>
                </w:p>
              </w:tc>
              <w:tc>
                <w:tcPr>
                  <w:tcW w:w="603" w:type="pct"/>
                  <w:vAlign w:val="center"/>
                </w:tcPr>
                <w:p w14:paraId="7F59931E">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165C46D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等效黏土防渗层Mb≥6.0m，K≤1×10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cm/s；或参照GB18598执行</w:t>
                  </w:r>
                </w:p>
              </w:tc>
            </w:tr>
            <w:tr w14:paraId="50FDB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9" w:hRule="atLeast"/>
              </w:trPr>
              <w:tc>
                <w:tcPr>
                  <w:tcW w:w="523" w:type="pct"/>
                  <w:vMerge w:val="continue"/>
                  <w:vAlign w:val="center"/>
                </w:tcPr>
                <w:p w14:paraId="75E7374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p>
              </w:tc>
              <w:tc>
                <w:tcPr>
                  <w:tcW w:w="339" w:type="pct"/>
                  <w:vMerge w:val="continue"/>
                  <w:vAlign w:val="center"/>
                </w:tcPr>
                <w:p w14:paraId="6E4F6D6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p>
              </w:tc>
              <w:tc>
                <w:tcPr>
                  <w:tcW w:w="1030" w:type="pct"/>
                  <w:vAlign w:val="center"/>
                </w:tcPr>
                <w:p w14:paraId="0787B9F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化学品仓储区</w:t>
                  </w:r>
                </w:p>
              </w:tc>
              <w:tc>
                <w:tcPr>
                  <w:tcW w:w="724" w:type="pct"/>
                  <w:vAlign w:val="center"/>
                </w:tcPr>
                <w:p w14:paraId="6A35AAC3">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eastAsia" w:ascii="Times New Roman" w:hAnsi="Times New Roman" w:eastAsia="宋体" w:cs="Times New Roman"/>
                      <w:color w:val="auto"/>
                      <w:sz w:val="18"/>
                      <w:szCs w:val="18"/>
                      <w:lang w:val="en-US" w:eastAsia="zh-CN"/>
                    </w:rPr>
                    <w:t>有机污染物</w:t>
                  </w:r>
                </w:p>
              </w:tc>
              <w:tc>
                <w:tcPr>
                  <w:tcW w:w="603" w:type="pct"/>
                  <w:vAlign w:val="center"/>
                </w:tcPr>
                <w:p w14:paraId="445C9F3F">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7DD73179">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等效黏土防渗层Mb≥6.0m，K≤1×10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cm/s；或参照GB18598执行</w:t>
                  </w:r>
                </w:p>
              </w:tc>
            </w:tr>
            <w:tr w14:paraId="744D3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5" w:hRule="atLeast"/>
              </w:trPr>
              <w:tc>
                <w:tcPr>
                  <w:tcW w:w="523" w:type="pct"/>
                  <w:vMerge w:val="continue"/>
                  <w:vAlign w:val="center"/>
                </w:tcPr>
                <w:p w14:paraId="0B329AA0">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p>
              </w:tc>
              <w:tc>
                <w:tcPr>
                  <w:tcW w:w="1370" w:type="pct"/>
                  <w:gridSpan w:val="2"/>
                  <w:vAlign w:val="center"/>
                </w:tcPr>
                <w:p w14:paraId="2AA2B054">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医疗危废暂存间</w:t>
                  </w:r>
                </w:p>
              </w:tc>
              <w:tc>
                <w:tcPr>
                  <w:tcW w:w="724" w:type="pct"/>
                  <w:vAlign w:val="center"/>
                </w:tcPr>
                <w:p w14:paraId="55925B71">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其他类型</w:t>
                  </w:r>
                </w:p>
              </w:tc>
              <w:tc>
                <w:tcPr>
                  <w:tcW w:w="603" w:type="pct"/>
                  <w:vAlign w:val="center"/>
                </w:tcPr>
                <w:p w14:paraId="687D180B">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2F917728">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等效黏土防渗层Mb≥6.0m，K≤1×10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cm/s；或参照GB18598执行</w:t>
                  </w:r>
                </w:p>
              </w:tc>
            </w:tr>
            <w:tr w14:paraId="1A05A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8" w:hRule="atLeast"/>
              </w:trPr>
              <w:tc>
                <w:tcPr>
                  <w:tcW w:w="523" w:type="pct"/>
                  <w:vMerge w:val="continue"/>
                  <w:vAlign w:val="center"/>
                </w:tcPr>
                <w:p w14:paraId="071D6CC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p>
              </w:tc>
              <w:tc>
                <w:tcPr>
                  <w:tcW w:w="1370" w:type="pct"/>
                  <w:gridSpan w:val="2"/>
                  <w:vAlign w:val="center"/>
                </w:tcPr>
                <w:p w14:paraId="3ED070C2">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r>
                    <w:rPr>
                      <w:rFonts w:hint="eastAsia" w:cs="Times New Roman"/>
                      <w:color w:val="auto"/>
                      <w:sz w:val="18"/>
                      <w:szCs w:val="18"/>
                      <w:lang w:val="en-US" w:eastAsia="zh-CN"/>
                    </w:rPr>
                    <w:t>污水处理站及污水收集管线</w:t>
                  </w:r>
                </w:p>
              </w:tc>
              <w:tc>
                <w:tcPr>
                  <w:tcW w:w="724" w:type="pct"/>
                  <w:vAlign w:val="center"/>
                </w:tcPr>
                <w:p w14:paraId="1D75BC3A">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eastAsia="zh-CN"/>
                    </w:rPr>
                    <w:t>其他类型</w:t>
                  </w:r>
                </w:p>
              </w:tc>
              <w:tc>
                <w:tcPr>
                  <w:tcW w:w="603" w:type="pct"/>
                  <w:vAlign w:val="center"/>
                </w:tcPr>
                <w:p w14:paraId="77D25A0A">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52B8D405">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color w:val="auto"/>
                      <w:sz w:val="18"/>
                      <w:szCs w:val="18"/>
                    </w:rPr>
                  </w:pPr>
                  <w:r>
                    <w:rPr>
                      <w:rFonts w:hint="default" w:ascii="Times New Roman" w:hAnsi="Times New Roman" w:cs="Times New Roman"/>
                      <w:color w:val="auto"/>
                      <w:sz w:val="18"/>
                      <w:szCs w:val="18"/>
                    </w:rPr>
                    <w:t>等效黏土防渗层Mb≥6.0m，K≤1×10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cm/s；或参照GB18598执行</w:t>
                  </w:r>
                </w:p>
              </w:tc>
            </w:tr>
            <w:tr w14:paraId="26FFC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8" w:hRule="atLeast"/>
              </w:trPr>
              <w:tc>
                <w:tcPr>
                  <w:tcW w:w="523" w:type="pct"/>
                  <w:vMerge w:val="restart"/>
                  <w:vAlign w:val="center"/>
                </w:tcPr>
                <w:p w14:paraId="19127BEF">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r>
                    <w:rPr>
                      <w:rFonts w:hint="eastAsia" w:cs="Times New Roman"/>
                      <w:color w:val="auto"/>
                      <w:sz w:val="18"/>
                      <w:szCs w:val="18"/>
                      <w:lang w:val="en-US" w:eastAsia="zh-CN"/>
                    </w:rPr>
                    <w:t>一般防渗区</w:t>
                  </w:r>
                </w:p>
              </w:tc>
              <w:tc>
                <w:tcPr>
                  <w:tcW w:w="1370" w:type="pct"/>
                  <w:gridSpan w:val="2"/>
                  <w:vAlign w:val="center"/>
                </w:tcPr>
                <w:p w14:paraId="10B8E4DD">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r>
                    <w:rPr>
                      <w:rFonts w:hint="eastAsia" w:cs="Times New Roman"/>
                      <w:color w:val="auto"/>
                      <w:sz w:val="18"/>
                      <w:szCs w:val="18"/>
                      <w:lang w:val="en-US" w:eastAsia="zh-CN"/>
                    </w:rPr>
                    <w:t>一般固废仓储区</w:t>
                  </w:r>
                </w:p>
              </w:tc>
              <w:tc>
                <w:tcPr>
                  <w:tcW w:w="724" w:type="pct"/>
                  <w:vAlign w:val="center"/>
                </w:tcPr>
                <w:p w14:paraId="1899A567">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eastAsia="zh-CN"/>
                    </w:rPr>
                    <w:t>其他类型</w:t>
                  </w:r>
                </w:p>
              </w:tc>
              <w:tc>
                <w:tcPr>
                  <w:tcW w:w="603" w:type="pct"/>
                  <w:vAlign w:val="center"/>
                </w:tcPr>
                <w:p w14:paraId="49300619">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1314C0D7">
                  <w:pPr>
                    <w:keepNext w:val="0"/>
                    <w:keepLines w:val="0"/>
                    <w:suppressLineNumbers w:val="0"/>
                    <w:adjustRightInd w:val="0"/>
                    <w:snapToGrid w:val="0"/>
                    <w:spacing w:before="0" w:beforeAutospacing="0" w:after="0" w:afterAutospacing="0" w:line="240" w:lineRule="auto"/>
                    <w:ind w:left="0" w:leftChars="0" w:right="0" w:rightChars="0"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等效黏土防渗层Mb≥1.5m，K≤1×10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cm/s；或参照GB16889执行</w:t>
                  </w:r>
                </w:p>
              </w:tc>
            </w:tr>
            <w:tr w14:paraId="56956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8" w:hRule="atLeast"/>
              </w:trPr>
              <w:tc>
                <w:tcPr>
                  <w:tcW w:w="523" w:type="pct"/>
                  <w:vMerge w:val="continue"/>
                  <w:vAlign w:val="center"/>
                </w:tcPr>
                <w:p w14:paraId="10444A14">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p>
              </w:tc>
              <w:tc>
                <w:tcPr>
                  <w:tcW w:w="1370" w:type="pct"/>
                  <w:gridSpan w:val="2"/>
                  <w:vAlign w:val="center"/>
                </w:tcPr>
                <w:p w14:paraId="258BFCA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s="Times New Roman"/>
                      <w:color w:val="auto"/>
                      <w:sz w:val="18"/>
                      <w:szCs w:val="18"/>
                      <w:lang w:val="en-US" w:eastAsia="zh-CN"/>
                    </w:rPr>
                  </w:pPr>
                  <w:r>
                    <w:rPr>
                      <w:rFonts w:hint="eastAsia" w:cs="Times New Roman"/>
                      <w:color w:val="auto"/>
                      <w:sz w:val="18"/>
                      <w:szCs w:val="18"/>
                      <w:lang w:val="en-US" w:eastAsia="zh-CN"/>
                    </w:rPr>
                    <w:t>化粪池</w:t>
                  </w:r>
                </w:p>
              </w:tc>
              <w:tc>
                <w:tcPr>
                  <w:tcW w:w="724" w:type="pct"/>
                  <w:vAlign w:val="center"/>
                </w:tcPr>
                <w:p w14:paraId="45ADAC59">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其他类型</w:t>
                  </w:r>
                </w:p>
              </w:tc>
              <w:tc>
                <w:tcPr>
                  <w:tcW w:w="603" w:type="pct"/>
                  <w:vAlign w:val="center"/>
                </w:tcPr>
                <w:p w14:paraId="7C0DFD92">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垂直入渗、地面漫流</w:t>
                  </w:r>
                </w:p>
              </w:tc>
              <w:tc>
                <w:tcPr>
                  <w:tcW w:w="1778" w:type="pct"/>
                  <w:vAlign w:val="center"/>
                </w:tcPr>
                <w:p w14:paraId="7AEA60F0">
                  <w:pPr>
                    <w:keepNext w:val="0"/>
                    <w:keepLines w:val="0"/>
                    <w:suppressLineNumbers w:val="0"/>
                    <w:adjustRightInd w:val="0"/>
                    <w:snapToGrid w:val="0"/>
                    <w:spacing w:before="0" w:beforeAutospacing="0" w:after="0" w:afterAutospacing="0" w:line="240" w:lineRule="auto"/>
                    <w:ind w:left="0" w:leftChars="0" w:right="0" w:rightChars="0"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等效黏土防渗层Mb≥1.5m，K≤1×10</w:t>
                  </w:r>
                  <w:r>
                    <w:rPr>
                      <w:rFonts w:hint="eastAsia" w:cs="Times New Roman"/>
                      <w:color w:val="auto"/>
                      <w:sz w:val="18"/>
                      <w:szCs w:val="18"/>
                      <w:lang w:eastAsia="zh-CN"/>
                    </w:rPr>
                    <w:t>—</w:t>
                  </w:r>
                  <w:r>
                    <w:rPr>
                      <w:rFonts w:hint="default" w:ascii="Times New Roman" w:hAnsi="Times New Roman" w:cs="Times New Roman"/>
                      <w:color w:val="auto"/>
                      <w:sz w:val="18"/>
                      <w:szCs w:val="18"/>
                      <w:vertAlign w:val="superscript"/>
                    </w:rPr>
                    <w:t>7</w:t>
                  </w:r>
                  <w:r>
                    <w:rPr>
                      <w:rFonts w:hint="default" w:ascii="Times New Roman" w:hAnsi="Times New Roman" w:cs="Times New Roman"/>
                      <w:color w:val="auto"/>
                      <w:sz w:val="18"/>
                      <w:szCs w:val="18"/>
                    </w:rPr>
                    <w:t>cm/s；或参照GB16889执行</w:t>
                  </w:r>
                </w:p>
              </w:tc>
            </w:tr>
          </w:tbl>
          <w:p w14:paraId="17DB49D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rPr>
            </w:pPr>
          </w:p>
        </w:tc>
      </w:tr>
      <w:tr w14:paraId="5C9F05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tcBorders>
              <w:top w:val="single" w:color="auto" w:sz="4" w:space="0"/>
              <w:left w:val="single" w:color="auto" w:sz="8" w:space="0"/>
              <w:bottom w:val="single" w:color="auto" w:sz="4" w:space="0"/>
              <w:right w:val="single" w:color="auto" w:sz="4" w:space="0"/>
            </w:tcBorders>
            <w:vAlign w:val="center"/>
          </w:tcPr>
          <w:p w14:paraId="1B1D01DD">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生态保护措施</w:t>
            </w:r>
          </w:p>
        </w:tc>
        <w:tc>
          <w:tcPr>
            <w:tcW w:w="7879" w:type="dxa"/>
            <w:gridSpan w:val="6"/>
            <w:tcBorders>
              <w:top w:val="single" w:color="auto" w:sz="4" w:space="0"/>
              <w:left w:val="single" w:color="auto" w:sz="4" w:space="0"/>
              <w:bottom w:val="single" w:color="auto" w:sz="4" w:space="0"/>
              <w:right w:val="single" w:color="auto" w:sz="8" w:space="0"/>
            </w:tcBorders>
            <w:vAlign w:val="center"/>
          </w:tcPr>
          <w:p w14:paraId="1826768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18"/>
                <w:szCs w:val="18"/>
              </w:rPr>
            </w:pPr>
            <w:r>
              <w:rPr>
                <w:rFonts w:hint="default" w:ascii="Times New Roman" w:hAnsi="Times New Roman" w:cs="Times New Roman"/>
                <w:color w:val="auto"/>
                <w:sz w:val="18"/>
                <w:szCs w:val="18"/>
                <w:lang w:val="en-US" w:eastAsia="zh-CN"/>
              </w:rPr>
              <w:t>建设项目</w:t>
            </w:r>
            <w:r>
              <w:rPr>
                <w:rFonts w:hint="default" w:ascii="Times New Roman" w:hAnsi="Times New Roman" w:eastAsia="宋体" w:cs="Times New Roman"/>
                <w:color w:val="auto"/>
                <w:sz w:val="18"/>
                <w:szCs w:val="18"/>
              </w:rPr>
              <w:t>建成后，产生的污染经采用适当的污染防治措施实现达标排放后，对区域的生态环境影响可以接受。</w:t>
            </w:r>
          </w:p>
        </w:tc>
      </w:tr>
      <w:tr w14:paraId="7E108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709" w:hRule="atLeast"/>
          <w:jc w:val="center"/>
        </w:trPr>
        <w:tc>
          <w:tcPr>
            <w:tcW w:w="1021" w:type="dxa"/>
            <w:tcBorders>
              <w:top w:val="single" w:color="auto" w:sz="4" w:space="0"/>
              <w:left w:val="single" w:color="auto" w:sz="8" w:space="0"/>
              <w:bottom w:val="single" w:color="auto" w:sz="4" w:space="0"/>
              <w:right w:val="single" w:color="auto" w:sz="4" w:space="0"/>
            </w:tcBorders>
            <w:vAlign w:val="center"/>
          </w:tcPr>
          <w:p w14:paraId="335AB68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环境风险防范措施</w:t>
            </w:r>
          </w:p>
        </w:tc>
        <w:tc>
          <w:tcPr>
            <w:tcW w:w="7879" w:type="dxa"/>
            <w:gridSpan w:val="6"/>
            <w:tcBorders>
              <w:top w:val="single" w:color="auto" w:sz="4" w:space="0"/>
              <w:left w:val="single" w:color="auto" w:sz="4" w:space="0"/>
              <w:bottom w:val="single" w:color="auto" w:sz="4" w:space="0"/>
              <w:right w:val="single" w:color="auto" w:sz="8" w:space="0"/>
            </w:tcBorders>
            <w:vAlign w:val="center"/>
          </w:tcPr>
          <w:p w14:paraId="35920C0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r>
              <w:rPr>
                <w:rFonts w:hint="default" w:ascii="Times New Roman" w:hAnsi="Times New Roman" w:eastAsia="宋体" w:cs="Times New Roman"/>
                <w:color w:val="auto"/>
                <w:sz w:val="18"/>
                <w:szCs w:val="18"/>
                <w:lang w:val="en-US" w:eastAsia="zh-CN"/>
              </w:rPr>
              <w:t>对</w:t>
            </w:r>
            <w:r>
              <w:rPr>
                <w:rFonts w:hint="eastAsia" w:ascii="Times New Roman" w:hAnsi="Times New Roman" w:cs="Times New Roman"/>
                <w:color w:val="auto"/>
                <w:sz w:val="18"/>
                <w:szCs w:val="18"/>
                <w:lang w:val="en-US" w:eastAsia="zh-CN"/>
              </w:rPr>
              <w:t>实验室</w:t>
            </w:r>
            <w:r>
              <w:rPr>
                <w:rFonts w:hint="eastAsia" w:cs="Times New Roman"/>
                <w:color w:val="auto"/>
                <w:sz w:val="18"/>
                <w:szCs w:val="18"/>
                <w:lang w:val="en-US" w:eastAsia="zh-CN"/>
              </w:rPr>
              <w:t>及</w:t>
            </w:r>
            <w:r>
              <w:rPr>
                <w:rFonts w:hint="eastAsia" w:ascii="Times New Roman" w:hAnsi="Times New Roman" w:eastAsia="宋体" w:cs="Times New Roman"/>
                <w:color w:val="auto"/>
                <w:sz w:val="18"/>
                <w:szCs w:val="18"/>
                <w:lang w:val="en-US" w:eastAsia="zh-CN"/>
              </w:rPr>
              <w:t>医疗危废暂存间地面</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污水处理站及污水收集管线</w:t>
            </w:r>
            <w:r>
              <w:rPr>
                <w:rFonts w:hint="default" w:ascii="Times New Roman" w:hAnsi="Times New Roman" w:eastAsia="宋体" w:cs="Times New Roman"/>
                <w:color w:val="auto"/>
                <w:sz w:val="18"/>
                <w:szCs w:val="18"/>
                <w:lang w:val="en-US" w:eastAsia="zh-CN"/>
              </w:rPr>
              <w:t>进行重点防渗处理</w:t>
            </w:r>
            <w:r>
              <w:rPr>
                <w:rFonts w:hint="default" w:ascii="Times New Roman" w:hAnsi="Times New Roman"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危废暂存间地面</w:t>
            </w:r>
            <w:r>
              <w:rPr>
                <w:rFonts w:hint="default" w:ascii="Times New Roman" w:hAnsi="Times New Roman" w:eastAsia="宋体" w:cs="Times New Roman"/>
                <w:color w:val="auto"/>
                <w:sz w:val="18"/>
                <w:szCs w:val="18"/>
                <w:lang w:val="en-US" w:eastAsia="zh-CN"/>
              </w:rPr>
              <w:t>周围设置导流沟或收集槽等，配备消防沙覆盖泄漏物料减少蒸发，配备无火花收容工具收纳泄漏物料；</w:t>
            </w:r>
            <w:r>
              <w:rPr>
                <w:rFonts w:hint="default" w:ascii="Times New Roman" w:hAnsi="Times New Roman" w:cs="Times New Roman"/>
                <w:color w:val="auto"/>
                <w:sz w:val="18"/>
                <w:szCs w:val="18"/>
                <w:lang w:val="en-US" w:eastAsia="zh-CN"/>
              </w:rPr>
              <w:t>（2）实验过程严格控制，定期对设备等进行检修，防止跑、冒、滴、漏现象发生；</w:t>
            </w:r>
            <w:r>
              <w:rPr>
                <w:rFonts w:hint="eastAsia" w:cs="Times New Roman"/>
                <w:color w:val="auto"/>
                <w:sz w:val="18"/>
                <w:szCs w:val="18"/>
                <w:lang w:val="en-US" w:eastAsia="zh-CN"/>
              </w:rPr>
              <w:t>实验化学品</w:t>
            </w:r>
            <w:r>
              <w:rPr>
                <w:rFonts w:hint="default" w:ascii="Times New Roman" w:hAnsi="Times New Roman" w:cs="Times New Roman"/>
                <w:color w:val="auto"/>
                <w:sz w:val="18"/>
                <w:szCs w:val="18"/>
                <w:lang w:val="en-US" w:eastAsia="zh-CN"/>
              </w:rPr>
              <w:t>均存放在室内，分区存放，</w:t>
            </w:r>
            <w:r>
              <w:rPr>
                <w:rFonts w:hint="eastAsia" w:cs="Times New Roman"/>
                <w:color w:val="auto"/>
                <w:sz w:val="18"/>
                <w:szCs w:val="18"/>
                <w:lang w:val="en-US" w:eastAsia="zh-CN"/>
              </w:rPr>
              <w:t>避免</w:t>
            </w:r>
            <w:r>
              <w:rPr>
                <w:rFonts w:hint="default" w:ascii="Times New Roman" w:hAnsi="Times New Roman" w:cs="Times New Roman"/>
                <w:color w:val="auto"/>
                <w:sz w:val="18"/>
                <w:szCs w:val="18"/>
                <w:lang w:val="en-US" w:eastAsia="zh-CN"/>
              </w:rPr>
              <w:t>对土壤和地表水造成二次污染；实验室内部定期对管线、接头、阀门严格检查保证污水能够顺畅排入厂区总管，无跑冒滴漏等问题。</w:t>
            </w:r>
          </w:p>
          <w:p w14:paraId="457394E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r>
              <w:rPr>
                <w:rFonts w:hint="default" w:ascii="Times New Roman" w:hAnsi="Times New Roman" w:eastAsia="宋体" w:cs="Times New Roman"/>
                <w:color w:val="auto"/>
                <w:sz w:val="18"/>
                <w:szCs w:val="18"/>
                <w:lang w:val="en-US" w:eastAsia="zh-CN"/>
              </w:rPr>
              <w:t>各区域按规范设置灭火器、消防设施</w:t>
            </w:r>
            <w:r>
              <w:rPr>
                <w:rFonts w:hint="default" w:ascii="Times New Roman" w:hAnsi="Times New Roman" w:cs="Times New Roman"/>
                <w:color w:val="auto"/>
                <w:sz w:val="18"/>
                <w:szCs w:val="18"/>
                <w:lang w:val="en-US" w:eastAsia="zh-CN"/>
              </w:rPr>
              <w:t>等应急</w:t>
            </w:r>
            <w:r>
              <w:rPr>
                <w:rFonts w:hint="eastAsia" w:cs="Times New Roman"/>
                <w:color w:val="auto"/>
                <w:sz w:val="18"/>
                <w:szCs w:val="18"/>
                <w:lang w:val="en-US" w:eastAsia="zh-CN"/>
              </w:rPr>
              <w:t>物资</w:t>
            </w:r>
            <w:r>
              <w:rPr>
                <w:rFonts w:hint="default" w:ascii="Times New Roman" w:hAnsi="Times New Roman" w:eastAsia="宋体" w:cs="Times New Roman"/>
                <w:color w:val="auto"/>
                <w:sz w:val="18"/>
                <w:szCs w:val="18"/>
                <w:lang w:val="en-US" w:eastAsia="zh-CN"/>
              </w:rPr>
              <w:t>并定期检查维护等；</w:t>
            </w:r>
            <w:r>
              <w:rPr>
                <w:rFonts w:hint="default" w:ascii="Times New Roman" w:hAnsi="Times New Roman" w:cs="Times New Roman"/>
                <w:color w:val="auto"/>
                <w:sz w:val="18"/>
                <w:szCs w:val="18"/>
                <w:lang w:val="en-US" w:eastAsia="zh-CN"/>
              </w:rPr>
              <w:t>（4）</w:t>
            </w:r>
            <w:r>
              <w:rPr>
                <w:rFonts w:hint="eastAsia" w:cs="Times New Roman"/>
                <w:color w:val="auto"/>
                <w:sz w:val="18"/>
                <w:szCs w:val="18"/>
                <w:lang w:val="en-US" w:eastAsia="zh-CN"/>
              </w:rPr>
              <w:t>更新环境应急预案</w:t>
            </w:r>
            <w:r>
              <w:rPr>
                <w:rFonts w:hint="default"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lang w:val="en-US" w:eastAsia="zh-CN"/>
              </w:rPr>
              <w:t>完善事故预防及监管措施、建立风险防范制度等</w:t>
            </w:r>
            <w:r>
              <w:rPr>
                <w:rFonts w:hint="default" w:ascii="Times New Roman" w:hAnsi="Times New Roman" w:cs="Times New Roman"/>
                <w:color w:val="auto"/>
                <w:sz w:val="18"/>
                <w:szCs w:val="18"/>
                <w:lang w:val="en-US" w:eastAsia="zh-CN"/>
              </w:rPr>
              <w:t>。</w:t>
            </w:r>
          </w:p>
        </w:tc>
      </w:tr>
      <w:tr w14:paraId="0C49D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21" w:type="dxa"/>
            <w:tcBorders>
              <w:top w:val="single" w:color="auto" w:sz="4" w:space="0"/>
              <w:left w:val="single" w:color="auto" w:sz="8" w:space="0"/>
              <w:bottom w:val="single" w:color="auto" w:sz="8" w:space="0"/>
              <w:right w:val="single" w:color="auto" w:sz="4" w:space="0"/>
            </w:tcBorders>
            <w:vAlign w:val="center"/>
          </w:tcPr>
          <w:p w14:paraId="3790FF8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8"/>
                <w:sz w:val="18"/>
                <w:szCs w:val="18"/>
              </w:rPr>
            </w:pPr>
            <w:r>
              <w:rPr>
                <w:rFonts w:hint="default" w:ascii="Times New Roman" w:hAnsi="Times New Roman" w:eastAsia="宋体" w:cs="Times New Roman"/>
                <w:b/>
                <w:color w:val="auto"/>
                <w:spacing w:val="-8"/>
                <w:sz w:val="18"/>
                <w:szCs w:val="18"/>
              </w:rPr>
              <w:t>其他环境管理要求</w:t>
            </w:r>
          </w:p>
        </w:tc>
        <w:tc>
          <w:tcPr>
            <w:tcW w:w="7879" w:type="dxa"/>
            <w:gridSpan w:val="6"/>
            <w:tcBorders>
              <w:top w:val="single" w:color="auto" w:sz="4" w:space="0"/>
              <w:left w:val="single" w:color="auto" w:sz="4" w:space="0"/>
              <w:bottom w:val="single" w:color="auto" w:sz="8" w:space="0"/>
              <w:right w:val="single" w:color="auto" w:sz="8" w:space="0"/>
            </w:tcBorders>
            <w:vAlign w:val="center"/>
          </w:tcPr>
          <w:p w14:paraId="338A06F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18"/>
                <w:szCs w:val="18"/>
                <w:lang w:val="en-US" w:eastAsia="zh-CN"/>
              </w:rPr>
            </w:pPr>
            <w:r>
              <w:rPr>
                <w:rFonts w:hint="eastAsia" w:cs="Times New Roman"/>
                <w:b/>
                <w:bCs/>
                <w:color w:val="auto"/>
                <w:sz w:val="18"/>
                <w:szCs w:val="18"/>
                <w:lang w:val="en-US" w:eastAsia="zh-CN"/>
              </w:rPr>
              <w:t>无</w:t>
            </w:r>
            <w:r>
              <w:rPr>
                <w:rFonts w:hint="default" w:ascii="Times New Roman" w:hAnsi="Times New Roman" w:eastAsia="宋体" w:cs="Times New Roman"/>
                <w:color w:val="auto"/>
                <w:sz w:val="18"/>
                <w:szCs w:val="18"/>
                <w:lang w:val="en-US" w:eastAsia="zh-CN"/>
              </w:rPr>
              <w:t>。</w:t>
            </w:r>
          </w:p>
          <w:p w14:paraId="0AB06804">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2A8D00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2085A4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66D912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0831E5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3A1F2F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26DF38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454E3D26">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53A66A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75D12A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53FC37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456C1944">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3FC1CF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036FCA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08DD6E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15C20E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4D9745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1BC224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3DAA9A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5753BF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01005B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5DFFA04A">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047E907E">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28EC5A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7BC972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1D93B7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2DD24F9C">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3B1C84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5396A4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339C06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5EBD44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color w:val="auto"/>
                <w:kern w:val="2"/>
                <w:sz w:val="18"/>
                <w:szCs w:val="18"/>
                <w:lang w:val="en-US" w:eastAsia="zh-CN" w:bidi="ar-SA"/>
              </w:rPr>
            </w:pPr>
          </w:p>
          <w:p w14:paraId="2AED8387">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jc w:val="both"/>
              <w:textAlignment w:val="auto"/>
              <w:outlineLvl w:val="9"/>
              <w:rPr>
                <w:rFonts w:hint="default" w:ascii="Times New Roman" w:hAnsi="Times New Roman" w:eastAsia="宋体" w:cs="Times New Roman"/>
                <w:b/>
                <w:color w:val="auto"/>
                <w:kern w:val="2"/>
                <w:sz w:val="18"/>
                <w:szCs w:val="18"/>
                <w:lang w:val="en-US" w:eastAsia="zh-CN" w:bidi="ar-SA"/>
              </w:rPr>
            </w:pPr>
          </w:p>
        </w:tc>
      </w:tr>
    </w:tbl>
    <w:p w14:paraId="0617B55E">
      <w:pPr>
        <w:numPr>
          <w:ilvl w:val="0"/>
          <w:numId w:val="0"/>
        </w:numPr>
        <w:ind w:leftChars="0"/>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985D1E9">
      <w:pPr>
        <w:numPr>
          <w:ilvl w:val="0"/>
          <w:numId w:val="0"/>
        </w:numPr>
        <w:spacing w:line="240" w:lineRule="auto"/>
        <w:ind w:firstLine="0" w:firstLineChars="0"/>
        <w:jc w:val="center"/>
        <w:outlineLvl w:val="0"/>
        <w:rPr>
          <w:rFonts w:hint="eastAsia"/>
          <w:b/>
          <w:bCs/>
          <w:color w:val="auto"/>
          <w:sz w:val="28"/>
          <w:szCs w:val="28"/>
          <w:lang w:val="en-US" w:eastAsia="zh-CN"/>
        </w:rPr>
      </w:pPr>
      <w:bookmarkStart w:id="28" w:name="_Toc1497"/>
      <w:bookmarkStart w:id="29" w:name="_Toc31001"/>
      <w:r>
        <w:rPr>
          <w:rFonts w:hint="eastAsia" w:cstheme="minorBidi"/>
          <w:b/>
          <w:bCs/>
          <w:color w:val="auto"/>
          <w:kern w:val="2"/>
          <w:sz w:val="28"/>
          <w:szCs w:val="28"/>
          <w:lang w:val="en-US" w:eastAsia="zh-CN" w:bidi="ar-SA"/>
        </w:rPr>
        <w:t>六</w:t>
      </w:r>
      <w:r>
        <w:rPr>
          <w:rFonts w:hint="eastAsia" w:ascii="Times New Roman" w:hAnsi="Times New Roman" w:eastAsia="宋体" w:cstheme="minorBidi"/>
          <w:b/>
          <w:bCs/>
          <w:color w:val="auto"/>
          <w:kern w:val="2"/>
          <w:sz w:val="28"/>
          <w:szCs w:val="28"/>
          <w:lang w:val="en-US" w:eastAsia="zh-CN" w:bidi="ar-SA"/>
        </w:rPr>
        <w:t>、</w:t>
      </w:r>
      <w:r>
        <w:rPr>
          <w:rFonts w:hint="eastAsia"/>
          <w:b/>
          <w:bCs/>
          <w:color w:val="auto"/>
          <w:sz w:val="28"/>
          <w:szCs w:val="28"/>
          <w:lang w:val="en-US" w:eastAsia="zh-CN"/>
        </w:rPr>
        <w:t>结论</w:t>
      </w:r>
      <w:bookmarkEnd w:id="28"/>
      <w:bookmarkEnd w:id="29"/>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17C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FC0F776">
            <w:pPr>
              <w:keepNext w:val="0"/>
              <w:keepLines w:val="0"/>
              <w:suppressLineNumbers w:val="0"/>
              <w:spacing w:before="0" w:beforeAutospacing="0" w:after="0" w:afterAutospacing="0"/>
              <w:ind w:left="0" w:right="0" w:firstLine="480"/>
              <w:rPr>
                <w:rFonts w:hint="eastAsia"/>
                <w:color w:val="auto"/>
              </w:rPr>
            </w:pPr>
            <w:r>
              <w:rPr>
                <w:rFonts w:hint="eastAsia"/>
                <w:color w:val="auto"/>
                <w:lang w:val="en-US" w:eastAsia="zh-CN"/>
              </w:rPr>
              <w:t>本项目</w:t>
            </w:r>
            <w:r>
              <w:rPr>
                <w:rFonts w:hint="eastAsia"/>
                <w:color w:val="auto"/>
              </w:rPr>
              <w:t>建设符合国家产业政策</w:t>
            </w:r>
            <w:r>
              <w:rPr>
                <w:rFonts w:hint="eastAsia"/>
                <w:color w:val="auto"/>
                <w:lang w:eastAsia="zh-CN"/>
              </w:rPr>
              <w:t>及</w:t>
            </w:r>
            <w:r>
              <w:rPr>
                <w:rFonts w:hint="eastAsia"/>
                <w:color w:val="auto"/>
              </w:rPr>
              <w:t>地方产业政策</w:t>
            </w:r>
            <w:r>
              <w:rPr>
                <w:rFonts w:hint="eastAsia"/>
                <w:color w:val="auto"/>
                <w:lang w:eastAsia="zh-CN"/>
              </w:rPr>
              <w:t>要求</w:t>
            </w:r>
            <w:r>
              <w:rPr>
                <w:rFonts w:hint="eastAsia"/>
                <w:color w:val="auto"/>
              </w:rPr>
              <w:t>，符合</w:t>
            </w:r>
            <w:r>
              <w:rPr>
                <w:rFonts w:hint="eastAsia"/>
                <w:color w:val="auto"/>
                <w:lang w:eastAsia="zh-CN"/>
              </w:rPr>
              <w:t>区域</w:t>
            </w:r>
            <w:r>
              <w:rPr>
                <w:rFonts w:hint="eastAsia"/>
                <w:color w:val="auto"/>
              </w:rPr>
              <w:t>规划及土地利用要求，选址合理；在采取合理有效的治理措施</w:t>
            </w:r>
            <w:r>
              <w:rPr>
                <w:rFonts w:hint="eastAsia"/>
                <w:color w:val="auto"/>
                <w:lang w:eastAsia="zh-CN"/>
              </w:rPr>
              <w:t>及环境风险防范措施</w:t>
            </w:r>
            <w:r>
              <w:rPr>
                <w:rFonts w:hint="eastAsia"/>
                <w:color w:val="auto"/>
              </w:rPr>
              <w:t>后，项目</w:t>
            </w:r>
            <w:r>
              <w:rPr>
                <w:rFonts w:hint="eastAsia"/>
                <w:color w:val="auto"/>
                <w:lang w:eastAsia="zh-CN"/>
              </w:rPr>
              <w:t>运营</w:t>
            </w:r>
            <w:r>
              <w:rPr>
                <w:rFonts w:hint="eastAsia"/>
                <w:color w:val="auto"/>
              </w:rPr>
              <w:t>过程中产生的各种污染可实现达标排放，对周围环境影响较小，不会改变当地环境质量现状；事故风险水平可被接受。因此，从环保角度出发，在落实各项污染治理措施</w:t>
            </w:r>
            <w:r>
              <w:rPr>
                <w:rFonts w:hint="eastAsia"/>
                <w:color w:val="auto"/>
                <w:lang w:eastAsia="zh-CN"/>
              </w:rPr>
              <w:t>及环境风险防范措施</w:t>
            </w:r>
            <w:r>
              <w:rPr>
                <w:rFonts w:hint="eastAsia"/>
                <w:color w:val="auto"/>
              </w:rPr>
              <w:t>的前提下，该项目在拟建地建设是可行的。</w:t>
            </w:r>
          </w:p>
          <w:p w14:paraId="104D9848">
            <w:pPr>
              <w:keepNext w:val="0"/>
              <w:keepLines w:val="0"/>
              <w:suppressLineNumbers w:val="0"/>
              <w:spacing w:before="0" w:beforeAutospacing="0" w:after="0" w:afterAutospacing="0"/>
              <w:ind w:left="0" w:right="0" w:firstLine="0" w:firstLineChars="0"/>
              <w:rPr>
                <w:rFonts w:hint="eastAsia"/>
                <w:color w:val="auto"/>
              </w:rPr>
            </w:pPr>
          </w:p>
          <w:p w14:paraId="213208E6">
            <w:pPr>
              <w:keepNext w:val="0"/>
              <w:keepLines w:val="0"/>
              <w:suppressLineNumbers w:val="0"/>
              <w:spacing w:before="0" w:beforeAutospacing="0" w:after="0" w:afterAutospacing="0"/>
              <w:ind w:left="0" w:right="0" w:firstLine="0" w:firstLineChars="0"/>
              <w:rPr>
                <w:rFonts w:hint="eastAsia"/>
                <w:color w:val="auto"/>
              </w:rPr>
            </w:pPr>
          </w:p>
          <w:p w14:paraId="150B66BF">
            <w:pPr>
              <w:keepNext w:val="0"/>
              <w:keepLines w:val="0"/>
              <w:suppressLineNumbers w:val="0"/>
              <w:spacing w:before="0" w:beforeAutospacing="0" w:after="0" w:afterAutospacing="0"/>
              <w:ind w:left="0" w:right="0" w:firstLine="0" w:firstLineChars="0"/>
              <w:rPr>
                <w:rFonts w:hint="eastAsia"/>
                <w:color w:val="auto"/>
              </w:rPr>
            </w:pPr>
          </w:p>
          <w:p w14:paraId="21988CED">
            <w:pPr>
              <w:keepNext w:val="0"/>
              <w:keepLines w:val="0"/>
              <w:suppressLineNumbers w:val="0"/>
              <w:spacing w:before="0" w:beforeAutospacing="0" w:after="0" w:afterAutospacing="0"/>
              <w:ind w:left="0" w:right="0" w:firstLine="0" w:firstLineChars="0"/>
              <w:rPr>
                <w:rFonts w:hint="eastAsia"/>
                <w:color w:val="auto"/>
              </w:rPr>
            </w:pPr>
          </w:p>
          <w:p w14:paraId="2DA63EDF">
            <w:pPr>
              <w:keepNext w:val="0"/>
              <w:keepLines w:val="0"/>
              <w:suppressLineNumbers w:val="0"/>
              <w:spacing w:before="0" w:beforeAutospacing="0" w:after="0" w:afterAutospacing="0"/>
              <w:ind w:left="0" w:right="0" w:firstLine="0" w:firstLineChars="0"/>
              <w:rPr>
                <w:rFonts w:hint="eastAsia"/>
                <w:color w:val="auto"/>
              </w:rPr>
            </w:pPr>
          </w:p>
          <w:p w14:paraId="4EBBFAA0">
            <w:pPr>
              <w:keepNext w:val="0"/>
              <w:keepLines w:val="0"/>
              <w:suppressLineNumbers w:val="0"/>
              <w:spacing w:before="0" w:beforeAutospacing="0" w:after="0" w:afterAutospacing="0"/>
              <w:ind w:left="0" w:right="0" w:firstLine="0" w:firstLineChars="0"/>
              <w:rPr>
                <w:rFonts w:hint="eastAsia"/>
                <w:color w:val="auto"/>
              </w:rPr>
            </w:pPr>
          </w:p>
          <w:p w14:paraId="5A49AC4F">
            <w:pPr>
              <w:keepNext w:val="0"/>
              <w:keepLines w:val="0"/>
              <w:suppressLineNumbers w:val="0"/>
              <w:spacing w:before="0" w:beforeAutospacing="0" w:after="0" w:afterAutospacing="0"/>
              <w:ind w:left="0" w:right="0" w:firstLine="0" w:firstLineChars="0"/>
              <w:rPr>
                <w:rFonts w:hint="eastAsia"/>
                <w:color w:val="auto"/>
              </w:rPr>
            </w:pPr>
          </w:p>
          <w:p w14:paraId="19C23530">
            <w:pPr>
              <w:keepNext w:val="0"/>
              <w:keepLines w:val="0"/>
              <w:suppressLineNumbers w:val="0"/>
              <w:spacing w:before="0" w:beforeAutospacing="0" w:after="0" w:afterAutospacing="0"/>
              <w:ind w:left="0" w:right="0" w:firstLine="0" w:firstLineChars="0"/>
              <w:rPr>
                <w:rFonts w:hint="eastAsia"/>
                <w:color w:val="auto"/>
              </w:rPr>
            </w:pPr>
          </w:p>
          <w:p w14:paraId="64537FE7">
            <w:pPr>
              <w:keepNext w:val="0"/>
              <w:keepLines w:val="0"/>
              <w:suppressLineNumbers w:val="0"/>
              <w:spacing w:before="0" w:beforeAutospacing="0" w:after="0" w:afterAutospacing="0"/>
              <w:ind w:left="0" w:right="0" w:firstLine="0" w:firstLineChars="0"/>
              <w:rPr>
                <w:rFonts w:hint="eastAsia"/>
                <w:color w:val="auto"/>
              </w:rPr>
            </w:pPr>
          </w:p>
          <w:p w14:paraId="4A49983F">
            <w:pPr>
              <w:keepNext w:val="0"/>
              <w:keepLines w:val="0"/>
              <w:suppressLineNumbers w:val="0"/>
              <w:spacing w:before="0" w:beforeAutospacing="0" w:after="0" w:afterAutospacing="0"/>
              <w:ind w:left="0" w:right="0" w:firstLine="0" w:firstLineChars="0"/>
              <w:rPr>
                <w:rFonts w:hint="eastAsia"/>
                <w:color w:val="auto"/>
              </w:rPr>
            </w:pPr>
          </w:p>
          <w:p w14:paraId="0EC7B988">
            <w:pPr>
              <w:keepNext w:val="0"/>
              <w:keepLines w:val="0"/>
              <w:suppressLineNumbers w:val="0"/>
              <w:spacing w:before="0" w:beforeAutospacing="0" w:after="0" w:afterAutospacing="0"/>
              <w:ind w:left="0" w:right="0" w:firstLine="0" w:firstLineChars="0"/>
              <w:rPr>
                <w:rFonts w:hint="eastAsia"/>
                <w:color w:val="auto"/>
              </w:rPr>
            </w:pPr>
          </w:p>
          <w:p w14:paraId="6048F48E">
            <w:pPr>
              <w:keepNext w:val="0"/>
              <w:keepLines w:val="0"/>
              <w:suppressLineNumbers w:val="0"/>
              <w:spacing w:before="0" w:beforeAutospacing="0" w:after="0" w:afterAutospacing="0"/>
              <w:ind w:left="0" w:right="0" w:firstLine="0" w:firstLineChars="0"/>
              <w:rPr>
                <w:rFonts w:hint="eastAsia"/>
                <w:color w:val="auto"/>
              </w:rPr>
            </w:pPr>
          </w:p>
          <w:p w14:paraId="5F46132B">
            <w:pPr>
              <w:keepNext w:val="0"/>
              <w:keepLines w:val="0"/>
              <w:suppressLineNumbers w:val="0"/>
              <w:spacing w:before="0" w:beforeAutospacing="0" w:after="0" w:afterAutospacing="0"/>
              <w:ind w:left="0" w:right="0" w:firstLine="0" w:firstLineChars="0"/>
              <w:rPr>
                <w:rFonts w:hint="eastAsia"/>
                <w:color w:val="auto"/>
              </w:rPr>
            </w:pPr>
          </w:p>
          <w:p w14:paraId="733381AE">
            <w:pPr>
              <w:keepNext w:val="0"/>
              <w:keepLines w:val="0"/>
              <w:suppressLineNumbers w:val="0"/>
              <w:spacing w:before="0" w:beforeAutospacing="0" w:after="0" w:afterAutospacing="0"/>
              <w:ind w:left="0" w:right="0" w:firstLine="0" w:firstLineChars="0"/>
              <w:rPr>
                <w:rFonts w:hint="eastAsia"/>
                <w:color w:val="auto"/>
              </w:rPr>
            </w:pPr>
          </w:p>
          <w:p w14:paraId="65C744EE">
            <w:pPr>
              <w:keepNext w:val="0"/>
              <w:keepLines w:val="0"/>
              <w:suppressLineNumbers w:val="0"/>
              <w:spacing w:before="0" w:beforeAutospacing="0" w:after="0" w:afterAutospacing="0"/>
              <w:ind w:left="0" w:right="0" w:firstLine="0" w:firstLineChars="0"/>
              <w:rPr>
                <w:rFonts w:hint="eastAsia"/>
                <w:color w:val="auto"/>
              </w:rPr>
            </w:pPr>
          </w:p>
          <w:p w14:paraId="5D100CEE">
            <w:pPr>
              <w:keepNext w:val="0"/>
              <w:keepLines w:val="0"/>
              <w:suppressLineNumbers w:val="0"/>
              <w:spacing w:before="0" w:beforeAutospacing="0" w:after="0" w:afterAutospacing="0"/>
              <w:ind w:left="0" w:right="0" w:firstLine="0" w:firstLineChars="0"/>
              <w:rPr>
                <w:rFonts w:hint="eastAsia"/>
                <w:color w:val="auto"/>
              </w:rPr>
            </w:pPr>
          </w:p>
          <w:p w14:paraId="63E6BB3E">
            <w:pPr>
              <w:keepNext w:val="0"/>
              <w:keepLines w:val="0"/>
              <w:suppressLineNumbers w:val="0"/>
              <w:spacing w:before="0" w:beforeAutospacing="0" w:after="0" w:afterAutospacing="0"/>
              <w:ind w:left="0" w:right="0" w:firstLine="0" w:firstLineChars="0"/>
              <w:rPr>
                <w:rFonts w:hint="eastAsia"/>
                <w:color w:val="auto"/>
              </w:rPr>
            </w:pPr>
          </w:p>
          <w:p w14:paraId="754A9172">
            <w:pPr>
              <w:keepNext w:val="0"/>
              <w:keepLines w:val="0"/>
              <w:suppressLineNumbers w:val="0"/>
              <w:spacing w:before="0" w:beforeAutospacing="0" w:after="0" w:afterAutospacing="0"/>
              <w:ind w:left="0" w:right="0" w:firstLine="0" w:firstLineChars="0"/>
              <w:rPr>
                <w:rFonts w:hint="eastAsia"/>
                <w:color w:val="auto"/>
              </w:rPr>
            </w:pPr>
          </w:p>
          <w:p w14:paraId="1192AFA1">
            <w:pPr>
              <w:keepNext w:val="0"/>
              <w:keepLines w:val="0"/>
              <w:suppressLineNumbers w:val="0"/>
              <w:spacing w:before="0" w:beforeAutospacing="0" w:after="0" w:afterAutospacing="0"/>
              <w:ind w:left="0" w:right="0" w:firstLine="0" w:firstLineChars="0"/>
              <w:rPr>
                <w:rFonts w:hint="eastAsia"/>
                <w:color w:val="auto"/>
              </w:rPr>
            </w:pPr>
          </w:p>
          <w:p w14:paraId="73FCC6E4">
            <w:pPr>
              <w:keepNext w:val="0"/>
              <w:keepLines w:val="0"/>
              <w:suppressLineNumbers w:val="0"/>
              <w:spacing w:before="0" w:beforeAutospacing="0" w:after="0" w:afterAutospacing="0"/>
              <w:ind w:left="0" w:right="0" w:firstLine="0" w:firstLineChars="0"/>
              <w:rPr>
                <w:rFonts w:hint="eastAsia"/>
                <w:color w:val="auto"/>
              </w:rPr>
            </w:pPr>
          </w:p>
          <w:p w14:paraId="5FB450E5">
            <w:pPr>
              <w:keepNext w:val="0"/>
              <w:keepLines w:val="0"/>
              <w:suppressLineNumbers w:val="0"/>
              <w:spacing w:before="0" w:beforeAutospacing="0" w:after="0" w:afterAutospacing="0"/>
              <w:ind w:left="0" w:right="0" w:firstLine="0" w:firstLineChars="0"/>
              <w:rPr>
                <w:rFonts w:hint="eastAsia"/>
                <w:color w:val="auto"/>
              </w:rPr>
            </w:pPr>
          </w:p>
          <w:p w14:paraId="7B888E20">
            <w:pPr>
              <w:keepNext w:val="0"/>
              <w:keepLines w:val="0"/>
              <w:suppressLineNumbers w:val="0"/>
              <w:spacing w:before="0" w:beforeAutospacing="0" w:after="0" w:afterAutospacing="0"/>
              <w:ind w:left="0" w:right="0" w:firstLine="0" w:firstLineChars="0"/>
              <w:rPr>
                <w:rFonts w:hint="eastAsia"/>
                <w:color w:val="auto"/>
              </w:rPr>
            </w:pPr>
          </w:p>
        </w:tc>
      </w:tr>
    </w:tbl>
    <w:p w14:paraId="3698C059">
      <w:pPr>
        <w:numPr>
          <w:ilvl w:val="0"/>
          <w:numId w:val="0"/>
        </w:numPr>
        <w:ind w:leftChars="0"/>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927B72F">
      <w:pPr>
        <w:keepNext w:val="0"/>
        <w:keepLines w:val="0"/>
        <w:pageBreakBefore w:val="0"/>
        <w:widowControl/>
        <w:kinsoku/>
        <w:wordWrap/>
        <w:overflowPunct/>
        <w:topLinePunct w:val="0"/>
        <w:autoSpaceDE/>
        <w:autoSpaceDN/>
        <w:bidi w:val="0"/>
        <w:adjustRightInd w:val="0"/>
        <w:snapToGrid w:val="0"/>
        <w:spacing w:before="0" w:beforeAutospacing="0" w:after="0" w:afterAutospacing="0"/>
        <w:jc w:val="left"/>
        <w:textAlignment w:val="auto"/>
        <w:outlineLvl w:val="0"/>
        <w:rPr>
          <w:rFonts w:ascii="Times New Roman" w:hAnsi="Times New Roman" w:eastAsia="宋体" w:cs="Times New Roman"/>
          <w:snapToGrid w:val="0"/>
          <w:color w:val="auto"/>
          <w:kern w:val="0"/>
          <w:sz w:val="32"/>
          <w:szCs w:val="32"/>
          <w:lang w:val="en-US" w:eastAsia="zh-CN" w:bidi="ar-SA"/>
        </w:rPr>
      </w:pPr>
      <w:bookmarkStart w:id="30" w:name="_Toc9676"/>
      <w:bookmarkStart w:id="31" w:name="_Toc69388192"/>
      <w:r>
        <w:rPr>
          <w:rFonts w:ascii="Times New Roman" w:hAnsi="Times New Roman" w:eastAsia="宋体" w:cs="Times New Roman"/>
          <w:snapToGrid w:val="0"/>
          <w:color w:val="auto"/>
          <w:kern w:val="0"/>
          <w:sz w:val="32"/>
          <w:szCs w:val="32"/>
          <w:lang w:val="en-US" w:eastAsia="zh-CN" w:bidi="ar-SA"/>
        </w:rPr>
        <w:t>附表</w:t>
      </w:r>
      <w:bookmarkEnd w:id="30"/>
      <w:bookmarkEnd w:id="31"/>
    </w:p>
    <w:p w14:paraId="5F975AA6">
      <w:pPr>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kern w:val="0"/>
          <w:sz w:val="38"/>
          <w:szCs w:val="38"/>
          <w:lang w:val="en-US" w:eastAsia="zh-CN" w:bidi="ar-SA"/>
        </w:rPr>
      </w:pPr>
      <w:bookmarkStart w:id="32" w:name="_Toc16348"/>
      <w:r>
        <w:rPr>
          <w:rFonts w:ascii="Times New Roman" w:hAnsi="Times New Roman" w:eastAsia="宋体" w:cs="Times New Roman"/>
          <w:snapToGrid w:val="0"/>
          <w:color w:val="auto"/>
          <w:kern w:val="0"/>
          <w:sz w:val="44"/>
          <w:szCs w:val="44"/>
          <w:lang w:val="en-US" w:eastAsia="zh-CN" w:bidi="ar-SA"/>
        </w:rPr>
        <w:t>建设项目污染物排放量汇总表</w:t>
      </w:r>
      <w:bookmarkEnd w:id="32"/>
      <w:r>
        <w:rPr>
          <w:rFonts w:hint="eastAsia"/>
          <w:color w:val="auto"/>
          <w:lang w:val="en-US" w:eastAsia="zh-CN"/>
        </w:rPr>
        <w:t xml:space="preserve">  </w:t>
      </w:r>
      <w:r>
        <w:rPr>
          <w:rFonts w:hint="eastAsia"/>
          <w:color w:val="auto"/>
          <w:sz w:val="36"/>
          <w:szCs w:val="36"/>
          <w:lang w:val="en-US" w:eastAsia="zh-CN"/>
        </w:rPr>
        <w:t>单位：t/a</w:t>
      </w:r>
    </w:p>
    <w:tbl>
      <w:tblPr>
        <w:tblStyle w:val="24"/>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89"/>
        <w:gridCol w:w="719"/>
        <w:gridCol w:w="1888"/>
        <w:gridCol w:w="1367"/>
        <w:gridCol w:w="1207"/>
        <w:gridCol w:w="1626"/>
        <w:gridCol w:w="1488"/>
        <w:gridCol w:w="1688"/>
        <w:gridCol w:w="1707"/>
        <w:gridCol w:w="1213"/>
      </w:tblGrid>
      <w:tr w14:paraId="53BA5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84" w:type="pct"/>
            <w:gridSpan w:val="2"/>
            <w:tcBorders>
              <w:tl2br w:val="single" w:color="auto" w:sz="4" w:space="0"/>
            </w:tcBorders>
            <w:tcMar>
              <w:left w:w="28" w:type="dxa"/>
              <w:right w:w="28" w:type="dxa"/>
            </w:tcMar>
            <w:vAlign w:val="center"/>
          </w:tcPr>
          <w:p w14:paraId="39D739E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bookmarkStart w:id="33" w:name="OLE_LINK5"/>
            <w:r>
              <w:rPr>
                <w:rFonts w:hint="eastAsia" w:ascii="Times New Roman" w:hAnsi="Times New Roman" w:eastAsia="宋体" w:cs="Times New Roman"/>
                <w:b/>
                <w:snapToGrid w:val="0"/>
                <w:color w:val="auto"/>
                <w:spacing w:val="-6"/>
                <w:kern w:val="21"/>
                <w:sz w:val="18"/>
                <w:szCs w:val="18"/>
                <w:lang w:val="en-US" w:eastAsia="zh-CN" w:bidi="ar-SA"/>
              </w:rPr>
              <w:t>项目</w:t>
            </w:r>
          </w:p>
          <w:p w14:paraId="4B0FFA8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t>分类</w:t>
            </w:r>
          </w:p>
        </w:tc>
        <w:tc>
          <w:tcPr>
            <w:tcW w:w="699" w:type="pct"/>
            <w:tcMar>
              <w:left w:w="28" w:type="dxa"/>
              <w:right w:w="28" w:type="dxa"/>
            </w:tcMar>
            <w:vAlign w:val="center"/>
          </w:tcPr>
          <w:p w14:paraId="36B1453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t>污染物名称</w:t>
            </w:r>
          </w:p>
        </w:tc>
        <w:tc>
          <w:tcPr>
            <w:tcW w:w="506" w:type="pct"/>
            <w:tcMar>
              <w:left w:w="28" w:type="dxa"/>
              <w:right w:w="28" w:type="dxa"/>
            </w:tcMar>
            <w:vAlign w:val="center"/>
          </w:tcPr>
          <w:p w14:paraId="0AA50DA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t>现有工程</w:t>
            </w:r>
          </w:p>
          <w:p w14:paraId="2008F26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t>排放量（固体废物产生量）</w:t>
            </w:r>
            <w:r>
              <w:rPr>
                <w:rFonts w:hint="eastAsia" w:ascii="Times New Roman" w:hAnsi="Times New Roman" w:eastAsia="宋体" w:cs="Times New Roman"/>
                <w:b/>
                <w:snapToGrid w:val="0"/>
                <w:color w:val="auto"/>
                <w:spacing w:val="-6"/>
                <w:kern w:val="21"/>
                <w:sz w:val="18"/>
                <w:szCs w:val="18"/>
                <w:lang w:val="en-US" w:eastAsia="zh-CN" w:bidi="ar-SA"/>
              </w:rPr>
              <w:fldChar w:fldCharType="begin"/>
            </w:r>
            <w:r>
              <w:rPr>
                <w:rFonts w:hint="eastAsia" w:ascii="Times New Roman" w:hAnsi="Times New Roman" w:eastAsia="宋体" w:cs="Times New Roman"/>
                <w:b/>
                <w:snapToGrid w:val="0"/>
                <w:color w:val="auto"/>
                <w:spacing w:val="-6"/>
                <w:kern w:val="21"/>
                <w:sz w:val="18"/>
                <w:szCs w:val="18"/>
                <w:lang w:val="en-US" w:eastAsia="zh-CN" w:bidi="ar-SA"/>
              </w:rPr>
              <w:instrText xml:space="preserve">=1\*GB3\*MERGEFORMAT</w:instrText>
            </w:r>
            <w:r>
              <w:rPr>
                <w:rFonts w:hint="eastAsia" w:ascii="Times New Roman" w:hAnsi="Times New Roman" w:eastAsia="宋体" w:cs="Times New Roman"/>
                <w:b/>
                <w:snapToGrid w:val="0"/>
                <w:color w:val="auto"/>
                <w:spacing w:val="-6"/>
                <w:kern w:val="21"/>
                <w:sz w:val="18"/>
                <w:szCs w:val="18"/>
                <w:lang w:val="en-US" w:eastAsia="zh-CN" w:bidi="ar-SA"/>
              </w:rPr>
              <w:fldChar w:fldCharType="separate"/>
            </w:r>
            <w:r>
              <w:rPr>
                <w:rFonts w:hint="eastAsia" w:ascii="Times New Roman" w:hAnsi="Times New Roman" w:eastAsia="宋体" w:cs="宋体"/>
                <w:b/>
                <w:color w:val="auto"/>
                <w:kern w:val="2"/>
                <w:sz w:val="18"/>
                <w:szCs w:val="18"/>
                <w:lang w:val="en-US" w:eastAsia="zh-CN" w:bidi="ar-SA"/>
              </w:rPr>
              <w:t>①</w:t>
            </w:r>
            <w:r>
              <w:rPr>
                <w:rFonts w:hint="eastAsia" w:ascii="Times New Roman" w:hAnsi="Times New Roman" w:eastAsia="宋体" w:cs="Times New Roman"/>
                <w:b/>
                <w:snapToGrid w:val="0"/>
                <w:color w:val="auto"/>
                <w:spacing w:val="-6"/>
                <w:kern w:val="21"/>
                <w:sz w:val="18"/>
                <w:szCs w:val="18"/>
                <w:lang w:val="en-US" w:eastAsia="zh-CN" w:bidi="ar-SA"/>
              </w:rPr>
              <w:fldChar w:fldCharType="end"/>
            </w:r>
          </w:p>
        </w:tc>
        <w:tc>
          <w:tcPr>
            <w:tcW w:w="447" w:type="pct"/>
            <w:tcMar>
              <w:left w:w="28" w:type="dxa"/>
              <w:right w:w="28" w:type="dxa"/>
            </w:tcMar>
            <w:vAlign w:val="center"/>
          </w:tcPr>
          <w:p w14:paraId="2FDBA2E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t>现有工程</w:t>
            </w:r>
          </w:p>
          <w:p w14:paraId="19E57E0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t>许可排放量</w:t>
            </w:r>
          </w:p>
          <w:p w14:paraId="732431A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fldChar w:fldCharType="begin"/>
            </w:r>
            <w:r>
              <w:rPr>
                <w:rFonts w:hint="eastAsia" w:ascii="Times New Roman" w:hAnsi="Times New Roman" w:eastAsia="宋体" w:cs="Times New Roman"/>
                <w:b/>
                <w:snapToGrid w:val="0"/>
                <w:color w:val="auto"/>
                <w:spacing w:val="-6"/>
                <w:kern w:val="21"/>
                <w:sz w:val="18"/>
                <w:szCs w:val="18"/>
                <w:lang w:val="en-US" w:eastAsia="zh-CN" w:bidi="ar-SA"/>
              </w:rPr>
              <w:instrText xml:space="preserve">=2\*GB3\*MERGEFORMAT</w:instrText>
            </w:r>
            <w:r>
              <w:rPr>
                <w:rFonts w:hint="eastAsia" w:ascii="Times New Roman" w:hAnsi="Times New Roman" w:eastAsia="宋体" w:cs="Times New Roman"/>
                <w:b/>
                <w:snapToGrid w:val="0"/>
                <w:color w:val="auto"/>
                <w:spacing w:val="-6"/>
                <w:kern w:val="21"/>
                <w:sz w:val="18"/>
                <w:szCs w:val="18"/>
                <w:lang w:val="en-US" w:eastAsia="zh-CN" w:bidi="ar-SA"/>
              </w:rPr>
              <w:fldChar w:fldCharType="separate"/>
            </w:r>
            <w:r>
              <w:rPr>
                <w:rFonts w:hint="eastAsia" w:ascii="Times New Roman" w:hAnsi="Times New Roman" w:eastAsia="宋体" w:cs="宋体"/>
                <w:b/>
                <w:snapToGrid w:val="0"/>
                <w:color w:val="auto"/>
                <w:spacing w:val="-6"/>
                <w:kern w:val="21"/>
                <w:sz w:val="18"/>
                <w:szCs w:val="18"/>
                <w:lang w:val="en-US" w:eastAsia="zh-CN" w:bidi="ar-SA"/>
              </w:rPr>
              <w:t>②</w:t>
            </w:r>
            <w:r>
              <w:rPr>
                <w:rFonts w:hint="eastAsia" w:ascii="Times New Roman" w:hAnsi="Times New Roman" w:eastAsia="宋体" w:cs="Times New Roman"/>
                <w:b/>
                <w:snapToGrid w:val="0"/>
                <w:color w:val="auto"/>
                <w:spacing w:val="-6"/>
                <w:kern w:val="21"/>
                <w:sz w:val="18"/>
                <w:szCs w:val="18"/>
                <w:lang w:val="en-US" w:eastAsia="zh-CN" w:bidi="ar-SA"/>
              </w:rPr>
              <w:fldChar w:fldCharType="end"/>
            </w:r>
          </w:p>
        </w:tc>
        <w:tc>
          <w:tcPr>
            <w:tcW w:w="602" w:type="pct"/>
            <w:tcMar>
              <w:left w:w="28" w:type="dxa"/>
              <w:right w:w="28" w:type="dxa"/>
            </w:tcMar>
            <w:vAlign w:val="center"/>
          </w:tcPr>
          <w:p w14:paraId="0DD6A31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t>在建工程</w:t>
            </w:r>
          </w:p>
          <w:p w14:paraId="1366F48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t>排放量（固体废物产生量）</w:t>
            </w:r>
            <w:r>
              <w:rPr>
                <w:rFonts w:hint="eastAsia" w:ascii="Times New Roman" w:hAnsi="Times New Roman" w:eastAsia="宋体" w:cs="Times New Roman"/>
                <w:b/>
                <w:snapToGrid w:val="0"/>
                <w:color w:val="auto"/>
                <w:spacing w:val="-6"/>
                <w:kern w:val="21"/>
                <w:sz w:val="18"/>
                <w:szCs w:val="18"/>
                <w:lang w:val="en-US" w:eastAsia="zh-CN" w:bidi="ar-SA"/>
              </w:rPr>
              <w:fldChar w:fldCharType="begin"/>
            </w:r>
            <w:r>
              <w:rPr>
                <w:rFonts w:hint="eastAsia" w:ascii="Times New Roman" w:hAnsi="Times New Roman" w:eastAsia="宋体" w:cs="Times New Roman"/>
                <w:b/>
                <w:snapToGrid w:val="0"/>
                <w:color w:val="auto"/>
                <w:spacing w:val="-6"/>
                <w:kern w:val="21"/>
                <w:sz w:val="18"/>
                <w:szCs w:val="18"/>
                <w:lang w:val="en-US" w:eastAsia="zh-CN" w:bidi="ar-SA"/>
              </w:rPr>
              <w:instrText xml:space="preserve">=3\*GB3\*MERGEFORMAT</w:instrText>
            </w:r>
            <w:r>
              <w:rPr>
                <w:rFonts w:hint="eastAsia" w:ascii="Times New Roman" w:hAnsi="Times New Roman" w:eastAsia="宋体" w:cs="Times New Roman"/>
                <w:b/>
                <w:snapToGrid w:val="0"/>
                <w:color w:val="auto"/>
                <w:spacing w:val="-6"/>
                <w:kern w:val="21"/>
                <w:sz w:val="18"/>
                <w:szCs w:val="18"/>
                <w:lang w:val="en-US" w:eastAsia="zh-CN" w:bidi="ar-SA"/>
              </w:rPr>
              <w:fldChar w:fldCharType="separate"/>
            </w:r>
            <w:r>
              <w:rPr>
                <w:rFonts w:hint="eastAsia" w:ascii="Times New Roman" w:hAnsi="Times New Roman" w:eastAsia="宋体" w:cs="宋体"/>
                <w:b/>
                <w:color w:val="auto"/>
                <w:kern w:val="2"/>
                <w:sz w:val="18"/>
                <w:szCs w:val="18"/>
                <w:lang w:val="en-US" w:eastAsia="zh-CN" w:bidi="ar-SA"/>
              </w:rPr>
              <w:t>③</w:t>
            </w:r>
            <w:r>
              <w:rPr>
                <w:rFonts w:hint="eastAsia" w:ascii="Times New Roman" w:hAnsi="Times New Roman" w:eastAsia="宋体" w:cs="Times New Roman"/>
                <w:b/>
                <w:snapToGrid w:val="0"/>
                <w:color w:val="auto"/>
                <w:spacing w:val="-6"/>
                <w:kern w:val="21"/>
                <w:sz w:val="18"/>
                <w:szCs w:val="18"/>
                <w:lang w:val="en-US" w:eastAsia="zh-CN" w:bidi="ar-SA"/>
              </w:rPr>
              <w:fldChar w:fldCharType="end"/>
            </w:r>
          </w:p>
        </w:tc>
        <w:tc>
          <w:tcPr>
            <w:tcW w:w="551" w:type="pct"/>
            <w:tcMar>
              <w:left w:w="28" w:type="dxa"/>
              <w:right w:w="28" w:type="dxa"/>
            </w:tcMar>
            <w:vAlign w:val="center"/>
          </w:tcPr>
          <w:p w14:paraId="159D1CA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cs="Times New Roman"/>
                <w:b/>
                <w:snapToGrid w:val="0"/>
                <w:color w:val="auto"/>
                <w:spacing w:val="-6"/>
                <w:kern w:val="21"/>
                <w:sz w:val="18"/>
                <w:szCs w:val="18"/>
                <w:lang w:val="en-US" w:eastAsia="zh-CN" w:bidi="ar-SA"/>
              </w:rPr>
              <w:t>建设项目</w:t>
            </w:r>
          </w:p>
          <w:p w14:paraId="3A1D365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t>排放量（固体废物产生量）</w:t>
            </w:r>
            <w:r>
              <w:rPr>
                <w:rFonts w:hint="eastAsia" w:ascii="Times New Roman" w:hAnsi="Times New Roman" w:eastAsia="宋体" w:cs="Times New Roman"/>
                <w:b/>
                <w:snapToGrid w:val="0"/>
                <w:color w:val="auto"/>
                <w:spacing w:val="-6"/>
                <w:kern w:val="21"/>
                <w:sz w:val="18"/>
                <w:szCs w:val="18"/>
                <w:lang w:val="en-US" w:eastAsia="zh-CN" w:bidi="ar-SA"/>
              </w:rPr>
              <w:fldChar w:fldCharType="begin"/>
            </w:r>
            <w:r>
              <w:rPr>
                <w:rFonts w:hint="eastAsia" w:ascii="Times New Roman" w:hAnsi="Times New Roman" w:eastAsia="宋体" w:cs="Times New Roman"/>
                <w:b/>
                <w:snapToGrid w:val="0"/>
                <w:color w:val="auto"/>
                <w:spacing w:val="-6"/>
                <w:kern w:val="21"/>
                <w:sz w:val="18"/>
                <w:szCs w:val="18"/>
                <w:lang w:val="en-US" w:eastAsia="zh-CN" w:bidi="ar-SA"/>
              </w:rPr>
              <w:instrText xml:space="preserve">=4\*GB3\*MERGEFORMAT</w:instrText>
            </w:r>
            <w:r>
              <w:rPr>
                <w:rFonts w:hint="eastAsia" w:ascii="Times New Roman" w:hAnsi="Times New Roman" w:eastAsia="宋体" w:cs="Times New Roman"/>
                <w:b/>
                <w:snapToGrid w:val="0"/>
                <w:color w:val="auto"/>
                <w:spacing w:val="-6"/>
                <w:kern w:val="21"/>
                <w:sz w:val="18"/>
                <w:szCs w:val="18"/>
                <w:lang w:val="en-US" w:eastAsia="zh-CN" w:bidi="ar-SA"/>
              </w:rPr>
              <w:fldChar w:fldCharType="separate"/>
            </w:r>
            <w:r>
              <w:rPr>
                <w:rFonts w:hint="eastAsia" w:ascii="Times New Roman" w:hAnsi="Times New Roman" w:eastAsia="宋体" w:cs="宋体"/>
                <w:b/>
                <w:color w:val="auto"/>
                <w:kern w:val="2"/>
                <w:sz w:val="18"/>
                <w:szCs w:val="18"/>
                <w:lang w:val="en-US" w:eastAsia="zh-CN" w:bidi="ar-SA"/>
              </w:rPr>
              <w:t>④</w:t>
            </w:r>
            <w:r>
              <w:rPr>
                <w:rFonts w:hint="eastAsia" w:ascii="Times New Roman" w:hAnsi="Times New Roman" w:eastAsia="宋体" w:cs="Times New Roman"/>
                <w:b/>
                <w:snapToGrid w:val="0"/>
                <w:color w:val="auto"/>
                <w:spacing w:val="-6"/>
                <w:kern w:val="21"/>
                <w:sz w:val="18"/>
                <w:szCs w:val="18"/>
                <w:lang w:val="en-US" w:eastAsia="zh-CN" w:bidi="ar-SA"/>
              </w:rPr>
              <w:fldChar w:fldCharType="end"/>
            </w:r>
          </w:p>
        </w:tc>
        <w:tc>
          <w:tcPr>
            <w:tcW w:w="625" w:type="pct"/>
            <w:tcMar>
              <w:left w:w="28" w:type="dxa"/>
              <w:right w:w="28" w:type="dxa"/>
            </w:tcMar>
            <w:vAlign w:val="center"/>
          </w:tcPr>
          <w:p w14:paraId="5C004926">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16"/>
                <w:kern w:val="21"/>
                <w:sz w:val="18"/>
                <w:szCs w:val="18"/>
                <w:lang w:val="en-US" w:eastAsia="zh-CN" w:bidi="ar-SA"/>
              </w:rPr>
            </w:pPr>
            <w:r>
              <w:rPr>
                <w:rFonts w:hint="eastAsia" w:ascii="Times New Roman" w:hAnsi="Times New Roman" w:eastAsia="宋体" w:cs="Times New Roman"/>
                <w:b/>
                <w:snapToGrid w:val="0"/>
                <w:color w:val="auto"/>
                <w:spacing w:val="-16"/>
                <w:kern w:val="21"/>
                <w:sz w:val="18"/>
                <w:szCs w:val="18"/>
                <w:lang w:val="en-US" w:eastAsia="zh-CN" w:bidi="ar-SA"/>
              </w:rPr>
              <w:t>以新带老削减量</w:t>
            </w:r>
          </w:p>
          <w:p w14:paraId="6EF5731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16"/>
                <w:kern w:val="21"/>
                <w:sz w:val="18"/>
                <w:szCs w:val="18"/>
                <w:lang w:val="en-US" w:eastAsia="zh-CN" w:bidi="ar-SA"/>
              </w:rPr>
            </w:pPr>
            <w:r>
              <w:rPr>
                <w:rFonts w:hint="eastAsia" w:ascii="Times New Roman" w:hAnsi="Times New Roman" w:eastAsia="宋体" w:cs="Times New Roman"/>
                <w:b/>
                <w:snapToGrid w:val="0"/>
                <w:color w:val="auto"/>
                <w:spacing w:val="-16"/>
                <w:kern w:val="21"/>
                <w:sz w:val="18"/>
                <w:szCs w:val="18"/>
                <w:lang w:val="en-US" w:eastAsia="zh-CN" w:bidi="ar-SA"/>
              </w:rPr>
              <w:t>（新建项目不填）</w:t>
            </w:r>
            <w:r>
              <w:rPr>
                <w:rFonts w:hint="eastAsia" w:ascii="Times New Roman" w:hAnsi="Times New Roman" w:eastAsia="宋体" w:cs="Times New Roman"/>
                <w:b/>
                <w:snapToGrid w:val="0"/>
                <w:color w:val="auto"/>
                <w:spacing w:val="-16"/>
                <w:kern w:val="21"/>
                <w:sz w:val="18"/>
                <w:szCs w:val="18"/>
                <w:lang w:val="en-US" w:eastAsia="zh-CN" w:bidi="ar-SA"/>
              </w:rPr>
              <w:fldChar w:fldCharType="begin"/>
            </w:r>
            <w:r>
              <w:rPr>
                <w:rFonts w:hint="eastAsia" w:ascii="Times New Roman" w:hAnsi="Times New Roman" w:eastAsia="宋体" w:cs="Times New Roman"/>
                <w:b/>
                <w:snapToGrid w:val="0"/>
                <w:color w:val="auto"/>
                <w:spacing w:val="-16"/>
                <w:kern w:val="21"/>
                <w:sz w:val="18"/>
                <w:szCs w:val="18"/>
                <w:lang w:val="en-US" w:eastAsia="zh-CN" w:bidi="ar-SA"/>
              </w:rPr>
              <w:instrText xml:space="preserve">=5\*GB3\*MERGEFORMAT</w:instrText>
            </w:r>
            <w:r>
              <w:rPr>
                <w:rFonts w:hint="eastAsia" w:ascii="Times New Roman" w:hAnsi="Times New Roman" w:eastAsia="宋体" w:cs="Times New Roman"/>
                <w:b/>
                <w:snapToGrid w:val="0"/>
                <w:color w:val="auto"/>
                <w:spacing w:val="-16"/>
                <w:kern w:val="21"/>
                <w:sz w:val="18"/>
                <w:szCs w:val="18"/>
                <w:lang w:val="en-US" w:eastAsia="zh-CN" w:bidi="ar-SA"/>
              </w:rPr>
              <w:fldChar w:fldCharType="separate"/>
            </w:r>
            <w:r>
              <w:rPr>
                <w:rFonts w:hint="eastAsia" w:ascii="Times New Roman" w:hAnsi="Times New Roman" w:eastAsia="宋体" w:cs="宋体"/>
                <w:b/>
                <w:color w:val="auto"/>
                <w:kern w:val="2"/>
                <w:sz w:val="18"/>
                <w:szCs w:val="18"/>
                <w:lang w:val="en-US" w:eastAsia="zh-CN" w:bidi="ar-SA"/>
              </w:rPr>
              <w:t>⑤</w:t>
            </w:r>
            <w:r>
              <w:rPr>
                <w:rFonts w:hint="eastAsia" w:ascii="Times New Roman" w:hAnsi="Times New Roman" w:eastAsia="宋体" w:cs="Times New Roman"/>
                <w:b/>
                <w:snapToGrid w:val="0"/>
                <w:color w:val="auto"/>
                <w:spacing w:val="-16"/>
                <w:kern w:val="21"/>
                <w:sz w:val="18"/>
                <w:szCs w:val="18"/>
                <w:lang w:val="en-US" w:eastAsia="zh-CN" w:bidi="ar-SA"/>
              </w:rPr>
              <w:fldChar w:fldCharType="end"/>
            </w:r>
          </w:p>
        </w:tc>
        <w:tc>
          <w:tcPr>
            <w:tcW w:w="632" w:type="pct"/>
            <w:tcMar>
              <w:left w:w="28" w:type="dxa"/>
              <w:right w:w="28" w:type="dxa"/>
            </w:tcMar>
            <w:vAlign w:val="center"/>
          </w:tcPr>
          <w:p w14:paraId="0DE0AA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16"/>
                <w:kern w:val="21"/>
                <w:sz w:val="18"/>
                <w:szCs w:val="18"/>
                <w:lang w:val="en-US" w:eastAsia="zh-CN" w:bidi="ar-SA"/>
              </w:rPr>
            </w:pPr>
            <w:r>
              <w:rPr>
                <w:rFonts w:hint="eastAsia" w:cs="Times New Roman"/>
                <w:b/>
                <w:snapToGrid w:val="0"/>
                <w:color w:val="auto"/>
                <w:spacing w:val="-16"/>
                <w:kern w:val="21"/>
                <w:sz w:val="18"/>
                <w:szCs w:val="18"/>
                <w:lang w:val="en-US" w:eastAsia="zh-CN" w:bidi="ar-SA"/>
              </w:rPr>
              <w:t>建设项目</w:t>
            </w:r>
            <w:r>
              <w:rPr>
                <w:rFonts w:hint="eastAsia" w:ascii="Times New Roman" w:hAnsi="Times New Roman" w:eastAsia="宋体" w:cs="Times New Roman"/>
                <w:b/>
                <w:snapToGrid w:val="0"/>
                <w:color w:val="auto"/>
                <w:spacing w:val="-16"/>
                <w:kern w:val="21"/>
                <w:sz w:val="18"/>
                <w:szCs w:val="18"/>
                <w:lang w:val="en-US" w:eastAsia="zh-CN" w:bidi="ar-SA"/>
              </w:rPr>
              <w:t>建成后全厂排放量（固体废物产生量）</w:t>
            </w:r>
            <w:r>
              <w:rPr>
                <w:rFonts w:hint="eastAsia" w:ascii="Times New Roman" w:hAnsi="Times New Roman" w:eastAsia="宋体" w:cs="宋体"/>
                <w:b/>
                <w:snapToGrid w:val="0"/>
                <w:color w:val="auto"/>
                <w:spacing w:val="-16"/>
                <w:kern w:val="21"/>
                <w:sz w:val="18"/>
                <w:szCs w:val="18"/>
                <w:lang w:val="en-US" w:eastAsia="zh-CN" w:bidi="ar-SA"/>
              </w:rPr>
              <w:t>⑥</w:t>
            </w:r>
          </w:p>
        </w:tc>
        <w:tc>
          <w:tcPr>
            <w:tcW w:w="449" w:type="pct"/>
            <w:tcMar>
              <w:left w:w="28" w:type="dxa"/>
              <w:right w:w="28" w:type="dxa"/>
            </w:tcMar>
            <w:vAlign w:val="center"/>
          </w:tcPr>
          <w:p w14:paraId="0862A0D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t>变化量</w:t>
            </w:r>
          </w:p>
          <w:p w14:paraId="1DE67B9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b/>
                <w:snapToGrid w:val="0"/>
                <w:color w:val="auto"/>
                <w:spacing w:val="-6"/>
                <w:kern w:val="21"/>
                <w:sz w:val="18"/>
                <w:szCs w:val="18"/>
                <w:lang w:val="en-US" w:eastAsia="zh-CN" w:bidi="ar-SA"/>
              </w:rPr>
            </w:pPr>
            <w:r>
              <w:rPr>
                <w:rFonts w:hint="eastAsia" w:ascii="Times New Roman" w:hAnsi="Times New Roman" w:eastAsia="宋体" w:cs="Times New Roman"/>
                <w:b/>
                <w:snapToGrid w:val="0"/>
                <w:color w:val="auto"/>
                <w:spacing w:val="-6"/>
                <w:kern w:val="21"/>
                <w:sz w:val="18"/>
                <w:szCs w:val="18"/>
                <w:lang w:val="en-US" w:eastAsia="zh-CN" w:bidi="ar-SA"/>
              </w:rPr>
              <w:fldChar w:fldCharType="begin"/>
            </w:r>
            <w:r>
              <w:rPr>
                <w:rFonts w:hint="eastAsia" w:ascii="Times New Roman" w:hAnsi="Times New Roman" w:eastAsia="宋体" w:cs="Times New Roman"/>
                <w:b/>
                <w:snapToGrid w:val="0"/>
                <w:color w:val="auto"/>
                <w:spacing w:val="-6"/>
                <w:kern w:val="21"/>
                <w:sz w:val="18"/>
                <w:szCs w:val="18"/>
                <w:lang w:val="en-US" w:eastAsia="zh-CN" w:bidi="ar-SA"/>
              </w:rPr>
              <w:instrText xml:space="preserve">=7\*GB3\*MERGEFORMAT</w:instrText>
            </w:r>
            <w:r>
              <w:rPr>
                <w:rFonts w:hint="eastAsia" w:ascii="Times New Roman" w:hAnsi="Times New Roman" w:eastAsia="宋体" w:cs="Times New Roman"/>
                <w:b/>
                <w:snapToGrid w:val="0"/>
                <w:color w:val="auto"/>
                <w:spacing w:val="-6"/>
                <w:kern w:val="21"/>
                <w:sz w:val="18"/>
                <w:szCs w:val="18"/>
                <w:lang w:val="en-US" w:eastAsia="zh-CN" w:bidi="ar-SA"/>
              </w:rPr>
              <w:fldChar w:fldCharType="separate"/>
            </w:r>
            <w:r>
              <w:rPr>
                <w:rFonts w:hint="eastAsia" w:ascii="Times New Roman" w:hAnsi="Times New Roman" w:eastAsia="宋体" w:cs="宋体"/>
                <w:b/>
                <w:color w:val="auto"/>
                <w:kern w:val="2"/>
                <w:sz w:val="18"/>
                <w:szCs w:val="18"/>
                <w:lang w:val="en-US" w:eastAsia="zh-CN" w:bidi="ar-SA"/>
              </w:rPr>
              <w:t>⑦</w:t>
            </w:r>
            <w:r>
              <w:rPr>
                <w:rFonts w:hint="eastAsia" w:ascii="Times New Roman" w:hAnsi="Times New Roman" w:eastAsia="宋体" w:cs="Times New Roman"/>
                <w:b/>
                <w:snapToGrid w:val="0"/>
                <w:color w:val="auto"/>
                <w:spacing w:val="-6"/>
                <w:kern w:val="21"/>
                <w:sz w:val="18"/>
                <w:szCs w:val="18"/>
                <w:lang w:val="en-US" w:eastAsia="zh-CN" w:bidi="ar-SA"/>
              </w:rPr>
              <w:fldChar w:fldCharType="end"/>
            </w:r>
          </w:p>
        </w:tc>
      </w:tr>
      <w:tr w14:paraId="078BC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218" w:type="pct"/>
            <w:vMerge w:val="restart"/>
            <w:vAlign w:val="center"/>
          </w:tcPr>
          <w:p w14:paraId="73101A5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废气</w:t>
            </w:r>
          </w:p>
        </w:tc>
        <w:tc>
          <w:tcPr>
            <w:tcW w:w="266" w:type="pct"/>
            <w:vMerge w:val="restart"/>
            <w:vAlign w:val="center"/>
          </w:tcPr>
          <w:p w14:paraId="78CAD4F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有组织</w:t>
            </w:r>
          </w:p>
        </w:tc>
        <w:tc>
          <w:tcPr>
            <w:tcW w:w="699" w:type="pct"/>
            <w:vAlign w:val="center"/>
          </w:tcPr>
          <w:p w14:paraId="1979B5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highlight w:val="none"/>
                <w:lang w:val="en-US" w:eastAsia="zh-CN"/>
              </w:rPr>
              <w:t>VOCs（</w:t>
            </w:r>
            <w:r>
              <w:rPr>
                <w:rFonts w:hint="eastAsia" w:cs="Times New Roman" w:eastAsiaTheme="minorEastAsia"/>
                <w:color w:val="auto"/>
                <w:kern w:val="0"/>
                <w:sz w:val="18"/>
                <w:szCs w:val="18"/>
                <w:lang w:eastAsia="zh-CN"/>
              </w:rPr>
              <w:t>非甲烷总烃</w:t>
            </w:r>
            <w:r>
              <w:rPr>
                <w:rFonts w:hint="eastAsia" w:cs="Times New Roman"/>
                <w:color w:val="auto"/>
                <w:sz w:val="18"/>
                <w:szCs w:val="18"/>
                <w:highlight w:val="none"/>
                <w:lang w:val="en-US" w:eastAsia="zh-CN"/>
              </w:rPr>
              <w:t>）</w:t>
            </w:r>
          </w:p>
        </w:tc>
        <w:tc>
          <w:tcPr>
            <w:tcW w:w="506" w:type="pct"/>
            <w:vAlign w:val="center"/>
          </w:tcPr>
          <w:p w14:paraId="0502BB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52459E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328C6D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7638CE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0"/>
                <w:sz w:val="18"/>
                <w:szCs w:val="18"/>
                <w:lang w:val="en-US" w:eastAsia="zh-CN" w:bidi="ar"/>
              </w:rPr>
              <w:t>0.018</w:t>
            </w:r>
          </w:p>
        </w:tc>
        <w:tc>
          <w:tcPr>
            <w:tcW w:w="625" w:type="pct"/>
            <w:vAlign w:val="center"/>
          </w:tcPr>
          <w:p w14:paraId="7ABB5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3A461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i w:val="0"/>
                <w:iCs w:val="0"/>
                <w:color w:val="auto"/>
                <w:kern w:val="0"/>
                <w:sz w:val="18"/>
                <w:szCs w:val="18"/>
                <w:u w:val="none"/>
                <w:lang w:val="en-US" w:eastAsia="zh-CN" w:bidi="ar-SA"/>
              </w:rPr>
            </w:pPr>
            <w:r>
              <w:rPr>
                <w:rFonts w:hint="eastAsia" w:ascii="Times New Roman" w:hAnsi="Times New Roman" w:eastAsia="宋体" w:cs="Times New Roman"/>
                <w:color w:val="auto"/>
                <w:kern w:val="0"/>
                <w:sz w:val="18"/>
                <w:szCs w:val="18"/>
                <w:lang w:val="en-US" w:eastAsia="zh-CN" w:bidi="ar"/>
              </w:rPr>
              <w:t>0.018</w:t>
            </w:r>
          </w:p>
        </w:tc>
        <w:tc>
          <w:tcPr>
            <w:tcW w:w="449" w:type="pct"/>
            <w:vAlign w:val="center"/>
          </w:tcPr>
          <w:p w14:paraId="7018E8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宋体"/>
                <w:i w:val="0"/>
                <w:iCs w:val="0"/>
                <w:color w:val="auto"/>
                <w:kern w:val="0"/>
                <w:sz w:val="18"/>
                <w:szCs w:val="18"/>
                <w:u w:val="none"/>
                <w:lang w:val="en-US" w:eastAsia="zh-CN" w:bidi="ar-SA"/>
              </w:rPr>
            </w:pPr>
            <w:r>
              <w:rPr>
                <w:rFonts w:hint="eastAsia" w:ascii="Times New Roman" w:hAnsi="Times New Roman" w:eastAsia="宋体" w:cs="Times New Roman"/>
                <w:color w:val="auto"/>
                <w:kern w:val="0"/>
                <w:sz w:val="18"/>
                <w:szCs w:val="18"/>
                <w:lang w:val="en-US" w:eastAsia="zh-CN" w:bidi="ar"/>
              </w:rPr>
              <w:t>+0.018</w:t>
            </w:r>
          </w:p>
        </w:tc>
      </w:tr>
      <w:tr w14:paraId="2773F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218" w:type="pct"/>
            <w:vMerge w:val="continue"/>
            <w:vAlign w:val="center"/>
          </w:tcPr>
          <w:p w14:paraId="112BBEA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00E243D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149887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18"/>
                <w:szCs w:val="18"/>
                <w:lang w:eastAsia="zh-CN"/>
              </w:rPr>
            </w:pPr>
            <w:r>
              <w:rPr>
                <w:rFonts w:hint="eastAsia" w:ascii="Times New Roman" w:hAnsi="Times New Roman" w:eastAsia="宋体" w:cs="Times New Roman"/>
                <w:color w:val="auto"/>
                <w:sz w:val="18"/>
                <w:szCs w:val="18"/>
                <w:highlight w:val="none"/>
                <w:lang w:val="en-US" w:eastAsia="zh-CN"/>
              </w:rPr>
              <w:t>油烟</w:t>
            </w:r>
          </w:p>
        </w:tc>
        <w:tc>
          <w:tcPr>
            <w:tcW w:w="506" w:type="pct"/>
            <w:vAlign w:val="center"/>
          </w:tcPr>
          <w:p w14:paraId="161E47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0"/>
                <w:sz w:val="18"/>
                <w:szCs w:val="18"/>
                <w:highlight w:val="none"/>
              </w:rPr>
              <w:t>0.0118</w:t>
            </w:r>
          </w:p>
        </w:tc>
        <w:tc>
          <w:tcPr>
            <w:tcW w:w="447" w:type="pct"/>
            <w:vAlign w:val="center"/>
          </w:tcPr>
          <w:p w14:paraId="6AD6EF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0"/>
                <w:sz w:val="18"/>
                <w:szCs w:val="18"/>
                <w:highlight w:val="none"/>
              </w:rPr>
              <w:t>0.0118</w:t>
            </w:r>
          </w:p>
        </w:tc>
        <w:tc>
          <w:tcPr>
            <w:tcW w:w="602" w:type="pct"/>
            <w:vAlign w:val="center"/>
          </w:tcPr>
          <w:p w14:paraId="6B8872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69EA64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625" w:type="pct"/>
            <w:vAlign w:val="center"/>
          </w:tcPr>
          <w:p w14:paraId="197BBD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0B9A91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highlight w:val="none"/>
              </w:rPr>
              <w:t>0.0118</w:t>
            </w:r>
          </w:p>
        </w:tc>
        <w:tc>
          <w:tcPr>
            <w:tcW w:w="449" w:type="pct"/>
            <w:vAlign w:val="center"/>
          </w:tcPr>
          <w:p w14:paraId="184D6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highlight w:val="none"/>
                <w:lang w:val="en-US" w:eastAsia="zh-CN"/>
              </w:rPr>
              <w:t>+0</w:t>
            </w:r>
          </w:p>
        </w:tc>
      </w:tr>
      <w:tr w14:paraId="3E34D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218" w:type="pct"/>
            <w:vMerge w:val="continue"/>
            <w:vAlign w:val="center"/>
          </w:tcPr>
          <w:p w14:paraId="59B732B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1CEE3CD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061BD3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18"/>
                <w:szCs w:val="18"/>
                <w:lang w:eastAsia="zh-CN"/>
              </w:rPr>
            </w:pPr>
            <w:r>
              <w:rPr>
                <w:rFonts w:hint="eastAsia" w:ascii="Times New Roman" w:hAnsi="Times New Roman" w:eastAsia="宋体" w:cs="Times New Roman"/>
                <w:color w:val="auto"/>
                <w:sz w:val="18"/>
                <w:szCs w:val="18"/>
                <w:highlight w:val="none"/>
                <w:lang w:val="en-US" w:eastAsia="zh-CN"/>
              </w:rPr>
              <w:t>二氧化硫</w:t>
            </w:r>
          </w:p>
        </w:tc>
        <w:tc>
          <w:tcPr>
            <w:tcW w:w="506" w:type="pct"/>
            <w:vAlign w:val="center"/>
          </w:tcPr>
          <w:p w14:paraId="18F068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0"/>
                <w:sz w:val="18"/>
                <w:szCs w:val="18"/>
                <w:highlight w:val="none"/>
                <w:lang w:val="en-US" w:eastAsia="zh-CN"/>
              </w:rPr>
              <w:t>0.138</w:t>
            </w:r>
          </w:p>
        </w:tc>
        <w:tc>
          <w:tcPr>
            <w:tcW w:w="447" w:type="pct"/>
            <w:vAlign w:val="center"/>
          </w:tcPr>
          <w:p w14:paraId="203A5F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0"/>
                <w:sz w:val="18"/>
                <w:szCs w:val="18"/>
                <w:highlight w:val="none"/>
                <w:lang w:val="en-US" w:eastAsia="zh-CN"/>
              </w:rPr>
              <w:t>0.138</w:t>
            </w:r>
          </w:p>
        </w:tc>
        <w:tc>
          <w:tcPr>
            <w:tcW w:w="602" w:type="pct"/>
            <w:vAlign w:val="center"/>
          </w:tcPr>
          <w:p w14:paraId="177875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44ADFE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625" w:type="pct"/>
            <w:vAlign w:val="center"/>
          </w:tcPr>
          <w:p w14:paraId="7607CE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6D4177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highlight w:val="none"/>
                <w:lang w:val="en-US" w:eastAsia="zh-CN"/>
              </w:rPr>
              <w:t>0.138</w:t>
            </w:r>
          </w:p>
        </w:tc>
        <w:tc>
          <w:tcPr>
            <w:tcW w:w="449" w:type="pct"/>
            <w:vAlign w:val="center"/>
          </w:tcPr>
          <w:p w14:paraId="329E19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highlight w:val="none"/>
                <w:lang w:val="en-US" w:eastAsia="zh-CN"/>
              </w:rPr>
              <w:t>+0</w:t>
            </w:r>
          </w:p>
        </w:tc>
      </w:tr>
      <w:tr w14:paraId="4DD95A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18" w:type="pct"/>
            <w:vMerge w:val="continue"/>
            <w:vAlign w:val="center"/>
          </w:tcPr>
          <w:p w14:paraId="16AFC7B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6AD111A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5E2CF9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18"/>
                <w:szCs w:val="18"/>
                <w:lang w:eastAsia="zh-CN"/>
              </w:rPr>
            </w:pPr>
            <w:r>
              <w:rPr>
                <w:rFonts w:hint="eastAsia" w:cs="Times New Roman"/>
                <w:color w:val="auto"/>
                <w:sz w:val="18"/>
                <w:szCs w:val="18"/>
                <w:highlight w:val="none"/>
                <w:lang w:val="en-US" w:eastAsia="zh-CN"/>
              </w:rPr>
              <w:t>氮氧化物</w:t>
            </w:r>
          </w:p>
        </w:tc>
        <w:tc>
          <w:tcPr>
            <w:tcW w:w="506" w:type="pct"/>
            <w:vAlign w:val="center"/>
          </w:tcPr>
          <w:p w14:paraId="58AF31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sz w:val="18"/>
                <w:szCs w:val="18"/>
                <w:highlight w:val="none"/>
                <w:lang w:val="en-US" w:eastAsia="zh-CN"/>
              </w:rPr>
              <w:t>0.046</w:t>
            </w:r>
          </w:p>
        </w:tc>
        <w:tc>
          <w:tcPr>
            <w:tcW w:w="447" w:type="pct"/>
            <w:vAlign w:val="center"/>
          </w:tcPr>
          <w:p w14:paraId="74227F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sz w:val="18"/>
                <w:szCs w:val="18"/>
                <w:highlight w:val="none"/>
                <w:lang w:val="en-US" w:eastAsia="zh-CN"/>
              </w:rPr>
              <w:t>0.046</w:t>
            </w:r>
          </w:p>
        </w:tc>
        <w:tc>
          <w:tcPr>
            <w:tcW w:w="602" w:type="pct"/>
            <w:vAlign w:val="center"/>
          </w:tcPr>
          <w:p w14:paraId="73D94A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547C95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625" w:type="pct"/>
            <w:vAlign w:val="center"/>
          </w:tcPr>
          <w:p w14:paraId="64B4F7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1A5A62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cs="Times New Roman"/>
                <w:color w:val="auto"/>
                <w:sz w:val="18"/>
                <w:szCs w:val="18"/>
                <w:highlight w:val="none"/>
                <w:lang w:val="en-US" w:eastAsia="zh-CN"/>
              </w:rPr>
              <w:t>0.046</w:t>
            </w:r>
          </w:p>
        </w:tc>
        <w:tc>
          <w:tcPr>
            <w:tcW w:w="449" w:type="pct"/>
            <w:vAlign w:val="center"/>
          </w:tcPr>
          <w:p w14:paraId="5A80CD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highlight w:val="none"/>
                <w:lang w:val="en-US" w:eastAsia="zh-CN"/>
              </w:rPr>
              <w:t>+0</w:t>
            </w:r>
          </w:p>
        </w:tc>
      </w:tr>
      <w:tr w14:paraId="608BE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218" w:type="pct"/>
            <w:vMerge w:val="continue"/>
            <w:vAlign w:val="center"/>
          </w:tcPr>
          <w:p w14:paraId="0E07895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18D4FB8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4824CB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sz w:val="18"/>
                <w:szCs w:val="18"/>
                <w:lang w:eastAsia="zh-CN"/>
              </w:rPr>
            </w:pPr>
            <w:r>
              <w:rPr>
                <w:rFonts w:hint="eastAsia" w:ascii="Times New Roman" w:hAnsi="Times New Roman" w:eastAsia="宋体" w:cs="Times New Roman"/>
                <w:color w:val="auto"/>
                <w:sz w:val="18"/>
                <w:szCs w:val="18"/>
                <w:highlight w:val="none"/>
                <w:lang w:val="en-US" w:eastAsia="zh-CN"/>
              </w:rPr>
              <w:t>烟尘</w:t>
            </w:r>
          </w:p>
        </w:tc>
        <w:tc>
          <w:tcPr>
            <w:tcW w:w="506" w:type="pct"/>
            <w:vAlign w:val="center"/>
          </w:tcPr>
          <w:p w14:paraId="43971D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ascii="Times New Roman" w:hAnsi="Times New Roman" w:eastAsia="宋体" w:cs="Times New Roman"/>
                <w:color w:val="auto"/>
                <w:sz w:val="18"/>
                <w:szCs w:val="18"/>
                <w:highlight w:val="none"/>
                <w:lang w:val="en-US" w:eastAsia="zh-CN"/>
              </w:rPr>
              <w:t>0.108</w:t>
            </w:r>
          </w:p>
        </w:tc>
        <w:tc>
          <w:tcPr>
            <w:tcW w:w="447" w:type="pct"/>
            <w:vAlign w:val="center"/>
          </w:tcPr>
          <w:p w14:paraId="764FA3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ascii="Times New Roman" w:hAnsi="Times New Roman" w:eastAsia="宋体" w:cs="Times New Roman"/>
                <w:color w:val="auto"/>
                <w:sz w:val="18"/>
                <w:szCs w:val="18"/>
                <w:highlight w:val="none"/>
                <w:lang w:val="en-US" w:eastAsia="zh-CN"/>
              </w:rPr>
              <w:t>0.108</w:t>
            </w:r>
          </w:p>
        </w:tc>
        <w:tc>
          <w:tcPr>
            <w:tcW w:w="602" w:type="pct"/>
            <w:vAlign w:val="center"/>
          </w:tcPr>
          <w:p w14:paraId="0DF970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7E9F2E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625" w:type="pct"/>
            <w:vAlign w:val="center"/>
          </w:tcPr>
          <w:p w14:paraId="2213C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778235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sz w:val="18"/>
                <w:szCs w:val="18"/>
                <w:highlight w:val="none"/>
                <w:lang w:val="en-US" w:eastAsia="zh-CN"/>
              </w:rPr>
              <w:t>0.108</w:t>
            </w:r>
          </w:p>
        </w:tc>
        <w:tc>
          <w:tcPr>
            <w:tcW w:w="449" w:type="pct"/>
            <w:vAlign w:val="center"/>
          </w:tcPr>
          <w:p w14:paraId="28B9E0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highlight w:val="none"/>
                <w:lang w:val="en-US" w:eastAsia="zh-CN"/>
              </w:rPr>
              <w:t>+0</w:t>
            </w:r>
          </w:p>
        </w:tc>
      </w:tr>
      <w:tr w14:paraId="122A6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18" w:type="pct"/>
            <w:vMerge w:val="continue"/>
            <w:vAlign w:val="center"/>
          </w:tcPr>
          <w:p w14:paraId="7D017B8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restart"/>
            <w:vAlign w:val="center"/>
          </w:tcPr>
          <w:p w14:paraId="03EECE8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无组织</w:t>
            </w:r>
          </w:p>
        </w:tc>
        <w:tc>
          <w:tcPr>
            <w:tcW w:w="699" w:type="pct"/>
            <w:vAlign w:val="center"/>
          </w:tcPr>
          <w:p w14:paraId="7FF6E3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highlight w:val="none"/>
                <w:lang w:val="en-US" w:eastAsia="zh-CN"/>
              </w:rPr>
              <w:t>VOCs（</w:t>
            </w:r>
            <w:r>
              <w:rPr>
                <w:rFonts w:hint="eastAsia" w:cs="Times New Roman" w:eastAsiaTheme="minorEastAsia"/>
                <w:color w:val="auto"/>
                <w:kern w:val="0"/>
                <w:sz w:val="18"/>
                <w:szCs w:val="18"/>
                <w:lang w:eastAsia="zh-CN"/>
              </w:rPr>
              <w:t>非甲烷总烃</w:t>
            </w:r>
            <w:r>
              <w:rPr>
                <w:rFonts w:hint="eastAsia" w:cs="Times New Roman"/>
                <w:color w:val="auto"/>
                <w:sz w:val="18"/>
                <w:szCs w:val="18"/>
                <w:highlight w:val="none"/>
                <w:lang w:val="en-US" w:eastAsia="zh-CN"/>
              </w:rPr>
              <w:t>）</w:t>
            </w:r>
          </w:p>
        </w:tc>
        <w:tc>
          <w:tcPr>
            <w:tcW w:w="506" w:type="pct"/>
            <w:vAlign w:val="center"/>
          </w:tcPr>
          <w:p w14:paraId="5561CF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0.00095</w:t>
            </w:r>
          </w:p>
        </w:tc>
        <w:tc>
          <w:tcPr>
            <w:tcW w:w="447" w:type="pct"/>
            <w:vAlign w:val="center"/>
          </w:tcPr>
          <w:p w14:paraId="264172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0.00095</w:t>
            </w:r>
          </w:p>
        </w:tc>
        <w:tc>
          <w:tcPr>
            <w:tcW w:w="602" w:type="pct"/>
            <w:vAlign w:val="center"/>
          </w:tcPr>
          <w:p w14:paraId="5B6981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5FF33E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0.009</w:t>
            </w:r>
          </w:p>
        </w:tc>
        <w:tc>
          <w:tcPr>
            <w:tcW w:w="625" w:type="pct"/>
            <w:vAlign w:val="center"/>
          </w:tcPr>
          <w:p w14:paraId="037F21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27A5C3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auto"/>
                <w:kern w:val="0"/>
                <w:sz w:val="18"/>
                <w:szCs w:val="18"/>
                <w:lang w:val="en-US" w:eastAsia="zh-CN"/>
              </w:rPr>
            </w:pPr>
            <w:r>
              <w:rPr>
                <w:rFonts w:hint="default" w:cs="Times New Roman"/>
                <w:color w:val="auto"/>
                <w:kern w:val="0"/>
                <w:sz w:val="18"/>
                <w:szCs w:val="18"/>
                <w:highlight w:val="none"/>
                <w:lang w:val="en-US" w:eastAsia="zh-CN"/>
              </w:rPr>
              <w:t>0.00995</w:t>
            </w:r>
          </w:p>
        </w:tc>
        <w:tc>
          <w:tcPr>
            <w:tcW w:w="449" w:type="pct"/>
            <w:vAlign w:val="center"/>
          </w:tcPr>
          <w:p w14:paraId="426C84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bidi="ar"/>
              </w:rPr>
              <w:t>+0.009</w:t>
            </w:r>
          </w:p>
        </w:tc>
      </w:tr>
      <w:tr w14:paraId="544A34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18" w:type="pct"/>
            <w:vMerge w:val="continue"/>
            <w:vAlign w:val="center"/>
          </w:tcPr>
          <w:p w14:paraId="32BC0D8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13E8592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1902CE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sz w:val="18"/>
                <w:szCs w:val="18"/>
                <w:highlight w:val="none"/>
                <w:lang w:val="en-US" w:eastAsia="zh-CN"/>
              </w:rPr>
              <w:t>氨</w:t>
            </w:r>
          </w:p>
        </w:tc>
        <w:tc>
          <w:tcPr>
            <w:tcW w:w="506" w:type="pct"/>
            <w:vAlign w:val="center"/>
          </w:tcPr>
          <w:p w14:paraId="04552A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0.010546</w:t>
            </w:r>
          </w:p>
        </w:tc>
        <w:tc>
          <w:tcPr>
            <w:tcW w:w="447" w:type="pct"/>
            <w:vAlign w:val="center"/>
          </w:tcPr>
          <w:p w14:paraId="2660DA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0.010546</w:t>
            </w:r>
          </w:p>
        </w:tc>
        <w:tc>
          <w:tcPr>
            <w:tcW w:w="602" w:type="pct"/>
            <w:vAlign w:val="center"/>
          </w:tcPr>
          <w:p w14:paraId="456E77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668F01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625" w:type="pct"/>
            <w:vAlign w:val="center"/>
          </w:tcPr>
          <w:p w14:paraId="119671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4B93DA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0.010546</w:t>
            </w:r>
          </w:p>
        </w:tc>
        <w:tc>
          <w:tcPr>
            <w:tcW w:w="449" w:type="pct"/>
            <w:vAlign w:val="center"/>
          </w:tcPr>
          <w:p w14:paraId="61AE98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r>
      <w:tr w14:paraId="41C46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218" w:type="pct"/>
            <w:vMerge w:val="continue"/>
            <w:vAlign w:val="center"/>
          </w:tcPr>
          <w:p w14:paraId="38E0EC5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6A87F82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7DAF547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sz w:val="18"/>
                <w:szCs w:val="18"/>
                <w:highlight w:val="none"/>
                <w:lang w:val="en-US" w:eastAsia="zh-CN"/>
              </w:rPr>
              <w:t>硫化氢</w:t>
            </w:r>
          </w:p>
        </w:tc>
        <w:tc>
          <w:tcPr>
            <w:tcW w:w="506" w:type="pct"/>
            <w:vAlign w:val="center"/>
          </w:tcPr>
          <w:p w14:paraId="1B4069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0.0010212</w:t>
            </w:r>
          </w:p>
        </w:tc>
        <w:tc>
          <w:tcPr>
            <w:tcW w:w="447" w:type="pct"/>
            <w:vAlign w:val="center"/>
          </w:tcPr>
          <w:p w14:paraId="13B459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0.0010212</w:t>
            </w:r>
          </w:p>
        </w:tc>
        <w:tc>
          <w:tcPr>
            <w:tcW w:w="602" w:type="pct"/>
            <w:vAlign w:val="center"/>
          </w:tcPr>
          <w:p w14:paraId="7D208F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1F634C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625" w:type="pct"/>
            <w:vAlign w:val="center"/>
          </w:tcPr>
          <w:p w14:paraId="67F740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6AB51B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0.0010212</w:t>
            </w:r>
          </w:p>
        </w:tc>
        <w:tc>
          <w:tcPr>
            <w:tcW w:w="449" w:type="pct"/>
            <w:vAlign w:val="center"/>
          </w:tcPr>
          <w:p w14:paraId="563ECF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r>
      <w:tr w14:paraId="3A9CD4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restart"/>
            <w:vAlign w:val="center"/>
          </w:tcPr>
          <w:p w14:paraId="7C8842E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废水</w:t>
            </w:r>
          </w:p>
        </w:tc>
        <w:tc>
          <w:tcPr>
            <w:tcW w:w="266" w:type="pct"/>
            <w:vMerge w:val="restart"/>
            <w:vAlign w:val="center"/>
          </w:tcPr>
          <w:p w14:paraId="18A78015">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综合废水</w:t>
            </w:r>
          </w:p>
        </w:tc>
        <w:tc>
          <w:tcPr>
            <w:tcW w:w="699" w:type="pct"/>
            <w:vAlign w:val="center"/>
          </w:tcPr>
          <w:p w14:paraId="335002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废水量（</w:t>
            </w:r>
            <w:r>
              <w:rPr>
                <w:rFonts w:hint="eastAsia" w:cs="Times New Roman" w:eastAsiaTheme="minorEastAsia"/>
                <w:color w:val="auto"/>
                <w:sz w:val="18"/>
                <w:szCs w:val="18"/>
                <w:lang w:val="en-US" w:eastAsia="zh-CN"/>
              </w:rPr>
              <w:t>t</w:t>
            </w:r>
            <w:r>
              <w:rPr>
                <w:rFonts w:hint="default" w:ascii="Times New Roman" w:hAnsi="Times New Roman" w:cs="Times New Roman" w:eastAsiaTheme="minorEastAsia"/>
                <w:color w:val="auto"/>
                <w:sz w:val="18"/>
                <w:szCs w:val="18"/>
              </w:rPr>
              <w:t>/a</w:t>
            </w:r>
            <w:r>
              <w:rPr>
                <w:rFonts w:hint="eastAsia" w:ascii="Times New Roman" w:hAnsi="Times New Roman" w:eastAsia="宋体" w:cs="Times New Roman"/>
                <w:color w:val="auto"/>
                <w:kern w:val="2"/>
                <w:sz w:val="18"/>
                <w:szCs w:val="18"/>
                <w:lang w:val="en-US" w:eastAsia="zh-CN" w:bidi="ar-SA"/>
              </w:rPr>
              <w:t>）</w:t>
            </w:r>
          </w:p>
        </w:tc>
        <w:tc>
          <w:tcPr>
            <w:tcW w:w="506" w:type="pct"/>
            <w:vAlign w:val="center"/>
          </w:tcPr>
          <w:p w14:paraId="47D4B5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01489B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57D24C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44CE0A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1383.3</w:t>
            </w:r>
          </w:p>
        </w:tc>
        <w:tc>
          <w:tcPr>
            <w:tcW w:w="625" w:type="pct"/>
            <w:vAlign w:val="center"/>
          </w:tcPr>
          <w:p w14:paraId="502716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5DCF8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1383.3</w:t>
            </w:r>
          </w:p>
        </w:tc>
        <w:tc>
          <w:tcPr>
            <w:tcW w:w="449" w:type="pct"/>
            <w:vAlign w:val="center"/>
          </w:tcPr>
          <w:p w14:paraId="773C39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+1383.3</w:t>
            </w:r>
          </w:p>
        </w:tc>
      </w:tr>
      <w:tr w14:paraId="207D88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7458C50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7F1C5C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6CEEAE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pH</w:t>
            </w:r>
          </w:p>
        </w:tc>
        <w:tc>
          <w:tcPr>
            <w:tcW w:w="506" w:type="pct"/>
            <w:vAlign w:val="center"/>
          </w:tcPr>
          <w:p w14:paraId="3256B1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1F4919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42A3B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78307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625" w:type="pct"/>
            <w:vAlign w:val="center"/>
          </w:tcPr>
          <w:p w14:paraId="74CC10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44C19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c>
          <w:tcPr>
            <w:tcW w:w="449" w:type="pct"/>
            <w:vAlign w:val="center"/>
          </w:tcPr>
          <w:p w14:paraId="5419DC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r>
      <w:tr w14:paraId="02EFCC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0A231D7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3FA76C9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478D06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COD</w:t>
            </w:r>
          </w:p>
        </w:tc>
        <w:tc>
          <w:tcPr>
            <w:tcW w:w="506" w:type="pct"/>
            <w:vAlign w:val="center"/>
          </w:tcPr>
          <w:p w14:paraId="3CCE38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50.862</w:t>
            </w:r>
          </w:p>
        </w:tc>
        <w:tc>
          <w:tcPr>
            <w:tcW w:w="447" w:type="pct"/>
            <w:vAlign w:val="center"/>
          </w:tcPr>
          <w:p w14:paraId="2698B5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50.862</w:t>
            </w:r>
          </w:p>
        </w:tc>
        <w:tc>
          <w:tcPr>
            <w:tcW w:w="602" w:type="pct"/>
            <w:vAlign w:val="center"/>
          </w:tcPr>
          <w:p w14:paraId="0113B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5B2D6D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0.23</w:t>
            </w:r>
            <w:r>
              <w:rPr>
                <w:rFonts w:hint="eastAsia" w:ascii="Times New Roman" w:hAnsi="Times New Roman" w:eastAsia="宋体" w:cs="Times New Roman"/>
                <w:color w:val="auto"/>
                <w:kern w:val="0"/>
                <w:sz w:val="18"/>
                <w:szCs w:val="18"/>
                <w:lang w:val="en-US" w:eastAsia="zh-CN" w:bidi="ar"/>
              </w:rPr>
              <w:t>7</w:t>
            </w:r>
          </w:p>
        </w:tc>
        <w:tc>
          <w:tcPr>
            <w:tcW w:w="625" w:type="pct"/>
            <w:vAlign w:val="center"/>
          </w:tcPr>
          <w:p w14:paraId="6FC540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207FA9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0"/>
                <w:sz w:val="18"/>
                <w:szCs w:val="18"/>
                <w:highlight w:val="none"/>
                <w:lang w:val="en-US" w:eastAsia="zh-CN"/>
              </w:rPr>
              <w:t>51.099</w:t>
            </w:r>
          </w:p>
        </w:tc>
        <w:tc>
          <w:tcPr>
            <w:tcW w:w="449" w:type="pct"/>
            <w:vAlign w:val="center"/>
          </w:tcPr>
          <w:p w14:paraId="75CD8E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0.23</w:t>
            </w:r>
            <w:r>
              <w:rPr>
                <w:rFonts w:hint="eastAsia" w:ascii="Times New Roman" w:hAnsi="Times New Roman" w:eastAsia="宋体" w:cs="Times New Roman"/>
                <w:color w:val="auto"/>
                <w:kern w:val="0"/>
                <w:sz w:val="18"/>
                <w:szCs w:val="18"/>
                <w:lang w:val="en-US" w:eastAsia="zh-CN" w:bidi="ar"/>
              </w:rPr>
              <w:t>7</w:t>
            </w:r>
          </w:p>
        </w:tc>
      </w:tr>
      <w:tr w14:paraId="39BA9A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0358FAE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00645C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6BE423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BOD</w:t>
            </w:r>
            <w:r>
              <w:rPr>
                <w:rFonts w:hint="default" w:ascii="Times New Roman" w:hAnsi="Times New Roman" w:cs="Times New Roman" w:eastAsiaTheme="minorEastAsia"/>
                <w:color w:val="auto"/>
                <w:sz w:val="18"/>
                <w:szCs w:val="18"/>
                <w:vertAlign w:val="subscript"/>
                <w:lang w:val="en-US" w:eastAsia="zh-CN"/>
              </w:rPr>
              <w:t>5</w:t>
            </w:r>
          </w:p>
        </w:tc>
        <w:tc>
          <w:tcPr>
            <w:tcW w:w="506" w:type="pct"/>
            <w:vAlign w:val="center"/>
          </w:tcPr>
          <w:p w14:paraId="10157C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0.282</w:t>
            </w:r>
          </w:p>
        </w:tc>
        <w:tc>
          <w:tcPr>
            <w:tcW w:w="447" w:type="pct"/>
            <w:vAlign w:val="center"/>
          </w:tcPr>
          <w:p w14:paraId="4378BC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0.282</w:t>
            </w:r>
          </w:p>
        </w:tc>
        <w:tc>
          <w:tcPr>
            <w:tcW w:w="602" w:type="pct"/>
            <w:vAlign w:val="center"/>
          </w:tcPr>
          <w:p w14:paraId="505C5C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11FD9A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0.026</w:t>
            </w:r>
          </w:p>
        </w:tc>
        <w:tc>
          <w:tcPr>
            <w:tcW w:w="625" w:type="pct"/>
            <w:vAlign w:val="center"/>
          </w:tcPr>
          <w:p w14:paraId="2A2CCB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3205EA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0"/>
                <w:sz w:val="18"/>
                <w:szCs w:val="18"/>
                <w:highlight w:val="none"/>
                <w:lang w:val="en-US" w:eastAsia="zh-CN"/>
              </w:rPr>
              <w:t>0.308</w:t>
            </w:r>
          </w:p>
        </w:tc>
        <w:tc>
          <w:tcPr>
            <w:tcW w:w="449" w:type="pct"/>
            <w:vAlign w:val="center"/>
          </w:tcPr>
          <w:p w14:paraId="0263A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0.026</w:t>
            </w:r>
          </w:p>
        </w:tc>
      </w:tr>
      <w:tr w14:paraId="6BA18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141F41B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183CF69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6E51B0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SS</w:t>
            </w:r>
          </w:p>
        </w:tc>
        <w:tc>
          <w:tcPr>
            <w:tcW w:w="506" w:type="pct"/>
            <w:vAlign w:val="center"/>
          </w:tcPr>
          <w:p w14:paraId="7C2488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33.5104</w:t>
            </w:r>
          </w:p>
        </w:tc>
        <w:tc>
          <w:tcPr>
            <w:tcW w:w="447" w:type="pct"/>
            <w:vAlign w:val="center"/>
          </w:tcPr>
          <w:p w14:paraId="669A5D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33.5104</w:t>
            </w:r>
          </w:p>
        </w:tc>
        <w:tc>
          <w:tcPr>
            <w:tcW w:w="602" w:type="pct"/>
            <w:vAlign w:val="center"/>
          </w:tcPr>
          <w:p w14:paraId="0DBD2A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0C9F05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0.15</w:t>
            </w:r>
            <w:r>
              <w:rPr>
                <w:rFonts w:hint="eastAsia" w:ascii="Times New Roman" w:hAnsi="Times New Roman" w:eastAsia="宋体" w:cs="Times New Roman"/>
                <w:color w:val="auto"/>
                <w:kern w:val="0"/>
                <w:sz w:val="18"/>
                <w:szCs w:val="18"/>
                <w:lang w:val="en-US" w:eastAsia="zh-CN" w:bidi="ar"/>
              </w:rPr>
              <w:t>6</w:t>
            </w:r>
          </w:p>
        </w:tc>
        <w:tc>
          <w:tcPr>
            <w:tcW w:w="625" w:type="pct"/>
            <w:vAlign w:val="center"/>
          </w:tcPr>
          <w:p w14:paraId="6A85F8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7B0FBF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0"/>
                <w:sz w:val="18"/>
                <w:szCs w:val="18"/>
                <w:highlight w:val="none"/>
                <w:lang w:val="en-US" w:eastAsia="zh-CN"/>
              </w:rPr>
              <w:t>33.6664</w:t>
            </w:r>
          </w:p>
        </w:tc>
        <w:tc>
          <w:tcPr>
            <w:tcW w:w="449" w:type="pct"/>
            <w:vAlign w:val="center"/>
          </w:tcPr>
          <w:p w14:paraId="6B4ACA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0.15</w:t>
            </w:r>
            <w:r>
              <w:rPr>
                <w:rFonts w:hint="eastAsia" w:ascii="Times New Roman" w:hAnsi="Times New Roman" w:eastAsia="宋体" w:cs="Times New Roman"/>
                <w:color w:val="auto"/>
                <w:kern w:val="0"/>
                <w:sz w:val="18"/>
                <w:szCs w:val="18"/>
                <w:lang w:val="en-US" w:eastAsia="zh-CN" w:bidi="ar"/>
              </w:rPr>
              <w:t>6</w:t>
            </w:r>
          </w:p>
        </w:tc>
      </w:tr>
      <w:tr w14:paraId="53E95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69C3603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312C1D8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0FD878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动植物油</w:t>
            </w:r>
          </w:p>
        </w:tc>
        <w:tc>
          <w:tcPr>
            <w:tcW w:w="506" w:type="pct"/>
            <w:vAlign w:val="center"/>
          </w:tcPr>
          <w:p w14:paraId="35300B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4.7225</w:t>
            </w:r>
          </w:p>
        </w:tc>
        <w:tc>
          <w:tcPr>
            <w:tcW w:w="447" w:type="pct"/>
            <w:vAlign w:val="center"/>
          </w:tcPr>
          <w:p w14:paraId="509EF3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4.7225</w:t>
            </w:r>
          </w:p>
        </w:tc>
        <w:tc>
          <w:tcPr>
            <w:tcW w:w="602" w:type="pct"/>
            <w:vAlign w:val="center"/>
          </w:tcPr>
          <w:p w14:paraId="67A703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4F7EEB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p>
        </w:tc>
        <w:tc>
          <w:tcPr>
            <w:tcW w:w="625" w:type="pct"/>
            <w:vAlign w:val="center"/>
          </w:tcPr>
          <w:p w14:paraId="5682A3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0D8E2F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sz w:val="18"/>
                <w:szCs w:val="18"/>
                <w:highlight w:val="none"/>
                <w:lang w:val="en-US" w:eastAsia="zh-CN"/>
              </w:rPr>
              <w:t>4.7225</w:t>
            </w:r>
          </w:p>
        </w:tc>
        <w:tc>
          <w:tcPr>
            <w:tcW w:w="449" w:type="pct"/>
            <w:vAlign w:val="center"/>
          </w:tcPr>
          <w:p w14:paraId="699FF5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r>
      <w:tr w14:paraId="490A9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690EE4C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11BC3A2F">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45ECAA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氨氮</w:t>
            </w:r>
          </w:p>
        </w:tc>
        <w:tc>
          <w:tcPr>
            <w:tcW w:w="506" w:type="pct"/>
            <w:vAlign w:val="center"/>
          </w:tcPr>
          <w:p w14:paraId="0ABFD1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7.6552</w:t>
            </w:r>
          </w:p>
        </w:tc>
        <w:tc>
          <w:tcPr>
            <w:tcW w:w="447" w:type="pct"/>
            <w:vAlign w:val="center"/>
          </w:tcPr>
          <w:p w14:paraId="672359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7.6552</w:t>
            </w:r>
          </w:p>
        </w:tc>
        <w:tc>
          <w:tcPr>
            <w:tcW w:w="602" w:type="pct"/>
            <w:vAlign w:val="center"/>
          </w:tcPr>
          <w:p w14:paraId="58BE9B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00CDFB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0.027</w:t>
            </w:r>
          </w:p>
        </w:tc>
        <w:tc>
          <w:tcPr>
            <w:tcW w:w="625" w:type="pct"/>
            <w:vAlign w:val="center"/>
          </w:tcPr>
          <w:p w14:paraId="395C3D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6D4BD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0"/>
                <w:sz w:val="18"/>
                <w:szCs w:val="18"/>
                <w:highlight w:val="none"/>
                <w:lang w:val="en-US" w:eastAsia="zh-CN"/>
              </w:rPr>
              <w:t>7.6822</w:t>
            </w:r>
          </w:p>
        </w:tc>
        <w:tc>
          <w:tcPr>
            <w:tcW w:w="449" w:type="pct"/>
            <w:vAlign w:val="center"/>
          </w:tcPr>
          <w:p w14:paraId="32BFA4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0.027</w:t>
            </w:r>
          </w:p>
        </w:tc>
      </w:tr>
      <w:tr w14:paraId="07850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0A99B38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37B52DC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3FF217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总氮</w:t>
            </w:r>
          </w:p>
        </w:tc>
        <w:tc>
          <w:tcPr>
            <w:tcW w:w="506" w:type="pct"/>
            <w:vAlign w:val="center"/>
          </w:tcPr>
          <w:p w14:paraId="1EFBDB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0.396</w:t>
            </w:r>
          </w:p>
        </w:tc>
        <w:tc>
          <w:tcPr>
            <w:tcW w:w="447" w:type="pct"/>
            <w:vAlign w:val="center"/>
          </w:tcPr>
          <w:p w14:paraId="00B5F7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0.396</w:t>
            </w:r>
          </w:p>
        </w:tc>
        <w:tc>
          <w:tcPr>
            <w:tcW w:w="602" w:type="pct"/>
            <w:vAlign w:val="center"/>
          </w:tcPr>
          <w:p w14:paraId="41776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416E94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0.042</w:t>
            </w:r>
          </w:p>
        </w:tc>
        <w:tc>
          <w:tcPr>
            <w:tcW w:w="625" w:type="pct"/>
            <w:vAlign w:val="center"/>
          </w:tcPr>
          <w:p w14:paraId="53839F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670301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0"/>
                <w:sz w:val="18"/>
                <w:szCs w:val="18"/>
                <w:highlight w:val="none"/>
                <w:lang w:val="en-US" w:eastAsia="zh-CN"/>
              </w:rPr>
              <w:t>0.438</w:t>
            </w:r>
          </w:p>
        </w:tc>
        <w:tc>
          <w:tcPr>
            <w:tcW w:w="449" w:type="pct"/>
            <w:vAlign w:val="center"/>
          </w:tcPr>
          <w:p w14:paraId="529F68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0.042</w:t>
            </w:r>
          </w:p>
        </w:tc>
      </w:tr>
      <w:tr w14:paraId="4CF2F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659850E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41484EF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6F7899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eastAsiaTheme="minorEastAsia"/>
                <w:color w:val="auto"/>
                <w:sz w:val="18"/>
                <w:szCs w:val="18"/>
                <w:lang w:val="en-US" w:eastAsia="zh-CN"/>
              </w:rPr>
              <w:t>总磷</w:t>
            </w:r>
          </w:p>
        </w:tc>
        <w:tc>
          <w:tcPr>
            <w:tcW w:w="506" w:type="pct"/>
            <w:vAlign w:val="center"/>
          </w:tcPr>
          <w:p w14:paraId="49446C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0.0532</w:t>
            </w:r>
          </w:p>
        </w:tc>
        <w:tc>
          <w:tcPr>
            <w:tcW w:w="447" w:type="pct"/>
            <w:vAlign w:val="center"/>
          </w:tcPr>
          <w:p w14:paraId="1F5E61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0.0532</w:t>
            </w:r>
          </w:p>
        </w:tc>
        <w:tc>
          <w:tcPr>
            <w:tcW w:w="602" w:type="pct"/>
            <w:vAlign w:val="center"/>
          </w:tcPr>
          <w:p w14:paraId="083A77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7C782C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0.00</w:t>
            </w:r>
            <w:r>
              <w:rPr>
                <w:rFonts w:hint="eastAsia" w:ascii="Times New Roman" w:hAnsi="Times New Roman" w:eastAsia="宋体" w:cs="Times New Roman"/>
                <w:color w:val="auto"/>
                <w:kern w:val="0"/>
                <w:sz w:val="18"/>
                <w:szCs w:val="18"/>
                <w:lang w:val="en-US" w:eastAsia="zh-CN" w:bidi="ar"/>
              </w:rPr>
              <w:t>5</w:t>
            </w:r>
          </w:p>
        </w:tc>
        <w:tc>
          <w:tcPr>
            <w:tcW w:w="625" w:type="pct"/>
            <w:vAlign w:val="center"/>
          </w:tcPr>
          <w:p w14:paraId="06E93C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207EB8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0"/>
                <w:sz w:val="18"/>
                <w:szCs w:val="18"/>
                <w:highlight w:val="none"/>
                <w:lang w:val="en-US" w:eastAsia="zh-CN"/>
              </w:rPr>
              <w:t>0.0582</w:t>
            </w:r>
          </w:p>
        </w:tc>
        <w:tc>
          <w:tcPr>
            <w:tcW w:w="449" w:type="pct"/>
            <w:vAlign w:val="center"/>
          </w:tcPr>
          <w:p w14:paraId="467BD6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0.00</w:t>
            </w:r>
            <w:r>
              <w:rPr>
                <w:rFonts w:hint="eastAsia" w:ascii="Times New Roman" w:hAnsi="Times New Roman" w:eastAsia="宋体" w:cs="Times New Roman"/>
                <w:color w:val="auto"/>
                <w:kern w:val="0"/>
                <w:sz w:val="18"/>
                <w:szCs w:val="18"/>
                <w:lang w:val="en-US" w:eastAsia="zh-CN" w:bidi="ar"/>
              </w:rPr>
              <w:t>5</w:t>
            </w:r>
          </w:p>
        </w:tc>
      </w:tr>
      <w:tr w14:paraId="4CC06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2A819E1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5D76F23D">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119EF5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LAS</w:t>
            </w:r>
          </w:p>
        </w:tc>
        <w:tc>
          <w:tcPr>
            <w:tcW w:w="506" w:type="pct"/>
            <w:vAlign w:val="center"/>
          </w:tcPr>
          <w:p w14:paraId="2064ED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0.06</w:t>
            </w:r>
          </w:p>
        </w:tc>
        <w:tc>
          <w:tcPr>
            <w:tcW w:w="447" w:type="pct"/>
            <w:vAlign w:val="center"/>
          </w:tcPr>
          <w:p w14:paraId="756EE2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0.06</w:t>
            </w:r>
          </w:p>
        </w:tc>
        <w:tc>
          <w:tcPr>
            <w:tcW w:w="602" w:type="pct"/>
            <w:vAlign w:val="center"/>
          </w:tcPr>
          <w:p w14:paraId="03A235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6927E4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0.002</w:t>
            </w:r>
          </w:p>
        </w:tc>
        <w:tc>
          <w:tcPr>
            <w:tcW w:w="625" w:type="pct"/>
            <w:vAlign w:val="center"/>
          </w:tcPr>
          <w:p w14:paraId="6FC6CD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57151C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0"/>
                <w:sz w:val="18"/>
                <w:szCs w:val="18"/>
                <w:highlight w:val="none"/>
                <w:lang w:val="en-US" w:eastAsia="zh-CN"/>
              </w:rPr>
              <w:t>0.062</w:t>
            </w:r>
          </w:p>
        </w:tc>
        <w:tc>
          <w:tcPr>
            <w:tcW w:w="449" w:type="pct"/>
            <w:vAlign w:val="center"/>
          </w:tcPr>
          <w:p w14:paraId="399DC6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0.002</w:t>
            </w:r>
          </w:p>
        </w:tc>
      </w:tr>
      <w:tr w14:paraId="02F4F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11C6F6D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5058A76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55E556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粪大肠菌群</w:t>
            </w:r>
          </w:p>
        </w:tc>
        <w:tc>
          <w:tcPr>
            <w:tcW w:w="506" w:type="pct"/>
            <w:vAlign w:val="center"/>
          </w:tcPr>
          <w:p w14:paraId="5C5601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447" w:type="pct"/>
            <w:vAlign w:val="center"/>
          </w:tcPr>
          <w:p w14:paraId="12D470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w:t>
            </w:r>
          </w:p>
        </w:tc>
        <w:tc>
          <w:tcPr>
            <w:tcW w:w="602" w:type="pct"/>
            <w:vAlign w:val="center"/>
          </w:tcPr>
          <w:p w14:paraId="10991E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0F4B05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c>
          <w:tcPr>
            <w:tcW w:w="625" w:type="pct"/>
            <w:vAlign w:val="center"/>
          </w:tcPr>
          <w:p w14:paraId="7AE330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4A3873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c>
          <w:tcPr>
            <w:tcW w:w="449" w:type="pct"/>
            <w:vAlign w:val="center"/>
          </w:tcPr>
          <w:p w14:paraId="353B2B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w:t>
            </w:r>
          </w:p>
        </w:tc>
      </w:tr>
      <w:tr w14:paraId="715E7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218" w:type="pct"/>
            <w:vMerge w:val="continue"/>
            <w:vAlign w:val="center"/>
          </w:tcPr>
          <w:p w14:paraId="3D942024">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266" w:type="pct"/>
            <w:vMerge w:val="continue"/>
            <w:vAlign w:val="center"/>
          </w:tcPr>
          <w:p w14:paraId="40B5121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7F641B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auto"/>
                <w:sz w:val="18"/>
                <w:szCs w:val="18"/>
                <w:lang w:val="en-US" w:eastAsia="zh-CN"/>
              </w:rPr>
            </w:pPr>
            <w:r>
              <w:rPr>
                <w:rFonts w:hint="eastAsia" w:eastAsiaTheme="minorEastAsia"/>
                <w:color w:val="auto"/>
                <w:kern w:val="0"/>
                <w:sz w:val="18"/>
                <w:szCs w:val="18"/>
                <w:lang w:val="en-US" w:eastAsia="zh-CN" w:bidi="ar"/>
              </w:rPr>
              <w:t>总余氯</w:t>
            </w:r>
          </w:p>
        </w:tc>
        <w:tc>
          <w:tcPr>
            <w:tcW w:w="506" w:type="pct"/>
            <w:vAlign w:val="center"/>
          </w:tcPr>
          <w:p w14:paraId="29072D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0.023</w:t>
            </w:r>
          </w:p>
        </w:tc>
        <w:tc>
          <w:tcPr>
            <w:tcW w:w="447" w:type="pct"/>
            <w:vAlign w:val="center"/>
          </w:tcPr>
          <w:p w14:paraId="10B5CF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0.023</w:t>
            </w:r>
          </w:p>
        </w:tc>
        <w:tc>
          <w:tcPr>
            <w:tcW w:w="602" w:type="pct"/>
            <w:vAlign w:val="center"/>
          </w:tcPr>
          <w:p w14:paraId="05D0D1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7D5178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25" w:type="pct"/>
            <w:vAlign w:val="center"/>
          </w:tcPr>
          <w:p w14:paraId="2859C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310486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highlight w:val="none"/>
                <w:lang w:val="en-US" w:eastAsia="zh-CN"/>
              </w:rPr>
              <w:t>0.023</w:t>
            </w:r>
          </w:p>
        </w:tc>
        <w:tc>
          <w:tcPr>
            <w:tcW w:w="449" w:type="pct"/>
            <w:vAlign w:val="center"/>
          </w:tcPr>
          <w:p w14:paraId="73EFEE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r>
      <w:tr w14:paraId="7A41C8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84" w:type="pct"/>
            <w:gridSpan w:val="2"/>
            <w:vAlign w:val="center"/>
          </w:tcPr>
          <w:p w14:paraId="0B6B8B60">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一般工业</w:t>
            </w:r>
          </w:p>
          <w:p w14:paraId="1648065A">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固体废物</w:t>
            </w:r>
          </w:p>
        </w:tc>
        <w:tc>
          <w:tcPr>
            <w:tcW w:w="699" w:type="pct"/>
            <w:vAlign w:val="center"/>
          </w:tcPr>
          <w:p w14:paraId="433CB8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废反渗透膜</w:t>
            </w:r>
          </w:p>
        </w:tc>
        <w:tc>
          <w:tcPr>
            <w:tcW w:w="506" w:type="pct"/>
            <w:vAlign w:val="center"/>
          </w:tcPr>
          <w:p w14:paraId="73653A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28A580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1B3829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7619A4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0.05</w:t>
            </w:r>
          </w:p>
        </w:tc>
        <w:tc>
          <w:tcPr>
            <w:tcW w:w="625" w:type="pct"/>
            <w:vAlign w:val="center"/>
          </w:tcPr>
          <w:p w14:paraId="169552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176F9C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Theme="minorEastAsia"/>
                <w:color w:val="auto"/>
                <w:sz w:val="18"/>
                <w:szCs w:val="18"/>
                <w:lang w:val="en-US" w:eastAsia="zh-CN"/>
              </w:rPr>
              <w:t>0.05</w:t>
            </w:r>
          </w:p>
        </w:tc>
        <w:tc>
          <w:tcPr>
            <w:tcW w:w="449" w:type="pct"/>
            <w:vAlign w:val="center"/>
          </w:tcPr>
          <w:p w14:paraId="4064D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+0.05</w:t>
            </w:r>
          </w:p>
        </w:tc>
      </w:tr>
      <w:tr w14:paraId="76F32A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84" w:type="pct"/>
            <w:gridSpan w:val="2"/>
            <w:vMerge w:val="restart"/>
            <w:vAlign w:val="center"/>
          </w:tcPr>
          <w:p w14:paraId="3ADAA56B">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危险废物</w:t>
            </w:r>
          </w:p>
        </w:tc>
        <w:tc>
          <w:tcPr>
            <w:tcW w:w="699" w:type="pct"/>
            <w:vAlign w:val="center"/>
          </w:tcPr>
          <w:p w14:paraId="36904F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（感染性废物）</w:t>
            </w:r>
          </w:p>
        </w:tc>
        <w:tc>
          <w:tcPr>
            <w:tcW w:w="506" w:type="pct"/>
            <w:vAlign w:val="center"/>
          </w:tcPr>
          <w:p w14:paraId="5CB990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13AD93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013197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6241E7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0.5</w:t>
            </w:r>
          </w:p>
        </w:tc>
        <w:tc>
          <w:tcPr>
            <w:tcW w:w="625" w:type="pct"/>
            <w:vAlign w:val="center"/>
          </w:tcPr>
          <w:p w14:paraId="1E74ED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7158F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0.5</w:t>
            </w:r>
          </w:p>
        </w:tc>
        <w:tc>
          <w:tcPr>
            <w:tcW w:w="449" w:type="pct"/>
            <w:vAlign w:val="center"/>
          </w:tcPr>
          <w:p w14:paraId="74D11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0.5</w:t>
            </w:r>
          </w:p>
        </w:tc>
      </w:tr>
      <w:tr w14:paraId="21D8A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84" w:type="pct"/>
            <w:gridSpan w:val="2"/>
            <w:vMerge w:val="continue"/>
            <w:vAlign w:val="center"/>
          </w:tcPr>
          <w:p w14:paraId="33360908">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186D4B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（损伤性废物）</w:t>
            </w:r>
          </w:p>
        </w:tc>
        <w:tc>
          <w:tcPr>
            <w:tcW w:w="506" w:type="pct"/>
            <w:vAlign w:val="center"/>
          </w:tcPr>
          <w:p w14:paraId="171694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178A08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095929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7D47C8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0.3</w:t>
            </w:r>
          </w:p>
        </w:tc>
        <w:tc>
          <w:tcPr>
            <w:tcW w:w="625" w:type="pct"/>
            <w:vAlign w:val="center"/>
          </w:tcPr>
          <w:p w14:paraId="3E9854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48782C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0.3</w:t>
            </w:r>
          </w:p>
        </w:tc>
        <w:tc>
          <w:tcPr>
            <w:tcW w:w="449" w:type="pct"/>
            <w:vAlign w:val="center"/>
          </w:tcPr>
          <w:p w14:paraId="710A3E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0.3</w:t>
            </w:r>
          </w:p>
        </w:tc>
      </w:tr>
      <w:tr w14:paraId="528D86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12" w:hRule="atLeast"/>
        </w:trPr>
        <w:tc>
          <w:tcPr>
            <w:tcW w:w="484" w:type="pct"/>
            <w:gridSpan w:val="2"/>
            <w:vMerge w:val="continue"/>
            <w:vAlign w:val="center"/>
          </w:tcPr>
          <w:p w14:paraId="5AC0300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1A5A33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（病理性废物）</w:t>
            </w:r>
          </w:p>
        </w:tc>
        <w:tc>
          <w:tcPr>
            <w:tcW w:w="506" w:type="pct"/>
            <w:vAlign w:val="center"/>
          </w:tcPr>
          <w:p w14:paraId="3B0049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0C8C42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7D1D7C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31F473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0.15</w:t>
            </w:r>
          </w:p>
        </w:tc>
        <w:tc>
          <w:tcPr>
            <w:tcW w:w="625" w:type="pct"/>
            <w:vAlign w:val="center"/>
          </w:tcPr>
          <w:p w14:paraId="305783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26F1C0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0.15</w:t>
            </w:r>
          </w:p>
        </w:tc>
        <w:tc>
          <w:tcPr>
            <w:tcW w:w="449" w:type="pct"/>
            <w:vAlign w:val="center"/>
          </w:tcPr>
          <w:p w14:paraId="602413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0.15</w:t>
            </w:r>
          </w:p>
        </w:tc>
      </w:tr>
      <w:tr w14:paraId="0286A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84" w:type="pct"/>
            <w:gridSpan w:val="2"/>
            <w:vMerge w:val="continue"/>
            <w:vAlign w:val="center"/>
          </w:tcPr>
          <w:p w14:paraId="15C0F40C">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3D89D0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（化学性废物）</w:t>
            </w:r>
          </w:p>
        </w:tc>
        <w:tc>
          <w:tcPr>
            <w:tcW w:w="506" w:type="pct"/>
            <w:vAlign w:val="center"/>
          </w:tcPr>
          <w:p w14:paraId="7058DE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4CD3F4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5B96F0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1CFEB1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0.01</w:t>
            </w:r>
          </w:p>
        </w:tc>
        <w:tc>
          <w:tcPr>
            <w:tcW w:w="625" w:type="pct"/>
            <w:vAlign w:val="center"/>
          </w:tcPr>
          <w:p w14:paraId="1C048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014E9E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0.01</w:t>
            </w:r>
          </w:p>
        </w:tc>
        <w:tc>
          <w:tcPr>
            <w:tcW w:w="449" w:type="pct"/>
            <w:vAlign w:val="center"/>
          </w:tcPr>
          <w:p w14:paraId="7FE04F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0.01</w:t>
            </w:r>
          </w:p>
        </w:tc>
      </w:tr>
      <w:tr w14:paraId="0D821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84" w:type="pct"/>
            <w:gridSpan w:val="2"/>
            <w:vMerge w:val="continue"/>
            <w:vAlign w:val="center"/>
          </w:tcPr>
          <w:p w14:paraId="261B2D22">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51B508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rPr>
              <w:t>医疗废物</w:t>
            </w:r>
            <w:r>
              <w:rPr>
                <w:rFonts w:hint="default" w:ascii="Times New Roman" w:hAnsi="Times New Roman" w:cs="Times New Roman" w:eastAsiaTheme="minorEastAsia"/>
                <w:color w:val="auto"/>
                <w:sz w:val="18"/>
                <w:szCs w:val="18"/>
                <w:lang w:eastAsia="zh-CN"/>
              </w:rPr>
              <w:t>（药物性废物）</w:t>
            </w:r>
          </w:p>
        </w:tc>
        <w:tc>
          <w:tcPr>
            <w:tcW w:w="506" w:type="pct"/>
            <w:vAlign w:val="center"/>
          </w:tcPr>
          <w:p w14:paraId="180B25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4C9CC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0F3E57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20FB21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0.02</w:t>
            </w:r>
          </w:p>
        </w:tc>
        <w:tc>
          <w:tcPr>
            <w:tcW w:w="625" w:type="pct"/>
            <w:vAlign w:val="center"/>
          </w:tcPr>
          <w:p w14:paraId="279A69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215052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0.02</w:t>
            </w:r>
          </w:p>
        </w:tc>
        <w:tc>
          <w:tcPr>
            <w:tcW w:w="449" w:type="pct"/>
            <w:vAlign w:val="center"/>
          </w:tcPr>
          <w:p w14:paraId="337375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0.02</w:t>
            </w:r>
          </w:p>
        </w:tc>
      </w:tr>
      <w:tr w14:paraId="29603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84" w:type="pct"/>
            <w:gridSpan w:val="2"/>
            <w:vMerge w:val="continue"/>
            <w:vAlign w:val="center"/>
          </w:tcPr>
          <w:p w14:paraId="028A0F3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53B836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eastAsia="zh-CN"/>
              </w:rPr>
              <w:t>污水处理站</w:t>
            </w:r>
            <w:r>
              <w:rPr>
                <w:rFonts w:hint="default" w:ascii="Times New Roman" w:hAnsi="Times New Roman" w:cs="Times New Roman" w:eastAsiaTheme="minorEastAsia"/>
                <w:color w:val="auto"/>
                <w:sz w:val="18"/>
                <w:szCs w:val="18"/>
              </w:rPr>
              <w:t>污泥</w:t>
            </w:r>
          </w:p>
        </w:tc>
        <w:tc>
          <w:tcPr>
            <w:tcW w:w="506" w:type="pct"/>
            <w:vAlign w:val="center"/>
          </w:tcPr>
          <w:p w14:paraId="1EDC76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770E8D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271AC8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2D6F3C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0.283</w:t>
            </w:r>
          </w:p>
        </w:tc>
        <w:tc>
          <w:tcPr>
            <w:tcW w:w="625" w:type="pct"/>
            <w:vAlign w:val="center"/>
          </w:tcPr>
          <w:p w14:paraId="6A7635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0AEBE7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0.283</w:t>
            </w:r>
          </w:p>
        </w:tc>
        <w:tc>
          <w:tcPr>
            <w:tcW w:w="449" w:type="pct"/>
            <w:vAlign w:val="center"/>
          </w:tcPr>
          <w:p w14:paraId="158CC0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0.283</w:t>
            </w:r>
          </w:p>
        </w:tc>
      </w:tr>
      <w:tr w14:paraId="7284C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9" w:hRule="atLeast"/>
        </w:trPr>
        <w:tc>
          <w:tcPr>
            <w:tcW w:w="484" w:type="pct"/>
            <w:gridSpan w:val="2"/>
            <w:vMerge w:val="continue"/>
            <w:vAlign w:val="center"/>
          </w:tcPr>
          <w:p w14:paraId="16947F33">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p>
        </w:tc>
        <w:tc>
          <w:tcPr>
            <w:tcW w:w="699" w:type="pct"/>
            <w:vAlign w:val="center"/>
          </w:tcPr>
          <w:p w14:paraId="455896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rPr>
              <w:t>废</w:t>
            </w:r>
            <w:r>
              <w:rPr>
                <w:rFonts w:hint="default" w:ascii="Times New Roman" w:hAnsi="Times New Roman" w:cs="Times New Roman" w:eastAsiaTheme="minorEastAsia"/>
                <w:color w:val="auto"/>
                <w:sz w:val="18"/>
                <w:szCs w:val="18"/>
                <w:lang w:eastAsia="zh-CN"/>
              </w:rPr>
              <w:t>活性炭</w:t>
            </w:r>
          </w:p>
        </w:tc>
        <w:tc>
          <w:tcPr>
            <w:tcW w:w="506" w:type="pct"/>
            <w:vAlign w:val="center"/>
          </w:tcPr>
          <w:p w14:paraId="2C85AC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75191C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3A83DE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6382FB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1.909</w:t>
            </w:r>
          </w:p>
        </w:tc>
        <w:tc>
          <w:tcPr>
            <w:tcW w:w="625" w:type="pct"/>
            <w:vAlign w:val="center"/>
          </w:tcPr>
          <w:p w14:paraId="3B909E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3786F3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1.909</w:t>
            </w:r>
          </w:p>
        </w:tc>
        <w:tc>
          <w:tcPr>
            <w:tcW w:w="449" w:type="pct"/>
            <w:vAlign w:val="center"/>
          </w:tcPr>
          <w:p w14:paraId="72B453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1.909</w:t>
            </w:r>
          </w:p>
        </w:tc>
      </w:tr>
      <w:tr w14:paraId="45D34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84" w:type="pct"/>
            <w:gridSpan w:val="2"/>
            <w:vMerge w:val="restart"/>
            <w:vAlign w:val="center"/>
          </w:tcPr>
          <w:p w14:paraId="6DC58077">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生活垃圾</w:t>
            </w:r>
          </w:p>
        </w:tc>
        <w:tc>
          <w:tcPr>
            <w:tcW w:w="699" w:type="pct"/>
            <w:vAlign w:val="center"/>
          </w:tcPr>
          <w:p w14:paraId="0F13E0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snapToGrid w:val="0"/>
                <w:color w:val="auto"/>
                <w:kern w:val="21"/>
                <w:sz w:val="18"/>
                <w:szCs w:val="18"/>
                <w:lang w:val="en-US" w:eastAsia="zh-CN" w:bidi="ar-SA"/>
              </w:rPr>
              <w:t>生活垃圾</w:t>
            </w:r>
          </w:p>
        </w:tc>
        <w:tc>
          <w:tcPr>
            <w:tcW w:w="506" w:type="pct"/>
            <w:vAlign w:val="center"/>
          </w:tcPr>
          <w:p w14:paraId="1AA484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5F65F3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33A487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50C39B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7.5</w:t>
            </w:r>
          </w:p>
        </w:tc>
        <w:tc>
          <w:tcPr>
            <w:tcW w:w="625" w:type="pct"/>
            <w:vAlign w:val="center"/>
          </w:tcPr>
          <w:p w14:paraId="648538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2A4DE7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eastAsiaTheme="minorEastAsia"/>
                <w:color w:val="auto"/>
                <w:sz w:val="18"/>
                <w:szCs w:val="18"/>
                <w:lang w:val="en-US" w:eastAsia="zh-CN"/>
              </w:rPr>
              <w:t>7.5</w:t>
            </w:r>
          </w:p>
        </w:tc>
        <w:tc>
          <w:tcPr>
            <w:tcW w:w="449" w:type="pct"/>
            <w:vAlign w:val="center"/>
          </w:tcPr>
          <w:p w14:paraId="175FA2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7.5</w:t>
            </w:r>
          </w:p>
        </w:tc>
      </w:tr>
      <w:tr w14:paraId="0E0E2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 w:hRule="atLeast"/>
        </w:trPr>
        <w:tc>
          <w:tcPr>
            <w:tcW w:w="484" w:type="pct"/>
            <w:gridSpan w:val="2"/>
            <w:vMerge w:val="continue"/>
            <w:vAlign w:val="center"/>
          </w:tcPr>
          <w:p w14:paraId="43E29939">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eastAsia" w:cs="Times New Roman"/>
                <w:snapToGrid w:val="0"/>
                <w:color w:val="auto"/>
                <w:kern w:val="21"/>
                <w:sz w:val="18"/>
                <w:szCs w:val="18"/>
                <w:lang w:val="en-US" w:eastAsia="zh-CN" w:bidi="ar-SA"/>
              </w:rPr>
            </w:pPr>
          </w:p>
        </w:tc>
        <w:tc>
          <w:tcPr>
            <w:tcW w:w="699" w:type="pct"/>
            <w:vAlign w:val="center"/>
          </w:tcPr>
          <w:p w14:paraId="2A51C8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snapToGrid w:val="0"/>
                <w:color w:val="auto"/>
                <w:kern w:val="21"/>
                <w:sz w:val="18"/>
                <w:szCs w:val="18"/>
                <w:lang w:val="en-US" w:eastAsia="zh-CN" w:bidi="ar-SA"/>
              </w:rPr>
            </w:pPr>
            <w:r>
              <w:rPr>
                <w:rFonts w:hint="default" w:ascii="Times New Roman" w:hAnsi="Times New Roman" w:cs="Times New Roman" w:eastAsiaTheme="minorEastAsia"/>
                <w:color w:val="auto"/>
                <w:sz w:val="18"/>
                <w:szCs w:val="18"/>
                <w:lang w:eastAsia="zh-CN"/>
              </w:rPr>
              <w:t>化粪池污泥</w:t>
            </w:r>
          </w:p>
        </w:tc>
        <w:tc>
          <w:tcPr>
            <w:tcW w:w="506" w:type="pct"/>
            <w:vAlign w:val="center"/>
          </w:tcPr>
          <w:p w14:paraId="279B37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447" w:type="pct"/>
            <w:vAlign w:val="center"/>
          </w:tcPr>
          <w:p w14:paraId="65355C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602" w:type="pct"/>
            <w:vAlign w:val="center"/>
          </w:tcPr>
          <w:p w14:paraId="08BF7F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551" w:type="pct"/>
            <w:vAlign w:val="center"/>
          </w:tcPr>
          <w:p w14:paraId="01E2A0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4.5</w:t>
            </w:r>
          </w:p>
        </w:tc>
        <w:tc>
          <w:tcPr>
            <w:tcW w:w="625" w:type="pct"/>
            <w:vAlign w:val="center"/>
          </w:tcPr>
          <w:p w14:paraId="39BF66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w:t>
            </w:r>
          </w:p>
        </w:tc>
        <w:tc>
          <w:tcPr>
            <w:tcW w:w="632" w:type="pct"/>
            <w:vAlign w:val="center"/>
          </w:tcPr>
          <w:p w14:paraId="47C4DB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eastAsia" w:eastAsiaTheme="minorEastAsia"/>
                <w:color w:val="auto"/>
                <w:sz w:val="18"/>
                <w:szCs w:val="18"/>
                <w:lang w:val="en-US" w:eastAsia="zh-CN"/>
              </w:rPr>
              <w:t>4.5</w:t>
            </w:r>
          </w:p>
        </w:tc>
        <w:tc>
          <w:tcPr>
            <w:tcW w:w="449" w:type="pct"/>
            <w:vAlign w:val="center"/>
          </w:tcPr>
          <w:p w14:paraId="531BFF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4.5</w:t>
            </w:r>
          </w:p>
        </w:tc>
      </w:tr>
      <w:bookmarkEnd w:id="33"/>
    </w:tbl>
    <w:p w14:paraId="79203682">
      <w:pPr>
        <w:adjustRightInd w:val="0"/>
        <w:snapToGrid w:val="0"/>
        <w:spacing w:beforeLines="0" w:after="31" w:afterLines="10" w:line="259" w:lineRule="auto"/>
        <w:jc w:val="left"/>
        <w:rPr>
          <w:color w:val="auto"/>
        </w:rPr>
      </w:pPr>
      <w:r>
        <w:rPr>
          <w:rFonts w:ascii="Times New Roman" w:hAnsi="Times New Roman" w:eastAsia="宋体" w:cs="Times New Roman"/>
          <w:snapToGrid w:val="0"/>
          <w:color w:val="auto"/>
          <w:kern w:val="21"/>
          <w:sz w:val="21"/>
          <w:szCs w:val="21"/>
          <w:lang w:val="en-US" w:eastAsia="zh-CN" w:bidi="ar-SA"/>
        </w:rPr>
        <w:t>注：</w:t>
      </w:r>
      <w:r>
        <w:rPr>
          <w:rFonts w:ascii="Times New Roman" w:hAnsi="Times New Roman" w:eastAsia="宋体" w:cs="Times New Roman"/>
          <w:snapToGrid w:val="0"/>
          <w:color w:val="auto"/>
          <w:spacing w:val="-16"/>
          <w:kern w:val="21"/>
          <w:sz w:val="21"/>
          <w:szCs w:val="21"/>
          <w:lang w:val="en-US" w:eastAsia="zh-CN" w:bidi="ar-SA"/>
        </w:rPr>
        <w:fldChar w:fldCharType="begin"/>
      </w:r>
      <w:r>
        <w:rPr>
          <w:rFonts w:ascii="Times New Roman" w:hAnsi="Times New Roman" w:eastAsia="宋体" w:cs="Times New Roman"/>
          <w:snapToGrid w:val="0"/>
          <w:color w:val="auto"/>
          <w:spacing w:val="-16"/>
          <w:kern w:val="21"/>
          <w:sz w:val="21"/>
          <w:szCs w:val="21"/>
          <w:lang w:val="en-US" w:eastAsia="zh-CN" w:bidi="ar-SA"/>
        </w:rPr>
        <w:instrText xml:space="preserve"> = 6 \* GB3 \* MERGEFORMAT </w:instrText>
      </w:r>
      <w:r>
        <w:rPr>
          <w:rFonts w:ascii="Times New Roman" w:hAnsi="Times New Roman" w:eastAsia="宋体" w:cs="Times New Roman"/>
          <w:snapToGrid w:val="0"/>
          <w:color w:val="auto"/>
          <w:spacing w:val="-16"/>
          <w:kern w:val="21"/>
          <w:sz w:val="21"/>
          <w:szCs w:val="21"/>
          <w:lang w:val="en-US" w:eastAsia="zh-CN" w:bidi="ar-SA"/>
        </w:rPr>
        <w:fldChar w:fldCharType="separate"/>
      </w:r>
      <w:r>
        <w:rPr>
          <w:rFonts w:hint="eastAsia" w:ascii="宋体" w:hAnsi="宋体" w:eastAsia="宋体" w:cs="宋体"/>
          <w:color w:val="auto"/>
          <w:kern w:val="0"/>
          <w:sz w:val="21"/>
          <w:szCs w:val="21"/>
          <w:lang w:val="en-US" w:eastAsia="zh-CN" w:bidi="ar-SA"/>
        </w:rPr>
        <w:t>⑥</w:t>
      </w:r>
      <w:r>
        <w:rPr>
          <w:rFonts w:ascii="Times New Roman" w:hAnsi="Times New Roman" w:eastAsia="宋体" w:cs="Times New Roman"/>
          <w:snapToGrid w:val="0"/>
          <w:color w:val="auto"/>
          <w:spacing w:val="-16"/>
          <w:kern w:val="21"/>
          <w:sz w:val="21"/>
          <w:szCs w:val="21"/>
          <w:lang w:val="en-US" w:eastAsia="zh-CN" w:bidi="ar-SA"/>
        </w:rPr>
        <w:fldChar w:fldCharType="end"/>
      </w:r>
      <w:r>
        <w:rPr>
          <w:rFonts w:ascii="Times New Roman" w:hAnsi="Times New Roman" w:eastAsia="宋体" w:cs="Times New Roman"/>
          <w:snapToGrid w:val="0"/>
          <w:color w:val="auto"/>
          <w:spacing w:val="-16"/>
          <w:kern w:val="21"/>
          <w:sz w:val="21"/>
          <w:szCs w:val="21"/>
          <w:lang w:val="en-US" w:eastAsia="zh-CN" w:bidi="ar-SA"/>
        </w:rPr>
        <w:t>=</w:t>
      </w:r>
      <w:r>
        <w:rPr>
          <w:rFonts w:ascii="Times New Roman" w:hAnsi="Times New Roman" w:eastAsia="宋体" w:cs="Times New Roman"/>
          <w:snapToGrid w:val="0"/>
          <w:color w:val="auto"/>
          <w:spacing w:val="-6"/>
          <w:kern w:val="21"/>
          <w:sz w:val="21"/>
          <w:szCs w:val="21"/>
          <w:lang w:val="en-US" w:eastAsia="zh-CN" w:bidi="ar-SA"/>
        </w:rPr>
        <w:fldChar w:fldCharType="begin"/>
      </w:r>
      <w:r>
        <w:rPr>
          <w:rFonts w:ascii="Times New Roman" w:hAnsi="Times New Roman" w:eastAsia="宋体" w:cs="Times New Roman"/>
          <w:snapToGrid w:val="0"/>
          <w:color w:val="auto"/>
          <w:spacing w:val="-6"/>
          <w:kern w:val="21"/>
          <w:sz w:val="21"/>
          <w:szCs w:val="21"/>
          <w:lang w:val="en-US" w:eastAsia="zh-CN" w:bidi="ar-SA"/>
        </w:rPr>
        <w:instrText xml:space="preserve"> = 1 \* GB3 \* MERGEFORMAT </w:instrText>
      </w:r>
      <w:r>
        <w:rPr>
          <w:rFonts w:ascii="Times New Roman" w:hAnsi="Times New Roman" w:eastAsia="宋体" w:cs="Times New Roman"/>
          <w:snapToGrid w:val="0"/>
          <w:color w:val="auto"/>
          <w:spacing w:val="-6"/>
          <w:kern w:val="21"/>
          <w:sz w:val="21"/>
          <w:szCs w:val="21"/>
          <w:lang w:val="en-US" w:eastAsia="zh-CN" w:bidi="ar-SA"/>
        </w:rPr>
        <w:fldChar w:fldCharType="separate"/>
      </w:r>
      <w:r>
        <w:rPr>
          <w:rFonts w:hint="eastAsia" w:ascii="宋体" w:hAnsi="宋体" w:eastAsia="宋体" w:cs="宋体"/>
          <w:color w:val="auto"/>
          <w:kern w:val="0"/>
          <w:sz w:val="21"/>
          <w:szCs w:val="21"/>
          <w:lang w:val="en-US" w:eastAsia="zh-CN" w:bidi="ar-SA"/>
        </w:rPr>
        <w:t>①</w:t>
      </w:r>
      <w:r>
        <w:rPr>
          <w:rFonts w:ascii="Times New Roman" w:hAnsi="Times New Roman" w:eastAsia="宋体" w:cs="Times New Roman"/>
          <w:snapToGrid w:val="0"/>
          <w:color w:val="auto"/>
          <w:spacing w:val="-6"/>
          <w:kern w:val="21"/>
          <w:sz w:val="21"/>
          <w:szCs w:val="21"/>
          <w:lang w:val="en-US" w:eastAsia="zh-CN" w:bidi="ar-SA"/>
        </w:rPr>
        <w:fldChar w:fldCharType="end"/>
      </w:r>
      <w:r>
        <w:rPr>
          <w:rFonts w:ascii="Times New Roman" w:hAnsi="Times New Roman" w:eastAsia="宋体" w:cs="Times New Roman"/>
          <w:snapToGrid w:val="0"/>
          <w:color w:val="auto"/>
          <w:spacing w:val="-6"/>
          <w:kern w:val="21"/>
          <w:sz w:val="21"/>
          <w:szCs w:val="21"/>
          <w:lang w:val="en-US" w:eastAsia="zh-CN" w:bidi="ar-SA"/>
        </w:rPr>
        <w:t>+</w:t>
      </w:r>
      <w:r>
        <w:rPr>
          <w:rFonts w:ascii="Times New Roman" w:hAnsi="Times New Roman" w:eastAsia="宋体" w:cs="Times New Roman"/>
          <w:snapToGrid w:val="0"/>
          <w:color w:val="auto"/>
          <w:spacing w:val="-6"/>
          <w:kern w:val="21"/>
          <w:sz w:val="21"/>
          <w:szCs w:val="21"/>
          <w:lang w:val="en-US" w:eastAsia="zh-CN" w:bidi="ar-SA"/>
        </w:rPr>
        <w:fldChar w:fldCharType="begin"/>
      </w:r>
      <w:r>
        <w:rPr>
          <w:rFonts w:ascii="Times New Roman" w:hAnsi="Times New Roman" w:eastAsia="宋体" w:cs="Times New Roman"/>
          <w:snapToGrid w:val="0"/>
          <w:color w:val="auto"/>
          <w:spacing w:val="-6"/>
          <w:kern w:val="21"/>
          <w:sz w:val="21"/>
          <w:szCs w:val="21"/>
          <w:lang w:val="en-US" w:eastAsia="zh-CN" w:bidi="ar-SA"/>
        </w:rPr>
        <w:instrText xml:space="preserve"> = 3 \* GB3 \* MERGEFORMAT </w:instrText>
      </w:r>
      <w:r>
        <w:rPr>
          <w:rFonts w:ascii="Times New Roman" w:hAnsi="Times New Roman" w:eastAsia="宋体" w:cs="Times New Roman"/>
          <w:snapToGrid w:val="0"/>
          <w:color w:val="auto"/>
          <w:spacing w:val="-6"/>
          <w:kern w:val="21"/>
          <w:sz w:val="21"/>
          <w:szCs w:val="21"/>
          <w:lang w:val="en-US" w:eastAsia="zh-CN" w:bidi="ar-SA"/>
        </w:rPr>
        <w:fldChar w:fldCharType="separate"/>
      </w:r>
      <w:r>
        <w:rPr>
          <w:rFonts w:hint="eastAsia" w:ascii="宋体" w:hAnsi="宋体" w:eastAsia="宋体" w:cs="宋体"/>
          <w:color w:val="auto"/>
          <w:kern w:val="0"/>
          <w:sz w:val="21"/>
          <w:szCs w:val="21"/>
          <w:lang w:val="en-US" w:eastAsia="zh-CN" w:bidi="ar-SA"/>
        </w:rPr>
        <w:t>③</w:t>
      </w:r>
      <w:r>
        <w:rPr>
          <w:rFonts w:ascii="Times New Roman" w:hAnsi="Times New Roman" w:eastAsia="宋体" w:cs="Times New Roman"/>
          <w:snapToGrid w:val="0"/>
          <w:color w:val="auto"/>
          <w:spacing w:val="-6"/>
          <w:kern w:val="21"/>
          <w:sz w:val="21"/>
          <w:szCs w:val="21"/>
          <w:lang w:val="en-US" w:eastAsia="zh-CN" w:bidi="ar-SA"/>
        </w:rPr>
        <w:fldChar w:fldCharType="end"/>
      </w:r>
      <w:r>
        <w:rPr>
          <w:rFonts w:ascii="Times New Roman" w:hAnsi="Times New Roman" w:eastAsia="宋体" w:cs="Times New Roman"/>
          <w:snapToGrid w:val="0"/>
          <w:color w:val="auto"/>
          <w:spacing w:val="-6"/>
          <w:kern w:val="21"/>
          <w:sz w:val="21"/>
          <w:szCs w:val="21"/>
          <w:lang w:val="en-US" w:eastAsia="zh-CN" w:bidi="ar-SA"/>
        </w:rPr>
        <w:t>+</w:t>
      </w:r>
      <w:r>
        <w:rPr>
          <w:rFonts w:ascii="Times New Roman" w:hAnsi="Times New Roman" w:eastAsia="宋体" w:cs="Times New Roman"/>
          <w:snapToGrid w:val="0"/>
          <w:color w:val="auto"/>
          <w:spacing w:val="-6"/>
          <w:kern w:val="21"/>
          <w:sz w:val="21"/>
          <w:szCs w:val="21"/>
          <w:lang w:val="en-US" w:eastAsia="zh-CN" w:bidi="ar-SA"/>
        </w:rPr>
        <w:fldChar w:fldCharType="begin"/>
      </w:r>
      <w:r>
        <w:rPr>
          <w:rFonts w:ascii="Times New Roman" w:hAnsi="Times New Roman" w:eastAsia="宋体" w:cs="Times New Roman"/>
          <w:snapToGrid w:val="0"/>
          <w:color w:val="auto"/>
          <w:spacing w:val="-6"/>
          <w:kern w:val="21"/>
          <w:sz w:val="21"/>
          <w:szCs w:val="21"/>
          <w:lang w:val="en-US" w:eastAsia="zh-CN" w:bidi="ar-SA"/>
        </w:rPr>
        <w:instrText xml:space="preserve"> = 4 \* GB3 \* MERGEFORMAT </w:instrText>
      </w:r>
      <w:r>
        <w:rPr>
          <w:rFonts w:ascii="Times New Roman" w:hAnsi="Times New Roman" w:eastAsia="宋体" w:cs="Times New Roman"/>
          <w:snapToGrid w:val="0"/>
          <w:color w:val="auto"/>
          <w:spacing w:val="-6"/>
          <w:kern w:val="21"/>
          <w:sz w:val="21"/>
          <w:szCs w:val="21"/>
          <w:lang w:val="en-US" w:eastAsia="zh-CN" w:bidi="ar-SA"/>
        </w:rPr>
        <w:fldChar w:fldCharType="separate"/>
      </w:r>
      <w:r>
        <w:rPr>
          <w:rFonts w:hint="eastAsia" w:ascii="宋体" w:hAnsi="宋体" w:eastAsia="宋体" w:cs="宋体"/>
          <w:color w:val="auto"/>
          <w:kern w:val="0"/>
          <w:sz w:val="21"/>
          <w:szCs w:val="21"/>
          <w:lang w:val="en-US" w:eastAsia="zh-CN" w:bidi="ar-SA"/>
        </w:rPr>
        <w:t>④</w:t>
      </w:r>
      <w:r>
        <w:rPr>
          <w:rFonts w:ascii="Times New Roman" w:hAnsi="Times New Roman" w:eastAsia="宋体" w:cs="Times New Roman"/>
          <w:snapToGrid w:val="0"/>
          <w:color w:val="auto"/>
          <w:spacing w:val="-6"/>
          <w:kern w:val="21"/>
          <w:sz w:val="21"/>
          <w:szCs w:val="21"/>
          <w:lang w:val="en-US" w:eastAsia="zh-CN" w:bidi="ar-SA"/>
        </w:rPr>
        <w:fldChar w:fldCharType="end"/>
      </w:r>
      <w:r>
        <w:rPr>
          <w:rFonts w:ascii="Times New Roman" w:hAnsi="Times New Roman" w:eastAsia="宋体" w:cs="Times New Roman"/>
          <w:snapToGrid w:val="0"/>
          <w:color w:val="auto"/>
          <w:spacing w:val="-6"/>
          <w:kern w:val="21"/>
          <w:sz w:val="21"/>
          <w:szCs w:val="21"/>
          <w:lang w:val="en-US" w:eastAsia="zh-CN" w:bidi="ar-SA"/>
        </w:rPr>
        <w:t>-</w:t>
      </w:r>
      <w:r>
        <w:rPr>
          <w:rFonts w:ascii="Times New Roman" w:hAnsi="Times New Roman" w:eastAsia="宋体" w:cs="Times New Roman"/>
          <w:snapToGrid w:val="0"/>
          <w:color w:val="auto"/>
          <w:spacing w:val="-16"/>
          <w:kern w:val="21"/>
          <w:sz w:val="21"/>
          <w:szCs w:val="21"/>
          <w:lang w:val="en-US" w:eastAsia="zh-CN" w:bidi="ar-SA"/>
        </w:rPr>
        <w:fldChar w:fldCharType="begin"/>
      </w:r>
      <w:r>
        <w:rPr>
          <w:rFonts w:ascii="Times New Roman" w:hAnsi="Times New Roman" w:eastAsia="宋体" w:cs="Times New Roman"/>
          <w:snapToGrid w:val="0"/>
          <w:color w:val="auto"/>
          <w:spacing w:val="-16"/>
          <w:kern w:val="21"/>
          <w:sz w:val="21"/>
          <w:szCs w:val="21"/>
          <w:lang w:val="en-US" w:eastAsia="zh-CN" w:bidi="ar-SA"/>
        </w:rPr>
        <w:instrText xml:space="preserve"> = 5 \* GB3 \* MERGEFORMAT </w:instrText>
      </w:r>
      <w:r>
        <w:rPr>
          <w:rFonts w:ascii="Times New Roman" w:hAnsi="Times New Roman" w:eastAsia="宋体" w:cs="Times New Roman"/>
          <w:snapToGrid w:val="0"/>
          <w:color w:val="auto"/>
          <w:spacing w:val="-16"/>
          <w:kern w:val="21"/>
          <w:sz w:val="21"/>
          <w:szCs w:val="21"/>
          <w:lang w:val="en-US" w:eastAsia="zh-CN" w:bidi="ar-SA"/>
        </w:rPr>
        <w:fldChar w:fldCharType="separate"/>
      </w:r>
      <w:r>
        <w:rPr>
          <w:rFonts w:hint="eastAsia" w:ascii="宋体" w:hAnsi="宋体" w:eastAsia="宋体" w:cs="宋体"/>
          <w:color w:val="auto"/>
          <w:kern w:val="0"/>
          <w:sz w:val="21"/>
          <w:szCs w:val="21"/>
          <w:lang w:val="en-US" w:eastAsia="zh-CN" w:bidi="ar-SA"/>
        </w:rPr>
        <w:t>⑤</w:t>
      </w:r>
      <w:r>
        <w:rPr>
          <w:rFonts w:ascii="Times New Roman" w:hAnsi="Times New Roman" w:eastAsia="宋体" w:cs="Times New Roman"/>
          <w:snapToGrid w:val="0"/>
          <w:color w:val="auto"/>
          <w:spacing w:val="-16"/>
          <w:kern w:val="21"/>
          <w:sz w:val="21"/>
          <w:szCs w:val="21"/>
          <w:lang w:val="en-US" w:eastAsia="zh-CN" w:bidi="ar-SA"/>
        </w:rPr>
        <w:fldChar w:fldCharType="end"/>
      </w:r>
      <w:r>
        <w:rPr>
          <w:rFonts w:ascii="Times New Roman" w:hAnsi="Times New Roman" w:eastAsia="宋体" w:cs="Times New Roman"/>
          <w:snapToGrid w:val="0"/>
          <w:color w:val="auto"/>
          <w:spacing w:val="-16"/>
          <w:kern w:val="21"/>
          <w:sz w:val="21"/>
          <w:szCs w:val="21"/>
          <w:lang w:val="en-US" w:eastAsia="zh-CN" w:bidi="ar-SA"/>
        </w:rPr>
        <w:t>；</w:t>
      </w:r>
      <w:r>
        <w:rPr>
          <w:rFonts w:ascii="Times New Roman" w:hAnsi="Times New Roman" w:eastAsia="宋体" w:cs="Times New Roman"/>
          <w:snapToGrid w:val="0"/>
          <w:color w:val="auto"/>
          <w:spacing w:val="-6"/>
          <w:kern w:val="21"/>
          <w:sz w:val="21"/>
          <w:szCs w:val="21"/>
          <w:lang w:val="en-US" w:eastAsia="zh-CN" w:bidi="ar-SA"/>
        </w:rPr>
        <w:fldChar w:fldCharType="begin"/>
      </w:r>
      <w:r>
        <w:rPr>
          <w:rFonts w:ascii="Times New Roman" w:hAnsi="Times New Roman" w:eastAsia="宋体" w:cs="Times New Roman"/>
          <w:snapToGrid w:val="0"/>
          <w:color w:val="auto"/>
          <w:spacing w:val="-6"/>
          <w:kern w:val="21"/>
          <w:sz w:val="21"/>
          <w:szCs w:val="21"/>
          <w:lang w:val="en-US" w:eastAsia="zh-CN" w:bidi="ar-SA"/>
        </w:rPr>
        <w:instrText xml:space="preserve"> = 7 \* GB3 \* MERGEFORMAT </w:instrText>
      </w:r>
      <w:r>
        <w:rPr>
          <w:rFonts w:ascii="Times New Roman" w:hAnsi="Times New Roman" w:eastAsia="宋体" w:cs="Times New Roman"/>
          <w:snapToGrid w:val="0"/>
          <w:color w:val="auto"/>
          <w:spacing w:val="-6"/>
          <w:kern w:val="21"/>
          <w:sz w:val="21"/>
          <w:szCs w:val="21"/>
          <w:lang w:val="en-US" w:eastAsia="zh-CN" w:bidi="ar-SA"/>
        </w:rPr>
        <w:fldChar w:fldCharType="separate"/>
      </w:r>
      <w:r>
        <w:rPr>
          <w:rFonts w:hint="eastAsia" w:ascii="宋体" w:hAnsi="宋体" w:eastAsia="宋体" w:cs="宋体"/>
          <w:color w:val="auto"/>
          <w:kern w:val="0"/>
          <w:sz w:val="21"/>
          <w:szCs w:val="21"/>
          <w:lang w:val="en-US" w:eastAsia="zh-CN" w:bidi="ar-SA"/>
        </w:rPr>
        <w:t>⑦</w:t>
      </w:r>
      <w:r>
        <w:rPr>
          <w:rFonts w:ascii="Times New Roman" w:hAnsi="Times New Roman" w:eastAsia="宋体" w:cs="Times New Roman"/>
          <w:snapToGrid w:val="0"/>
          <w:color w:val="auto"/>
          <w:spacing w:val="-6"/>
          <w:kern w:val="21"/>
          <w:sz w:val="21"/>
          <w:szCs w:val="21"/>
          <w:lang w:val="en-US" w:eastAsia="zh-CN" w:bidi="ar-SA"/>
        </w:rPr>
        <w:fldChar w:fldCharType="end"/>
      </w:r>
      <w:r>
        <w:rPr>
          <w:rFonts w:ascii="Times New Roman" w:hAnsi="Times New Roman" w:eastAsia="宋体" w:cs="Times New Roman"/>
          <w:snapToGrid w:val="0"/>
          <w:color w:val="auto"/>
          <w:spacing w:val="-6"/>
          <w:kern w:val="21"/>
          <w:sz w:val="21"/>
          <w:szCs w:val="21"/>
          <w:lang w:val="en-US" w:eastAsia="zh-CN" w:bidi="ar-SA"/>
        </w:rPr>
        <w:t>=</w:t>
      </w:r>
      <w:r>
        <w:rPr>
          <w:rFonts w:ascii="Times New Roman" w:hAnsi="Times New Roman" w:eastAsia="宋体" w:cs="Times New Roman"/>
          <w:snapToGrid w:val="0"/>
          <w:color w:val="auto"/>
          <w:spacing w:val="-16"/>
          <w:kern w:val="21"/>
          <w:sz w:val="21"/>
          <w:szCs w:val="21"/>
          <w:lang w:val="en-US" w:eastAsia="zh-CN" w:bidi="ar-SA"/>
        </w:rPr>
        <w:fldChar w:fldCharType="begin"/>
      </w:r>
      <w:r>
        <w:rPr>
          <w:rFonts w:ascii="Times New Roman" w:hAnsi="Times New Roman" w:eastAsia="宋体" w:cs="Times New Roman"/>
          <w:snapToGrid w:val="0"/>
          <w:color w:val="auto"/>
          <w:spacing w:val="-16"/>
          <w:kern w:val="21"/>
          <w:sz w:val="21"/>
          <w:szCs w:val="21"/>
          <w:lang w:val="en-US" w:eastAsia="zh-CN" w:bidi="ar-SA"/>
        </w:rPr>
        <w:instrText xml:space="preserve"> = 6 \* GB3 \* MERGEFORMAT </w:instrText>
      </w:r>
      <w:r>
        <w:rPr>
          <w:rFonts w:ascii="Times New Roman" w:hAnsi="Times New Roman" w:eastAsia="宋体" w:cs="Times New Roman"/>
          <w:snapToGrid w:val="0"/>
          <w:color w:val="auto"/>
          <w:spacing w:val="-16"/>
          <w:kern w:val="21"/>
          <w:sz w:val="21"/>
          <w:szCs w:val="21"/>
          <w:lang w:val="en-US" w:eastAsia="zh-CN" w:bidi="ar-SA"/>
        </w:rPr>
        <w:fldChar w:fldCharType="separate"/>
      </w:r>
      <w:r>
        <w:rPr>
          <w:rFonts w:hint="eastAsia" w:ascii="宋体" w:hAnsi="宋体" w:eastAsia="宋体" w:cs="宋体"/>
          <w:color w:val="auto"/>
          <w:kern w:val="0"/>
          <w:sz w:val="21"/>
          <w:szCs w:val="21"/>
          <w:lang w:val="en-US" w:eastAsia="zh-CN" w:bidi="ar-SA"/>
        </w:rPr>
        <w:t>⑥</w:t>
      </w:r>
      <w:r>
        <w:rPr>
          <w:rFonts w:ascii="Times New Roman" w:hAnsi="Times New Roman" w:eastAsia="宋体" w:cs="Times New Roman"/>
          <w:snapToGrid w:val="0"/>
          <w:color w:val="auto"/>
          <w:spacing w:val="-16"/>
          <w:kern w:val="21"/>
          <w:sz w:val="21"/>
          <w:szCs w:val="21"/>
          <w:lang w:val="en-US" w:eastAsia="zh-CN" w:bidi="ar-SA"/>
        </w:rPr>
        <w:fldChar w:fldCharType="end"/>
      </w:r>
      <w:r>
        <w:rPr>
          <w:rFonts w:ascii="Times New Roman" w:hAnsi="Times New Roman" w:eastAsia="宋体" w:cs="Times New Roman"/>
          <w:snapToGrid w:val="0"/>
          <w:color w:val="auto"/>
          <w:spacing w:val="-16"/>
          <w:kern w:val="21"/>
          <w:sz w:val="21"/>
          <w:szCs w:val="21"/>
          <w:lang w:val="en-US" w:eastAsia="zh-CN" w:bidi="ar-SA"/>
        </w:rPr>
        <w:t>-</w:t>
      </w:r>
      <w:r>
        <w:rPr>
          <w:rFonts w:ascii="Times New Roman" w:hAnsi="Times New Roman" w:eastAsia="宋体" w:cs="Times New Roman"/>
          <w:snapToGrid w:val="0"/>
          <w:color w:val="auto"/>
          <w:spacing w:val="-6"/>
          <w:kern w:val="21"/>
          <w:sz w:val="21"/>
          <w:szCs w:val="21"/>
          <w:lang w:val="en-US" w:eastAsia="zh-CN" w:bidi="ar-SA"/>
        </w:rPr>
        <w:fldChar w:fldCharType="begin"/>
      </w:r>
      <w:r>
        <w:rPr>
          <w:rFonts w:ascii="Times New Roman" w:hAnsi="Times New Roman" w:eastAsia="宋体" w:cs="Times New Roman"/>
          <w:snapToGrid w:val="0"/>
          <w:color w:val="auto"/>
          <w:spacing w:val="-6"/>
          <w:kern w:val="21"/>
          <w:sz w:val="21"/>
          <w:szCs w:val="21"/>
          <w:lang w:val="en-US" w:eastAsia="zh-CN" w:bidi="ar-SA"/>
        </w:rPr>
        <w:instrText xml:space="preserve"> = 1 \* GB3 \* MERGEFORMAT </w:instrText>
      </w:r>
      <w:r>
        <w:rPr>
          <w:rFonts w:ascii="Times New Roman" w:hAnsi="Times New Roman" w:eastAsia="宋体" w:cs="Times New Roman"/>
          <w:snapToGrid w:val="0"/>
          <w:color w:val="auto"/>
          <w:spacing w:val="-6"/>
          <w:kern w:val="21"/>
          <w:sz w:val="21"/>
          <w:szCs w:val="21"/>
          <w:lang w:val="en-US" w:eastAsia="zh-CN" w:bidi="ar-SA"/>
        </w:rPr>
        <w:fldChar w:fldCharType="separate"/>
      </w:r>
      <w:r>
        <w:rPr>
          <w:rFonts w:hint="eastAsia" w:ascii="宋体" w:hAnsi="宋体" w:eastAsia="宋体" w:cs="宋体"/>
          <w:color w:val="auto"/>
          <w:kern w:val="0"/>
          <w:sz w:val="21"/>
          <w:szCs w:val="21"/>
          <w:lang w:val="en-US" w:eastAsia="zh-CN" w:bidi="ar-SA"/>
        </w:rPr>
        <w:t>①</w:t>
      </w:r>
      <w:r>
        <w:rPr>
          <w:rFonts w:ascii="Times New Roman" w:hAnsi="Times New Roman" w:eastAsia="宋体" w:cs="Times New Roman"/>
          <w:snapToGrid w:val="0"/>
          <w:color w:val="auto"/>
          <w:spacing w:val="-6"/>
          <w:kern w:val="21"/>
          <w:sz w:val="21"/>
          <w:szCs w:val="21"/>
          <w:lang w:val="en-US" w:eastAsia="zh-CN" w:bidi="ar-SA"/>
        </w:rPr>
        <w:fldChar w:fldCharType="end"/>
      </w:r>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A43AF">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FF222">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44722">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0344722">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AFA1E">
    <w:pPr>
      <w:widowControl w:val="0"/>
      <w:tabs>
        <w:tab w:val="center" w:pos="4153"/>
        <w:tab w:val="right" w:pos="8306"/>
      </w:tabs>
      <w:snapToGrid w:val="0"/>
      <w:ind w:right="360" w:firstLine="360"/>
      <w:jc w:val="center"/>
      <w:rPr>
        <w:rFonts w:ascii="Times New Roman" w:hAnsi="Times New Roman" w:eastAsia="宋体" w:cs="Times New Roman"/>
        <w:kern w:val="0"/>
        <w:sz w:val="18"/>
        <w:szCs w:val="20"/>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81603">
                          <w:pPr>
                            <w:pStyle w:val="16"/>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1F81603">
                    <w:pPr>
                      <w:pStyle w:val="16"/>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4A713"/>
    <w:multiLevelType w:val="singleLevel"/>
    <w:tmpl w:val="8C34A713"/>
    <w:lvl w:ilvl="0" w:tentative="0">
      <w:start w:val="2"/>
      <w:numFmt w:val="decimal"/>
      <w:suff w:val="nothing"/>
      <w:lvlText w:val="%1、"/>
      <w:lvlJc w:val="left"/>
    </w:lvl>
  </w:abstractNum>
  <w:abstractNum w:abstractNumId="1">
    <w:nsid w:val="D39F6F7A"/>
    <w:multiLevelType w:val="singleLevel"/>
    <w:tmpl w:val="D39F6F7A"/>
    <w:lvl w:ilvl="0" w:tentative="0">
      <w:start w:val="1"/>
      <w:numFmt w:val="decimal"/>
      <w:suff w:val="nothing"/>
      <w:lvlText w:val="（%1）"/>
      <w:lvlJc w:val="left"/>
    </w:lvl>
  </w:abstractNum>
  <w:abstractNum w:abstractNumId="2">
    <w:nsid w:val="D75E5D83"/>
    <w:multiLevelType w:val="singleLevel"/>
    <w:tmpl w:val="D75E5D83"/>
    <w:lvl w:ilvl="0" w:tentative="0">
      <w:start w:val="1"/>
      <w:numFmt w:val="decimal"/>
      <w:suff w:val="nothing"/>
      <w:lvlText w:val="（%1）"/>
      <w:lvlJc w:val="left"/>
    </w:lvl>
  </w:abstractNum>
  <w:abstractNum w:abstractNumId="3">
    <w:nsid w:val="DB2E2661"/>
    <w:multiLevelType w:val="singleLevel"/>
    <w:tmpl w:val="DB2E2661"/>
    <w:lvl w:ilvl="0" w:tentative="0">
      <w:start w:val="1"/>
      <w:numFmt w:val="lowerLetter"/>
      <w:lvlText w:val="%1."/>
      <w:lvlJc w:val="left"/>
      <w:pPr>
        <w:tabs>
          <w:tab w:val="left" w:pos="312"/>
        </w:tabs>
      </w:pPr>
    </w:lvl>
  </w:abstractNum>
  <w:abstractNum w:abstractNumId="4">
    <w:nsid w:val="DC448AD5"/>
    <w:multiLevelType w:val="singleLevel"/>
    <w:tmpl w:val="DC448AD5"/>
    <w:lvl w:ilvl="0" w:tentative="0">
      <w:start w:val="1"/>
      <w:numFmt w:val="decimal"/>
      <w:suff w:val="space"/>
      <w:lvlText w:val="%1."/>
      <w:lvlJc w:val="left"/>
      <w:pPr>
        <w:ind w:left="-2"/>
      </w:pPr>
    </w:lvl>
  </w:abstractNum>
  <w:abstractNum w:abstractNumId="5">
    <w:nsid w:val="EC5BC474"/>
    <w:multiLevelType w:val="singleLevel"/>
    <w:tmpl w:val="EC5BC474"/>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6">
    <w:nsid w:val="F759469F"/>
    <w:multiLevelType w:val="multilevel"/>
    <w:tmpl w:val="F759469F"/>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16128ADC"/>
    <w:multiLevelType w:val="singleLevel"/>
    <w:tmpl w:val="16128ADC"/>
    <w:lvl w:ilvl="0" w:tentative="0">
      <w:start w:val="1"/>
      <w:numFmt w:val="decimal"/>
      <w:suff w:val="space"/>
      <w:lvlText w:val="%1."/>
      <w:lvlJc w:val="left"/>
    </w:lvl>
  </w:abstractNum>
  <w:abstractNum w:abstractNumId="8">
    <w:nsid w:val="30CE00EF"/>
    <w:multiLevelType w:val="multilevel"/>
    <w:tmpl w:val="30CE00EF"/>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pStyle w:val="7"/>
      <w:lvlText w:val="%1.%2.%3.%4"/>
      <w:lvlJc w:val="left"/>
      <w:pPr>
        <w:ind w:left="157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9">
    <w:nsid w:val="4E945499"/>
    <w:multiLevelType w:val="singleLevel"/>
    <w:tmpl w:val="4E945499"/>
    <w:lvl w:ilvl="0" w:tentative="0">
      <w:start w:val="1"/>
      <w:numFmt w:val="decimal"/>
      <w:lvlText w:val="%1."/>
      <w:lvlJc w:val="left"/>
      <w:pPr>
        <w:tabs>
          <w:tab w:val="left" w:pos="312"/>
        </w:tabs>
      </w:pPr>
    </w:lvl>
  </w:abstractNum>
  <w:abstractNum w:abstractNumId="10">
    <w:nsid w:val="4FAD7324"/>
    <w:multiLevelType w:val="singleLevel"/>
    <w:tmpl w:val="4FAD7324"/>
    <w:lvl w:ilvl="0" w:tentative="0">
      <w:start w:val="1"/>
      <w:numFmt w:val="decimal"/>
      <w:suff w:val="space"/>
      <w:lvlText w:val="%1."/>
      <w:lvlJc w:val="left"/>
    </w:lvl>
  </w:abstractNum>
  <w:abstractNum w:abstractNumId="11">
    <w:nsid w:val="646EE1A9"/>
    <w:multiLevelType w:val="singleLevel"/>
    <w:tmpl w:val="646EE1A9"/>
    <w:lvl w:ilvl="0" w:tentative="0">
      <w:start w:val="1"/>
      <w:numFmt w:val="decimal"/>
      <w:suff w:val="space"/>
      <w:lvlText w:val="%1."/>
      <w:lvlJc w:val="left"/>
    </w:lvl>
  </w:abstractNum>
  <w:abstractNum w:abstractNumId="12">
    <w:nsid w:val="7CC439B9"/>
    <w:multiLevelType w:val="singleLevel"/>
    <w:tmpl w:val="7CC439B9"/>
    <w:lvl w:ilvl="0" w:tentative="0">
      <w:start w:val="3"/>
      <w:numFmt w:val="decimal"/>
      <w:suff w:val="nothing"/>
      <w:lvlText w:val="（%1）"/>
      <w:lvlJc w:val="left"/>
    </w:lvl>
  </w:abstractNum>
  <w:num w:numId="1">
    <w:abstractNumId w:val="8"/>
  </w:num>
  <w:num w:numId="2">
    <w:abstractNumId w:val="5"/>
  </w:num>
  <w:num w:numId="3">
    <w:abstractNumId w:val="9"/>
  </w:num>
  <w:num w:numId="4">
    <w:abstractNumId w:val="10"/>
  </w:num>
  <w:num w:numId="5">
    <w:abstractNumId w:val="7"/>
  </w:num>
  <w:num w:numId="6">
    <w:abstractNumId w:val="0"/>
  </w:num>
  <w:num w:numId="7">
    <w:abstractNumId w:val="2"/>
  </w:num>
  <w:num w:numId="8">
    <w:abstractNumId w:val="11"/>
  </w:num>
  <w:num w:numId="9">
    <w:abstractNumId w:val="4"/>
  </w:num>
  <w:num w:numId="10">
    <w:abstractNumId w:val="12"/>
  </w:num>
  <w:num w:numId="11">
    <w:abstractNumId w:val="6"/>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5ZGQ2YmNlZjhmMGJlM2NiZDZmOTEwZDRlNzFlMjgifQ=="/>
  </w:docVars>
  <w:rsids>
    <w:rsidRoot w:val="00172A27"/>
    <w:rsid w:val="002C00C5"/>
    <w:rsid w:val="004435CA"/>
    <w:rsid w:val="00483F46"/>
    <w:rsid w:val="005255BE"/>
    <w:rsid w:val="00622AE4"/>
    <w:rsid w:val="00697721"/>
    <w:rsid w:val="00792CED"/>
    <w:rsid w:val="00810516"/>
    <w:rsid w:val="00A02F12"/>
    <w:rsid w:val="00A142A1"/>
    <w:rsid w:val="00A95A9A"/>
    <w:rsid w:val="00AC28BC"/>
    <w:rsid w:val="00B3549F"/>
    <w:rsid w:val="00BE5D65"/>
    <w:rsid w:val="00DF63E1"/>
    <w:rsid w:val="00E22B1C"/>
    <w:rsid w:val="00E57B9F"/>
    <w:rsid w:val="00E9423E"/>
    <w:rsid w:val="00EE6914"/>
    <w:rsid w:val="00EF63F1"/>
    <w:rsid w:val="011653B3"/>
    <w:rsid w:val="011B0EAE"/>
    <w:rsid w:val="01396E1E"/>
    <w:rsid w:val="01441BA5"/>
    <w:rsid w:val="01565674"/>
    <w:rsid w:val="015F4EA6"/>
    <w:rsid w:val="01631090"/>
    <w:rsid w:val="01782C72"/>
    <w:rsid w:val="01785F13"/>
    <w:rsid w:val="017B7EC7"/>
    <w:rsid w:val="018E36E1"/>
    <w:rsid w:val="01905D25"/>
    <w:rsid w:val="01AF1054"/>
    <w:rsid w:val="01B94994"/>
    <w:rsid w:val="01C539A4"/>
    <w:rsid w:val="01CE61B8"/>
    <w:rsid w:val="01CF3028"/>
    <w:rsid w:val="01E9187C"/>
    <w:rsid w:val="01EC034F"/>
    <w:rsid w:val="01F619AA"/>
    <w:rsid w:val="01FE3F4C"/>
    <w:rsid w:val="02074C42"/>
    <w:rsid w:val="020B355E"/>
    <w:rsid w:val="021138F7"/>
    <w:rsid w:val="021558DE"/>
    <w:rsid w:val="02184C85"/>
    <w:rsid w:val="021972B6"/>
    <w:rsid w:val="021B29F0"/>
    <w:rsid w:val="021B4152"/>
    <w:rsid w:val="021E10DC"/>
    <w:rsid w:val="02261125"/>
    <w:rsid w:val="02272D62"/>
    <w:rsid w:val="022F017E"/>
    <w:rsid w:val="02363411"/>
    <w:rsid w:val="02394E5C"/>
    <w:rsid w:val="025E7EF8"/>
    <w:rsid w:val="026F7AB8"/>
    <w:rsid w:val="02721E78"/>
    <w:rsid w:val="02780C2D"/>
    <w:rsid w:val="02811782"/>
    <w:rsid w:val="028639BA"/>
    <w:rsid w:val="02937B18"/>
    <w:rsid w:val="02AD415A"/>
    <w:rsid w:val="02B05F22"/>
    <w:rsid w:val="02BA3AFD"/>
    <w:rsid w:val="02BC1D4F"/>
    <w:rsid w:val="02C21536"/>
    <w:rsid w:val="02C6056F"/>
    <w:rsid w:val="02D25A6D"/>
    <w:rsid w:val="02DA66D9"/>
    <w:rsid w:val="02E03B0B"/>
    <w:rsid w:val="02E31F16"/>
    <w:rsid w:val="02E65CE7"/>
    <w:rsid w:val="02F37B30"/>
    <w:rsid w:val="02F744C4"/>
    <w:rsid w:val="030E0E46"/>
    <w:rsid w:val="03107E03"/>
    <w:rsid w:val="03164E23"/>
    <w:rsid w:val="031D6D27"/>
    <w:rsid w:val="031F6104"/>
    <w:rsid w:val="03243E24"/>
    <w:rsid w:val="03315E11"/>
    <w:rsid w:val="033414C4"/>
    <w:rsid w:val="03382D3A"/>
    <w:rsid w:val="034C7850"/>
    <w:rsid w:val="03560BE9"/>
    <w:rsid w:val="03675157"/>
    <w:rsid w:val="036B7DA6"/>
    <w:rsid w:val="03783B60"/>
    <w:rsid w:val="03912F41"/>
    <w:rsid w:val="03B94439"/>
    <w:rsid w:val="03C4278D"/>
    <w:rsid w:val="03D270B5"/>
    <w:rsid w:val="03D56844"/>
    <w:rsid w:val="03DA46A8"/>
    <w:rsid w:val="03E2554B"/>
    <w:rsid w:val="03E70DB3"/>
    <w:rsid w:val="03F13330"/>
    <w:rsid w:val="03F248A9"/>
    <w:rsid w:val="03F97754"/>
    <w:rsid w:val="04027960"/>
    <w:rsid w:val="04030542"/>
    <w:rsid w:val="04096F7B"/>
    <w:rsid w:val="0409799A"/>
    <w:rsid w:val="041E626E"/>
    <w:rsid w:val="0427257C"/>
    <w:rsid w:val="042B650B"/>
    <w:rsid w:val="044B1E0B"/>
    <w:rsid w:val="044D472A"/>
    <w:rsid w:val="0458137E"/>
    <w:rsid w:val="04677F7F"/>
    <w:rsid w:val="046D630E"/>
    <w:rsid w:val="04900DCA"/>
    <w:rsid w:val="04912EAB"/>
    <w:rsid w:val="0494642D"/>
    <w:rsid w:val="04A46CA4"/>
    <w:rsid w:val="04A64C8A"/>
    <w:rsid w:val="04A66578"/>
    <w:rsid w:val="04A95A26"/>
    <w:rsid w:val="04B53B68"/>
    <w:rsid w:val="04C16003"/>
    <w:rsid w:val="04C835B9"/>
    <w:rsid w:val="04D32DB4"/>
    <w:rsid w:val="04D3700F"/>
    <w:rsid w:val="04E2157A"/>
    <w:rsid w:val="04E73BB4"/>
    <w:rsid w:val="04F37544"/>
    <w:rsid w:val="04F65B76"/>
    <w:rsid w:val="04FC088E"/>
    <w:rsid w:val="05202444"/>
    <w:rsid w:val="052C4C65"/>
    <w:rsid w:val="05420CBD"/>
    <w:rsid w:val="05493B39"/>
    <w:rsid w:val="055C0E67"/>
    <w:rsid w:val="055E6118"/>
    <w:rsid w:val="05667A7A"/>
    <w:rsid w:val="05687CEB"/>
    <w:rsid w:val="05797385"/>
    <w:rsid w:val="058648D2"/>
    <w:rsid w:val="05947B02"/>
    <w:rsid w:val="05A313BB"/>
    <w:rsid w:val="05B457FC"/>
    <w:rsid w:val="05BB1DF5"/>
    <w:rsid w:val="05EB4740"/>
    <w:rsid w:val="05F57ECB"/>
    <w:rsid w:val="05F65F54"/>
    <w:rsid w:val="060B692E"/>
    <w:rsid w:val="06171429"/>
    <w:rsid w:val="06185ABE"/>
    <w:rsid w:val="06280B84"/>
    <w:rsid w:val="06315FF7"/>
    <w:rsid w:val="064A387B"/>
    <w:rsid w:val="06566B19"/>
    <w:rsid w:val="065965E2"/>
    <w:rsid w:val="0660275A"/>
    <w:rsid w:val="066209DB"/>
    <w:rsid w:val="06755E99"/>
    <w:rsid w:val="067B259F"/>
    <w:rsid w:val="067F4A0F"/>
    <w:rsid w:val="067F4A75"/>
    <w:rsid w:val="068723D9"/>
    <w:rsid w:val="06B953EE"/>
    <w:rsid w:val="06BD23E6"/>
    <w:rsid w:val="06CD24E2"/>
    <w:rsid w:val="06DC646E"/>
    <w:rsid w:val="06DF7E44"/>
    <w:rsid w:val="06E12414"/>
    <w:rsid w:val="06EC66E0"/>
    <w:rsid w:val="071A324D"/>
    <w:rsid w:val="071F0864"/>
    <w:rsid w:val="071F3794"/>
    <w:rsid w:val="072B4919"/>
    <w:rsid w:val="072F5D2B"/>
    <w:rsid w:val="073A77D4"/>
    <w:rsid w:val="07456B55"/>
    <w:rsid w:val="074B0801"/>
    <w:rsid w:val="0754675F"/>
    <w:rsid w:val="07702E6D"/>
    <w:rsid w:val="0773068B"/>
    <w:rsid w:val="07762B7A"/>
    <w:rsid w:val="07A24F71"/>
    <w:rsid w:val="07B04CD4"/>
    <w:rsid w:val="07BF0365"/>
    <w:rsid w:val="07C763C4"/>
    <w:rsid w:val="07D636F0"/>
    <w:rsid w:val="07E44909"/>
    <w:rsid w:val="07F103B6"/>
    <w:rsid w:val="07F67466"/>
    <w:rsid w:val="07F67816"/>
    <w:rsid w:val="07F678E6"/>
    <w:rsid w:val="080339AD"/>
    <w:rsid w:val="080B456B"/>
    <w:rsid w:val="08115EBC"/>
    <w:rsid w:val="08145A95"/>
    <w:rsid w:val="082D52EC"/>
    <w:rsid w:val="08330197"/>
    <w:rsid w:val="08616874"/>
    <w:rsid w:val="08793B9B"/>
    <w:rsid w:val="087F4ADF"/>
    <w:rsid w:val="088C4EE9"/>
    <w:rsid w:val="08912C3E"/>
    <w:rsid w:val="089A5229"/>
    <w:rsid w:val="08A116F6"/>
    <w:rsid w:val="08A74A42"/>
    <w:rsid w:val="08BD1DC5"/>
    <w:rsid w:val="08C75A1D"/>
    <w:rsid w:val="08CB060C"/>
    <w:rsid w:val="08D33081"/>
    <w:rsid w:val="08D351BE"/>
    <w:rsid w:val="08E25FED"/>
    <w:rsid w:val="08E52080"/>
    <w:rsid w:val="08F053C4"/>
    <w:rsid w:val="08F31C82"/>
    <w:rsid w:val="08F35052"/>
    <w:rsid w:val="08F757FA"/>
    <w:rsid w:val="09044012"/>
    <w:rsid w:val="091744CC"/>
    <w:rsid w:val="092E599C"/>
    <w:rsid w:val="093F2622"/>
    <w:rsid w:val="09407FD2"/>
    <w:rsid w:val="09412287"/>
    <w:rsid w:val="094942C7"/>
    <w:rsid w:val="09535693"/>
    <w:rsid w:val="09536F6B"/>
    <w:rsid w:val="095E1C34"/>
    <w:rsid w:val="096A4F50"/>
    <w:rsid w:val="096E636F"/>
    <w:rsid w:val="097E3F67"/>
    <w:rsid w:val="09832FB2"/>
    <w:rsid w:val="098A0BC4"/>
    <w:rsid w:val="099D41B9"/>
    <w:rsid w:val="099D49DC"/>
    <w:rsid w:val="09A125B7"/>
    <w:rsid w:val="09A37F9F"/>
    <w:rsid w:val="09B56C69"/>
    <w:rsid w:val="09C6232C"/>
    <w:rsid w:val="09CB16BA"/>
    <w:rsid w:val="09CD0C44"/>
    <w:rsid w:val="09DB7548"/>
    <w:rsid w:val="09DF2C23"/>
    <w:rsid w:val="09F73D27"/>
    <w:rsid w:val="09F963C6"/>
    <w:rsid w:val="0A0A00B0"/>
    <w:rsid w:val="0A0A75A9"/>
    <w:rsid w:val="0A212226"/>
    <w:rsid w:val="0A315324"/>
    <w:rsid w:val="0A35628F"/>
    <w:rsid w:val="0A376186"/>
    <w:rsid w:val="0A3C063D"/>
    <w:rsid w:val="0A435A04"/>
    <w:rsid w:val="0A484412"/>
    <w:rsid w:val="0A4C5B1D"/>
    <w:rsid w:val="0A535B50"/>
    <w:rsid w:val="0A795C4D"/>
    <w:rsid w:val="0A7E1D45"/>
    <w:rsid w:val="0A954C7C"/>
    <w:rsid w:val="0A993FBF"/>
    <w:rsid w:val="0AA51080"/>
    <w:rsid w:val="0AA61284"/>
    <w:rsid w:val="0AA96DC2"/>
    <w:rsid w:val="0ABB7F1A"/>
    <w:rsid w:val="0ABF54FB"/>
    <w:rsid w:val="0AC66363"/>
    <w:rsid w:val="0AD329BB"/>
    <w:rsid w:val="0AD434DC"/>
    <w:rsid w:val="0AD66358"/>
    <w:rsid w:val="0AE2480E"/>
    <w:rsid w:val="0AEC34AE"/>
    <w:rsid w:val="0AF0679F"/>
    <w:rsid w:val="0AF10B2B"/>
    <w:rsid w:val="0AF41A48"/>
    <w:rsid w:val="0AFA33B1"/>
    <w:rsid w:val="0AFC25EF"/>
    <w:rsid w:val="0AFE6295"/>
    <w:rsid w:val="0B032431"/>
    <w:rsid w:val="0B0F5B25"/>
    <w:rsid w:val="0B1A0E63"/>
    <w:rsid w:val="0B1B7A70"/>
    <w:rsid w:val="0B261F6D"/>
    <w:rsid w:val="0B400144"/>
    <w:rsid w:val="0B50521E"/>
    <w:rsid w:val="0B510B0B"/>
    <w:rsid w:val="0B521DAC"/>
    <w:rsid w:val="0B5C0CEA"/>
    <w:rsid w:val="0B601B56"/>
    <w:rsid w:val="0B6B6E1B"/>
    <w:rsid w:val="0B8E0909"/>
    <w:rsid w:val="0B8E5842"/>
    <w:rsid w:val="0B933C9B"/>
    <w:rsid w:val="0B977132"/>
    <w:rsid w:val="0B992F66"/>
    <w:rsid w:val="0BAC424D"/>
    <w:rsid w:val="0BAD2373"/>
    <w:rsid w:val="0BBA3E63"/>
    <w:rsid w:val="0BBC3016"/>
    <w:rsid w:val="0BC02E7B"/>
    <w:rsid w:val="0BC112AD"/>
    <w:rsid w:val="0BC56019"/>
    <w:rsid w:val="0BC74F47"/>
    <w:rsid w:val="0BCD3F70"/>
    <w:rsid w:val="0BD97701"/>
    <w:rsid w:val="0BDB42E9"/>
    <w:rsid w:val="0BDC13E9"/>
    <w:rsid w:val="0BE54452"/>
    <w:rsid w:val="0BEB731D"/>
    <w:rsid w:val="0BEF0FDC"/>
    <w:rsid w:val="0BF56F1E"/>
    <w:rsid w:val="0BFA721E"/>
    <w:rsid w:val="0C12627F"/>
    <w:rsid w:val="0C14470F"/>
    <w:rsid w:val="0C1A7001"/>
    <w:rsid w:val="0C1B739D"/>
    <w:rsid w:val="0C2F4784"/>
    <w:rsid w:val="0C3737A1"/>
    <w:rsid w:val="0C37664F"/>
    <w:rsid w:val="0C423D4E"/>
    <w:rsid w:val="0C440D04"/>
    <w:rsid w:val="0C4422D3"/>
    <w:rsid w:val="0C444614"/>
    <w:rsid w:val="0C4548C9"/>
    <w:rsid w:val="0C5213BB"/>
    <w:rsid w:val="0C551C3A"/>
    <w:rsid w:val="0C662065"/>
    <w:rsid w:val="0C676F35"/>
    <w:rsid w:val="0C865C16"/>
    <w:rsid w:val="0C936C3F"/>
    <w:rsid w:val="0C9E7CD1"/>
    <w:rsid w:val="0CA21F49"/>
    <w:rsid w:val="0CAA223D"/>
    <w:rsid w:val="0CAE1792"/>
    <w:rsid w:val="0CB43C31"/>
    <w:rsid w:val="0CB61955"/>
    <w:rsid w:val="0CCD79AA"/>
    <w:rsid w:val="0CCE07C8"/>
    <w:rsid w:val="0CFE30F6"/>
    <w:rsid w:val="0CFE46F5"/>
    <w:rsid w:val="0D0016BF"/>
    <w:rsid w:val="0D090121"/>
    <w:rsid w:val="0D0C2B7B"/>
    <w:rsid w:val="0D1D7279"/>
    <w:rsid w:val="0D1F336B"/>
    <w:rsid w:val="0D21512B"/>
    <w:rsid w:val="0D2649A7"/>
    <w:rsid w:val="0D3E6DB7"/>
    <w:rsid w:val="0D417190"/>
    <w:rsid w:val="0D461B30"/>
    <w:rsid w:val="0D474B79"/>
    <w:rsid w:val="0D5653A9"/>
    <w:rsid w:val="0D612A2F"/>
    <w:rsid w:val="0D716177"/>
    <w:rsid w:val="0D7A28CA"/>
    <w:rsid w:val="0D8145D3"/>
    <w:rsid w:val="0D8C54AE"/>
    <w:rsid w:val="0D9920E6"/>
    <w:rsid w:val="0DA2480E"/>
    <w:rsid w:val="0DAD35E6"/>
    <w:rsid w:val="0DB00467"/>
    <w:rsid w:val="0DB34448"/>
    <w:rsid w:val="0DB5151F"/>
    <w:rsid w:val="0DB65122"/>
    <w:rsid w:val="0DB83905"/>
    <w:rsid w:val="0DC91EEE"/>
    <w:rsid w:val="0DCC0AEC"/>
    <w:rsid w:val="0DCF0EB6"/>
    <w:rsid w:val="0DCF6C42"/>
    <w:rsid w:val="0DDB10C5"/>
    <w:rsid w:val="0DE33650"/>
    <w:rsid w:val="0DE778A9"/>
    <w:rsid w:val="0DFC7E30"/>
    <w:rsid w:val="0E146C48"/>
    <w:rsid w:val="0E1D02FF"/>
    <w:rsid w:val="0E245585"/>
    <w:rsid w:val="0E2E66E6"/>
    <w:rsid w:val="0E552380"/>
    <w:rsid w:val="0E5703C2"/>
    <w:rsid w:val="0E576B35"/>
    <w:rsid w:val="0E5B43CB"/>
    <w:rsid w:val="0E5C53E1"/>
    <w:rsid w:val="0E652AC5"/>
    <w:rsid w:val="0E6C18C7"/>
    <w:rsid w:val="0E736BA0"/>
    <w:rsid w:val="0E7E12AC"/>
    <w:rsid w:val="0E7E38ED"/>
    <w:rsid w:val="0E7F45D4"/>
    <w:rsid w:val="0E8420CC"/>
    <w:rsid w:val="0E85096E"/>
    <w:rsid w:val="0E8536A2"/>
    <w:rsid w:val="0E8B4168"/>
    <w:rsid w:val="0E975448"/>
    <w:rsid w:val="0E9A445C"/>
    <w:rsid w:val="0E9B0CB0"/>
    <w:rsid w:val="0EA47D4D"/>
    <w:rsid w:val="0EAC5412"/>
    <w:rsid w:val="0EBB2FCE"/>
    <w:rsid w:val="0ED15953"/>
    <w:rsid w:val="0EDE3A4C"/>
    <w:rsid w:val="0EFB7642"/>
    <w:rsid w:val="0EFF2990"/>
    <w:rsid w:val="0F064CB9"/>
    <w:rsid w:val="0F2129EA"/>
    <w:rsid w:val="0F3A5AE7"/>
    <w:rsid w:val="0F4079D4"/>
    <w:rsid w:val="0F4E6CC3"/>
    <w:rsid w:val="0F59068B"/>
    <w:rsid w:val="0F5A2BFA"/>
    <w:rsid w:val="0F5F460A"/>
    <w:rsid w:val="0F6529EE"/>
    <w:rsid w:val="0F746AD2"/>
    <w:rsid w:val="0F7E5CE7"/>
    <w:rsid w:val="0F847DFE"/>
    <w:rsid w:val="0F8D6F1D"/>
    <w:rsid w:val="0F917E7F"/>
    <w:rsid w:val="0FA26992"/>
    <w:rsid w:val="0FA345C2"/>
    <w:rsid w:val="0FA4224E"/>
    <w:rsid w:val="0FA4446A"/>
    <w:rsid w:val="0FB01D1F"/>
    <w:rsid w:val="0FB70C80"/>
    <w:rsid w:val="0FB87AA7"/>
    <w:rsid w:val="0FBC3B2D"/>
    <w:rsid w:val="0FBD39FA"/>
    <w:rsid w:val="0FC839B9"/>
    <w:rsid w:val="0FCD6844"/>
    <w:rsid w:val="0FD15829"/>
    <w:rsid w:val="0FDE08A0"/>
    <w:rsid w:val="10091C47"/>
    <w:rsid w:val="10174037"/>
    <w:rsid w:val="104F18C2"/>
    <w:rsid w:val="105B2D61"/>
    <w:rsid w:val="106E1667"/>
    <w:rsid w:val="10790FE5"/>
    <w:rsid w:val="10797DC1"/>
    <w:rsid w:val="108B098C"/>
    <w:rsid w:val="109E4479"/>
    <w:rsid w:val="109E6A41"/>
    <w:rsid w:val="10A204AE"/>
    <w:rsid w:val="10BE2C64"/>
    <w:rsid w:val="10C52E70"/>
    <w:rsid w:val="10CA62D1"/>
    <w:rsid w:val="10D1070B"/>
    <w:rsid w:val="10DD651F"/>
    <w:rsid w:val="10EC085B"/>
    <w:rsid w:val="10F15133"/>
    <w:rsid w:val="10F27F71"/>
    <w:rsid w:val="1101056A"/>
    <w:rsid w:val="11173EC9"/>
    <w:rsid w:val="11241311"/>
    <w:rsid w:val="11247D54"/>
    <w:rsid w:val="113066A6"/>
    <w:rsid w:val="11351166"/>
    <w:rsid w:val="113704F1"/>
    <w:rsid w:val="113A41CF"/>
    <w:rsid w:val="11427629"/>
    <w:rsid w:val="11436875"/>
    <w:rsid w:val="11582973"/>
    <w:rsid w:val="115D0792"/>
    <w:rsid w:val="115E7418"/>
    <w:rsid w:val="116677CC"/>
    <w:rsid w:val="1176097D"/>
    <w:rsid w:val="118244C0"/>
    <w:rsid w:val="11877A85"/>
    <w:rsid w:val="11BA03DF"/>
    <w:rsid w:val="11C540B5"/>
    <w:rsid w:val="11C63143"/>
    <w:rsid w:val="11F97B3C"/>
    <w:rsid w:val="11FF408E"/>
    <w:rsid w:val="120363E1"/>
    <w:rsid w:val="12087A18"/>
    <w:rsid w:val="120F4AA2"/>
    <w:rsid w:val="121216F1"/>
    <w:rsid w:val="12193527"/>
    <w:rsid w:val="12362335"/>
    <w:rsid w:val="12490079"/>
    <w:rsid w:val="124B449C"/>
    <w:rsid w:val="1260044F"/>
    <w:rsid w:val="126F515F"/>
    <w:rsid w:val="128248A8"/>
    <w:rsid w:val="128A38B3"/>
    <w:rsid w:val="128C36CC"/>
    <w:rsid w:val="12992672"/>
    <w:rsid w:val="12C1522B"/>
    <w:rsid w:val="12C744E4"/>
    <w:rsid w:val="12D92BD0"/>
    <w:rsid w:val="12E7487A"/>
    <w:rsid w:val="12FD1BF7"/>
    <w:rsid w:val="130D2F59"/>
    <w:rsid w:val="131430CC"/>
    <w:rsid w:val="13193533"/>
    <w:rsid w:val="13276AA4"/>
    <w:rsid w:val="13310BD3"/>
    <w:rsid w:val="13392E2E"/>
    <w:rsid w:val="133B07BF"/>
    <w:rsid w:val="13440607"/>
    <w:rsid w:val="134F6FCA"/>
    <w:rsid w:val="135F79C5"/>
    <w:rsid w:val="136603CE"/>
    <w:rsid w:val="13861B64"/>
    <w:rsid w:val="13873EEF"/>
    <w:rsid w:val="138B1413"/>
    <w:rsid w:val="138E4540"/>
    <w:rsid w:val="139351D1"/>
    <w:rsid w:val="13973B67"/>
    <w:rsid w:val="139917F6"/>
    <w:rsid w:val="139D2CFE"/>
    <w:rsid w:val="139E2B38"/>
    <w:rsid w:val="13A06C33"/>
    <w:rsid w:val="13A1136E"/>
    <w:rsid w:val="13A63FB8"/>
    <w:rsid w:val="13A67F5D"/>
    <w:rsid w:val="13B07560"/>
    <w:rsid w:val="13B90CB9"/>
    <w:rsid w:val="13C25CBA"/>
    <w:rsid w:val="13DB65A7"/>
    <w:rsid w:val="13DD1972"/>
    <w:rsid w:val="13E970F0"/>
    <w:rsid w:val="13F5650D"/>
    <w:rsid w:val="13F740AC"/>
    <w:rsid w:val="13FC3064"/>
    <w:rsid w:val="1414150B"/>
    <w:rsid w:val="14262774"/>
    <w:rsid w:val="143C0B97"/>
    <w:rsid w:val="14535829"/>
    <w:rsid w:val="146213BE"/>
    <w:rsid w:val="146F502C"/>
    <w:rsid w:val="148C2E95"/>
    <w:rsid w:val="14935A24"/>
    <w:rsid w:val="1494463F"/>
    <w:rsid w:val="14972F44"/>
    <w:rsid w:val="14973D3E"/>
    <w:rsid w:val="14992679"/>
    <w:rsid w:val="149B029A"/>
    <w:rsid w:val="14B04F4C"/>
    <w:rsid w:val="14D70BDB"/>
    <w:rsid w:val="14D8046E"/>
    <w:rsid w:val="14DA401C"/>
    <w:rsid w:val="14DE0976"/>
    <w:rsid w:val="14E4587C"/>
    <w:rsid w:val="14E86739"/>
    <w:rsid w:val="14F162A0"/>
    <w:rsid w:val="14F23EA3"/>
    <w:rsid w:val="14FB3DD1"/>
    <w:rsid w:val="14FB646C"/>
    <w:rsid w:val="1518045A"/>
    <w:rsid w:val="151872FC"/>
    <w:rsid w:val="15212070"/>
    <w:rsid w:val="1528122B"/>
    <w:rsid w:val="152B1E54"/>
    <w:rsid w:val="153B2D0D"/>
    <w:rsid w:val="15497022"/>
    <w:rsid w:val="15662FCA"/>
    <w:rsid w:val="1589690E"/>
    <w:rsid w:val="158B2EC0"/>
    <w:rsid w:val="15AA22AC"/>
    <w:rsid w:val="15AF7257"/>
    <w:rsid w:val="15BA7068"/>
    <w:rsid w:val="15C62E95"/>
    <w:rsid w:val="15CB238D"/>
    <w:rsid w:val="15DA1549"/>
    <w:rsid w:val="15DB6451"/>
    <w:rsid w:val="15E71AC2"/>
    <w:rsid w:val="15FA2BC8"/>
    <w:rsid w:val="15FF3D3A"/>
    <w:rsid w:val="160B54FE"/>
    <w:rsid w:val="160F7CF5"/>
    <w:rsid w:val="161B0DDD"/>
    <w:rsid w:val="161E484D"/>
    <w:rsid w:val="162C63AB"/>
    <w:rsid w:val="16302145"/>
    <w:rsid w:val="16497B24"/>
    <w:rsid w:val="165745BF"/>
    <w:rsid w:val="16584FC8"/>
    <w:rsid w:val="166103AE"/>
    <w:rsid w:val="16917AAF"/>
    <w:rsid w:val="16967CFA"/>
    <w:rsid w:val="16A03A65"/>
    <w:rsid w:val="16BF5243"/>
    <w:rsid w:val="16CB5C81"/>
    <w:rsid w:val="16E650F8"/>
    <w:rsid w:val="16E817D6"/>
    <w:rsid w:val="16E96798"/>
    <w:rsid w:val="173726C6"/>
    <w:rsid w:val="173B5B21"/>
    <w:rsid w:val="174F59D0"/>
    <w:rsid w:val="1752549D"/>
    <w:rsid w:val="175640DA"/>
    <w:rsid w:val="175B5483"/>
    <w:rsid w:val="175C7FA9"/>
    <w:rsid w:val="175E627F"/>
    <w:rsid w:val="177353CB"/>
    <w:rsid w:val="17771040"/>
    <w:rsid w:val="17807ED6"/>
    <w:rsid w:val="178733FF"/>
    <w:rsid w:val="179679D5"/>
    <w:rsid w:val="17994C66"/>
    <w:rsid w:val="179B456A"/>
    <w:rsid w:val="17A91726"/>
    <w:rsid w:val="17B648CC"/>
    <w:rsid w:val="17C870CC"/>
    <w:rsid w:val="17CA2DC6"/>
    <w:rsid w:val="17CF0CFE"/>
    <w:rsid w:val="17DF230C"/>
    <w:rsid w:val="17F92A0B"/>
    <w:rsid w:val="17FE3BD9"/>
    <w:rsid w:val="1804344F"/>
    <w:rsid w:val="18322594"/>
    <w:rsid w:val="18334F9A"/>
    <w:rsid w:val="18550EF6"/>
    <w:rsid w:val="18624A54"/>
    <w:rsid w:val="188D00FA"/>
    <w:rsid w:val="18AF3C6A"/>
    <w:rsid w:val="18B118ED"/>
    <w:rsid w:val="18D53478"/>
    <w:rsid w:val="18E84F59"/>
    <w:rsid w:val="18F70959"/>
    <w:rsid w:val="18FA5BF5"/>
    <w:rsid w:val="190460BE"/>
    <w:rsid w:val="191B7751"/>
    <w:rsid w:val="1926420A"/>
    <w:rsid w:val="192A7A47"/>
    <w:rsid w:val="194204B3"/>
    <w:rsid w:val="19456785"/>
    <w:rsid w:val="195B4B79"/>
    <w:rsid w:val="195C28BE"/>
    <w:rsid w:val="195E521C"/>
    <w:rsid w:val="198804EA"/>
    <w:rsid w:val="19960E59"/>
    <w:rsid w:val="19A215AC"/>
    <w:rsid w:val="19A61C3A"/>
    <w:rsid w:val="19D61F6F"/>
    <w:rsid w:val="19D91A40"/>
    <w:rsid w:val="19E21D1B"/>
    <w:rsid w:val="19EC14BF"/>
    <w:rsid w:val="19EC1A55"/>
    <w:rsid w:val="19EF4E5E"/>
    <w:rsid w:val="19F96B6F"/>
    <w:rsid w:val="19FD4AA7"/>
    <w:rsid w:val="19FE255B"/>
    <w:rsid w:val="1A14060E"/>
    <w:rsid w:val="1A1757FE"/>
    <w:rsid w:val="1A294472"/>
    <w:rsid w:val="1A3113F9"/>
    <w:rsid w:val="1A3E0F36"/>
    <w:rsid w:val="1A3E530F"/>
    <w:rsid w:val="1A3F29F4"/>
    <w:rsid w:val="1A400CBF"/>
    <w:rsid w:val="1A4B10D4"/>
    <w:rsid w:val="1A5042B3"/>
    <w:rsid w:val="1A507ECA"/>
    <w:rsid w:val="1A606D71"/>
    <w:rsid w:val="1A6168A3"/>
    <w:rsid w:val="1A640DA1"/>
    <w:rsid w:val="1A7017D6"/>
    <w:rsid w:val="1A7F47B4"/>
    <w:rsid w:val="1A8D758A"/>
    <w:rsid w:val="1A9A77F6"/>
    <w:rsid w:val="1AA41955"/>
    <w:rsid w:val="1AA41C22"/>
    <w:rsid w:val="1AB470D0"/>
    <w:rsid w:val="1AB7536C"/>
    <w:rsid w:val="1AC24F01"/>
    <w:rsid w:val="1ACC2FBE"/>
    <w:rsid w:val="1ACC4B81"/>
    <w:rsid w:val="1AD01D69"/>
    <w:rsid w:val="1ADA3B88"/>
    <w:rsid w:val="1AFA3181"/>
    <w:rsid w:val="1AFB5BF5"/>
    <w:rsid w:val="1B0D0CA7"/>
    <w:rsid w:val="1B1E1D57"/>
    <w:rsid w:val="1B1F09DB"/>
    <w:rsid w:val="1B254F07"/>
    <w:rsid w:val="1B283D33"/>
    <w:rsid w:val="1B2B329A"/>
    <w:rsid w:val="1B3808EA"/>
    <w:rsid w:val="1B3E6445"/>
    <w:rsid w:val="1B4228E4"/>
    <w:rsid w:val="1B705779"/>
    <w:rsid w:val="1B73264D"/>
    <w:rsid w:val="1B787F45"/>
    <w:rsid w:val="1B7C5E2D"/>
    <w:rsid w:val="1B7F1479"/>
    <w:rsid w:val="1B8634DF"/>
    <w:rsid w:val="1B8D63E4"/>
    <w:rsid w:val="1B8F4F20"/>
    <w:rsid w:val="1B9413C8"/>
    <w:rsid w:val="1B9BD2A4"/>
    <w:rsid w:val="1BA14F7B"/>
    <w:rsid w:val="1BA92F8F"/>
    <w:rsid w:val="1BB17CC9"/>
    <w:rsid w:val="1BC01163"/>
    <w:rsid w:val="1BC41184"/>
    <w:rsid w:val="1BC9792C"/>
    <w:rsid w:val="1BCD4A2B"/>
    <w:rsid w:val="1BDE0DE4"/>
    <w:rsid w:val="1BDF5099"/>
    <w:rsid w:val="1BE230C1"/>
    <w:rsid w:val="1BF168E9"/>
    <w:rsid w:val="1BF37289"/>
    <w:rsid w:val="1C0210C4"/>
    <w:rsid w:val="1C143BB2"/>
    <w:rsid w:val="1C1D6548"/>
    <w:rsid w:val="1C21202A"/>
    <w:rsid w:val="1C24690F"/>
    <w:rsid w:val="1C284075"/>
    <w:rsid w:val="1C3B6687"/>
    <w:rsid w:val="1C4F169E"/>
    <w:rsid w:val="1C5703A4"/>
    <w:rsid w:val="1C594F4C"/>
    <w:rsid w:val="1C5B21BC"/>
    <w:rsid w:val="1C5F4C98"/>
    <w:rsid w:val="1C64788E"/>
    <w:rsid w:val="1C692AE8"/>
    <w:rsid w:val="1C7C4647"/>
    <w:rsid w:val="1C914952"/>
    <w:rsid w:val="1C9C1F88"/>
    <w:rsid w:val="1CB37426"/>
    <w:rsid w:val="1CB40DF8"/>
    <w:rsid w:val="1CB533A4"/>
    <w:rsid w:val="1CB61D4F"/>
    <w:rsid w:val="1CC021CA"/>
    <w:rsid w:val="1CC221ED"/>
    <w:rsid w:val="1CC8118D"/>
    <w:rsid w:val="1CCC583A"/>
    <w:rsid w:val="1CD83537"/>
    <w:rsid w:val="1CDD2E4A"/>
    <w:rsid w:val="1CEA0EAA"/>
    <w:rsid w:val="1CED2D5E"/>
    <w:rsid w:val="1CF71B53"/>
    <w:rsid w:val="1D036806"/>
    <w:rsid w:val="1D077978"/>
    <w:rsid w:val="1D1D0F4A"/>
    <w:rsid w:val="1D1D78A1"/>
    <w:rsid w:val="1D1E554A"/>
    <w:rsid w:val="1D3C547E"/>
    <w:rsid w:val="1D3E543D"/>
    <w:rsid w:val="1D4E4D5C"/>
    <w:rsid w:val="1D554B87"/>
    <w:rsid w:val="1D575BA7"/>
    <w:rsid w:val="1D6C1968"/>
    <w:rsid w:val="1D736C89"/>
    <w:rsid w:val="1D82503F"/>
    <w:rsid w:val="1D920BF0"/>
    <w:rsid w:val="1D9840B6"/>
    <w:rsid w:val="1D9A49A4"/>
    <w:rsid w:val="1DA44F13"/>
    <w:rsid w:val="1DA9498F"/>
    <w:rsid w:val="1DAB6F39"/>
    <w:rsid w:val="1DAD0CA0"/>
    <w:rsid w:val="1DB87AD3"/>
    <w:rsid w:val="1DCB0075"/>
    <w:rsid w:val="1DCB431A"/>
    <w:rsid w:val="1DDA358E"/>
    <w:rsid w:val="1DDA7296"/>
    <w:rsid w:val="1DE3153D"/>
    <w:rsid w:val="1DF27FED"/>
    <w:rsid w:val="1DF32507"/>
    <w:rsid w:val="1DF75731"/>
    <w:rsid w:val="1E1A2612"/>
    <w:rsid w:val="1E237600"/>
    <w:rsid w:val="1E2702D2"/>
    <w:rsid w:val="1E2D4F75"/>
    <w:rsid w:val="1E301B9F"/>
    <w:rsid w:val="1E343319"/>
    <w:rsid w:val="1E3D15F1"/>
    <w:rsid w:val="1E3D2556"/>
    <w:rsid w:val="1E455902"/>
    <w:rsid w:val="1E544743"/>
    <w:rsid w:val="1E6803C3"/>
    <w:rsid w:val="1E68604E"/>
    <w:rsid w:val="1E726E76"/>
    <w:rsid w:val="1E753BEC"/>
    <w:rsid w:val="1E7D3ED8"/>
    <w:rsid w:val="1E895040"/>
    <w:rsid w:val="1E8E0144"/>
    <w:rsid w:val="1E9242EB"/>
    <w:rsid w:val="1EA57347"/>
    <w:rsid w:val="1EA90432"/>
    <w:rsid w:val="1EAE0C12"/>
    <w:rsid w:val="1EB6419A"/>
    <w:rsid w:val="1EB678A8"/>
    <w:rsid w:val="1EC92424"/>
    <w:rsid w:val="1ECA3C06"/>
    <w:rsid w:val="1ECA6EAF"/>
    <w:rsid w:val="1ECB1867"/>
    <w:rsid w:val="1ECC75D4"/>
    <w:rsid w:val="1EDA1380"/>
    <w:rsid w:val="1EF0755B"/>
    <w:rsid w:val="1EFA5995"/>
    <w:rsid w:val="1F01473C"/>
    <w:rsid w:val="1F0339D5"/>
    <w:rsid w:val="1F03798E"/>
    <w:rsid w:val="1F070103"/>
    <w:rsid w:val="1F0C49F6"/>
    <w:rsid w:val="1F143446"/>
    <w:rsid w:val="1F146727"/>
    <w:rsid w:val="1F29007A"/>
    <w:rsid w:val="1F29350C"/>
    <w:rsid w:val="1F2D5FFE"/>
    <w:rsid w:val="1F304704"/>
    <w:rsid w:val="1F421728"/>
    <w:rsid w:val="1F486752"/>
    <w:rsid w:val="1F4F3119"/>
    <w:rsid w:val="1F6249DA"/>
    <w:rsid w:val="1F6479BE"/>
    <w:rsid w:val="1F697895"/>
    <w:rsid w:val="1F6E6572"/>
    <w:rsid w:val="1F7C5AF4"/>
    <w:rsid w:val="1F835F75"/>
    <w:rsid w:val="1F8E49C2"/>
    <w:rsid w:val="1F926996"/>
    <w:rsid w:val="1F9355C7"/>
    <w:rsid w:val="1F9C084C"/>
    <w:rsid w:val="1FA919E9"/>
    <w:rsid w:val="1FCB7383"/>
    <w:rsid w:val="1FD77073"/>
    <w:rsid w:val="1FDF4D38"/>
    <w:rsid w:val="1FEA7809"/>
    <w:rsid w:val="1FF65E35"/>
    <w:rsid w:val="200945DD"/>
    <w:rsid w:val="200B7D5E"/>
    <w:rsid w:val="20127D08"/>
    <w:rsid w:val="2018131F"/>
    <w:rsid w:val="201A214F"/>
    <w:rsid w:val="201E1EB0"/>
    <w:rsid w:val="20275CE4"/>
    <w:rsid w:val="20634C34"/>
    <w:rsid w:val="20665C82"/>
    <w:rsid w:val="20750064"/>
    <w:rsid w:val="208963FE"/>
    <w:rsid w:val="208A2D9A"/>
    <w:rsid w:val="209016E9"/>
    <w:rsid w:val="2091720C"/>
    <w:rsid w:val="20A66923"/>
    <w:rsid w:val="20AA223F"/>
    <w:rsid w:val="20AF0CAD"/>
    <w:rsid w:val="20BE49EE"/>
    <w:rsid w:val="20E53012"/>
    <w:rsid w:val="210B318A"/>
    <w:rsid w:val="210C5792"/>
    <w:rsid w:val="21173285"/>
    <w:rsid w:val="21182400"/>
    <w:rsid w:val="213621C0"/>
    <w:rsid w:val="21367DD8"/>
    <w:rsid w:val="21386910"/>
    <w:rsid w:val="213C22E6"/>
    <w:rsid w:val="213F3A2E"/>
    <w:rsid w:val="21442587"/>
    <w:rsid w:val="214C2AFA"/>
    <w:rsid w:val="21674E89"/>
    <w:rsid w:val="216B497A"/>
    <w:rsid w:val="21721428"/>
    <w:rsid w:val="21772314"/>
    <w:rsid w:val="217925AE"/>
    <w:rsid w:val="217D03AD"/>
    <w:rsid w:val="218D3A38"/>
    <w:rsid w:val="218E4C0C"/>
    <w:rsid w:val="219576F3"/>
    <w:rsid w:val="219C03B2"/>
    <w:rsid w:val="21A34ECE"/>
    <w:rsid w:val="21A37F5E"/>
    <w:rsid w:val="21BB68B1"/>
    <w:rsid w:val="21BD5BA9"/>
    <w:rsid w:val="21C63FE7"/>
    <w:rsid w:val="21E20A7E"/>
    <w:rsid w:val="21FA4332"/>
    <w:rsid w:val="22002E22"/>
    <w:rsid w:val="22016088"/>
    <w:rsid w:val="22115DF1"/>
    <w:rsid w:val="221F5E91"/>
    <w:rsid w:val="22243DC4"/>
    <w:rsid w:val="2237219C"/>
    <w:rsid w:val="224103D0"/>
    <w:rsid w:val="226B63C1"/>
    <w:rsid w:val="2278259E"/>
    <w:rsid w:val="227D14B2"/>
    <w:rsid w:val="22D622C7"/>
    <w:rsid w:val="22EC7ABE"/>
    <w:rsid w:val="22FA538D"/>
    <w:rsid w:val="230A07A7"/>
    <w:rsid w:val="230A5AC7"/>
    <w:rsid w:val="23114BD0"/>
    <w:rsid w:val="23116C30"/>
    <w:rsid w:val="23127ED4"/>
    <w:rsid w:val="231716B2"/>
    <w:rsid w:val="232A749D"/>
    <w:rsid w:val="232D5249"/>
    <w:rsid w:val="23404C0D"/>
    <w:rsid w:val="2355768F"/>
    <w:rsid w:val="235D394E"/>
    <w:rsid w:val="23671B57"/>
    <w:rsid w:val="23685B40"/>
    <w:rsid w:val="239A1EDF"/>
    <w:rsid w:val="239A6E45"/>
    <w:rsid w:val="23B90C12"/>
    <w:rsid w:val="23D07624"/>
    <w:rsid w:val="23D9056F"/>
    <w:rsid w:val="23E968FF"/>
    <w:rsid w:val="23F55DE2"/>
    <w:rsid w:val="23FE7256"/>
    <w:rsid w:val="240802E7"/>
    <w:rsid w:val="240928D8"/>
    <w:rsid w:val="240A7D9D"/>
    <w:rsid w:val="24115C3A"/>
    <w:rsid w:val="24301F90"/>
    <w:rsid w:val="2442169F"/>
    <w:rsid w:val="2449089B"/>
    <w:rsid w:val="24497E69"/>
    <w:rsid w:val="244D5A21"/>
    <w:rsid w:val="24701A48"/>
    <w:rsid w:val="2478646F"/>
    <w:rsid w:val="24852EE6"/>
    <w:rsid w:val="248D6E3B"/>
    <w:rsid w:val="24970DA1"/>
    <w:rsid w:val="249E1381"/>
    <w:rsid w:val="24AB249E"/>
    <w:rsid w:val="24BA7BA1"/>
    <w:rsid w:val="24D44AA0"/>
    <w:rsid w:val="24D677F1"/>
    <w:rsid w:val="24F33DD2"/>
    <w:rsid w:val="25111C9D"/>
    <w:rsid w:val="25150A49"/>
    <w:rsid w:val="252D7B95"/>
    <w:rsid w:val="25311DAC"/>
    <w:rsid w:val="253679A9"/>
    <w:rsid w:val="25376063"/>
    <w:rsid w:val="253E669A"/>
    <w:rsid w:val="254B76B8"/>
    <w:rsid w:val="255461AE"/>
    <w:rsid w:val="25584704"/>
    <w:rsid w:val="25601C3C"/>
    <w:rsid w:val="256B5BB0"/>
    <w:rsid w:val="256E5CEC"/>
    <w:rsid w:val="257050AA"/>
    <w:rsid w:val="25753601"/>
    <w:rsid w:val="257A093C"/>
    <w:rsid w:val="257E7FAA"/>
    <w:rsid w:val="25826736"/>
    <w:rsid w:val="258374D5"/>
    <w:rsid w:val="258B75EB"/>
    <w:rsid w:val="25B63E9F"/>
    <w:rsid w:val="25D80938"/>
    <w:rsid w:val="25DA26AD"/>
    <w:rsid w:val="25DB0959"/>
    <w:rsid w:val="25E04C55"/>
    <w:rsid w:val="25E22F4C"/>
    <w:rsid w:val="25E467E9"/>
    <w:rsid w:val="25E46AA9"/>
    <w:rsid w:val="25F924A7"/>
    <w:rsid w:val="25FC13BE"/>
    <w:rsid w:val="26081F64"/>
    <w:rsid w:val="261371E2"/>
    <w:rsid w:val="262330C4"/>
    <w:rsid w:val="26290BDB"/>
    <w:rsid w:val="263B0CA0"/>
    <w:rsid w:val="263C5083"/>
    <w:rsid w:val="26414073"/>
    <w:rsid w:val="264703E2"/>
    <w:rsid w:val="265C72DF"/>
    <w:rsid w:val="266248EF"/>
    <w:rsid w:val="266A2811"/>
    <w:rsid w:val="26973157"/>
    <w:rsid w:val="26A62052"/>
    <w:rsid w:val="26BE18A9"/>
    <w:rsid w:val="26C42865"/>
    <w:rsid w:val="26C559D5"/>
    <w:rsid w:val="26CF5711"/>
    <w:rsid w:val="26DC6142"/>
    <w:rsid w:val="26E10197"/>
    <w:rsid w:val="27016AAD"/>
    <w:rsid w:val="270B08D2"/>
    <w:rsid w:val="270B11E1"/>
    <w:rsid w:val="2716614F"/>
    <w:rsid w:val="27186EA9"/>
    <w:rsid w:val="27230B12"/>
    <w:rsid w:val="272E4E9C"/>
    <w:rsid w:val="273806BB"/>
    <w:rsid w:val="27466F3A"/>
    <w:rsid w:val="27561C28"/>
    <w:rsid w:val="27633863"/>
    <w:rsid w:val="27700C06"/>
    <w:rsid w:val="27A879A3"/>
    <w:rsid w:val="27AD628E"/>
    <w:rsid w:val="27B81126"/>
    <w:rsid w:val="27D370A8"/>
    <w:rsid w:val="27F740BB"/>
    <w:rsid w:val="280E47AC"/>
    <w:rsid w:val="28121D53"/>
    <w:rsid w:val="28161378"/>
    <w:rsid w:val="28293799"/>
    <w:rsid w:val="282D43C0"/>
    <w:rsid w:val="28322BB4"/>
    <w:rsid w:val="283967BF"/>
    <w:rsid w:val="28577BDB"/>
    <w:rsid w:val="285E0230"/>
    <w:rsid w:val="287869E8"/>
    <w:rsid w:val="287C5EC6"/>
    <w:rsid w:val="28801FE8"/>
    <w:rsid w:val="288D310B"/>
    <w:rsid w:val="289478CD"/>
    <w:rsid w:val="28975D96"/>
    <w:rsid w:val="289A0F19"/>
    <w:rsid w:val="28A5751D"/>
    <w:rsid w:val="28C64B8B"/>
    <w:rsid w:val="28D831ED"/>
    <w:rsid w:val="28DE3A90"/>
    <w:rsid w:val="28E25926"/>
    <w:rsid w:val="28E34092"/>
    <w:rsid w:val="28EA6C55"/>
    <w:rsid w:val="28FC232E"/>
    <w:rsid w:val="28FC3B8C"/>
    <w:rsid w:val="290C363F"/>
    <w:rsid w:val="29216AC8"/>
    <w:rsid w:val="294D4722"/>
    <w:rsid w:val="295353AB"/>
    <w:rsid w:val="29662FCE"/>
    <w:rsid w:val="296B02A8"/>
    <w:rsid w:val="296B1AC8"/>
    <w:rsid w:val="296E2AAB"/>
    <w:rsid w:val="297C159B"/>
    <w:rsid w:val="29815F1F"/>
    <w:rsid w:val="298E38FB"/>
    <w:rsid w:val="298F2C92"/>
    <w:rsid w:val="299762DC"/>
    <w:rsid w:val="2999320B"/>
    <w:rsid w:val="29A23E18"/>
    <w:rsid w:val="29A429D1"/>
    <w:rsid w:val="29B1402A"/>
    <w:rsid w:val="29B63E38"/>
    <w:rsid w:val="29C44EA5"/>
    <w:rsid w:val="29CF5261"/>
    <w:rsid w:val="29DD03DE"/>
    <w:rsid w:val="29DF1050"/>
    <w:rsid w:val="29E16921"/>
    <w:rsid w:val="29F4398A"/>
    <w:rsid w:val="29FA27CA"/>
    <w:rsid w:val="29FA6C0E"/>
    <w:rsid w:val="2A0375CF"/>
    <w:rsid w:val="2A26122C"/>
    <w:rsid w:val="2A2E3059"/>
    <w:rsid w:val="2A2F0ABD"/>
    <w:rsid w:val="2A4E5826"/>
    <w:rsid w:val="2A55350A"/>
    <w:rsid w:val="2A566EB2"/>
    <w:rsid w:val="2A5D507B"/>
    <w:rsid w:val="2A5D6CB9"/>
    <w:rsid w:val="2A5E39BE"/>
    <w:rsid w:val="2A5F6C2B"/>
    <w:rsid w:val="2A720FDA"/>
    <w:rsid w:val="2A761A1E"/>
    <w:rsid w:val="2A8940C2"/>
    <w:rsid w:val="2AA4156E"/>
    <w:rsid w:val="2AB363EE"/>
    <w:rsid w:val="2ABF62BC"/>
    <w:rsid w:val="2AC64D84"/>
    <w:rsid w:val="2AD808B5"/>
    <w:rsid w:val="2AEA73E4"/>
    <w:rsid w:val="2AF4113A"/>
    <w:rsid w:val="2B0B0923"/>
    <w:rsid w:val="2B0E4CD6"/>
    <w:rsid w:val="2B193B25"/>
    <w:rsid w:val="2B262A59"/>
    <w:rsid w:val="2B2F31B3"/>
    <w:rsid w:val="2B3804EE"/>
    <w:rsid w:val="2B396172"/>
    <w:rsid w:val="2B3D7387"/>
    <w:rsid w:val="2B44429C"/>
    <w:rsid w:val="2B490E81"/>
    <w:rsid w:val="2B4D3E13"/>
    <w:rsid w:val="2B607CC3"/>
    <w:rsid w:val="2B68125F"/>
    <w:rsid w:val="2B6F7F5F"/>
    <w:rsid w:val="2B7F13F3"/>
    <w:rsid w:val="2B857DC9"/>
    <w:rsid w:val="2B862E35"/>
    <w:rsid w:val="2B904D81"/>
    <w:rsid w:val="2B9461B9"/>
    <w:rsid w:val="2BA35F51"/>
    <w:rsid w:val="2BB31DFD"/>
    <w:rsid w:val="2BB42266"/>
    <w:rsid w:val="2BCB5516"/>
    <w:rsid w:val="2BCE0DAB"/>
    <w:rsid w:val="2BD80E5D"/>
    <w:rsid w:val="2BE401D2"/>
    <w:rsid w:val="2BEE5E5F"/>
    <w:rsid w:val="2BFA3059"/>
    <w:rsid w:val="2BFA75B7"/>
    <w:rsid w:val="2BFC2DEE"/>
    <w:rsid w:val="2C0E7F04"/>
    <w:rsid w:val="2C165F57"/>
    <w:rsid w:val="2C253215"/>
    <w:rsid w:val="2C3B0526"/>
    <w:rsid w:val="2C440DDF"/>
    <w:rsid w:val="2C504CF6"/>
    <w:rsid w:val="2C506C46"/>
    <w:rsid w:val="2C5369C9"/>
    <w:rsid w:val="2C662F74"/>
    <w:rsid w:val="2C677440"/>
    <w:rsid w:val="2C75146C"/>
    <w:rsid w:val="2C785A0E"/>
    <w:rsid w:val="2C7D46F1"/>
    <w:rsid w:val="2C8057F2"/>
    <w:rsid w:val="2C8132A3"/>
    <w:rsid w:val="2C883041"/>
    <w:rsid w:val="2C8870CB"/>
    <w:rsid w:val="2C9C632F"/>
    <w:rsid w:val="2CA86A82"/>
    <w:rsid w:val="2CAA0D3B"/>
    <w:rsid w:val="2CAD08A6"/>
    <w:rsid w:val="2CD23F2A"/>
    <w:rsid w:val="2CE9008B"/>
    <w:rsid w:val="2CEF2903"/>
    <w:rsid w:val="2CFA7386"/>
    <w:rsid w:val="2CFE3816"/>
    <w:rsid w:val="2CFE4050"/>
    <w:rsid w:val="2CFE577E"/>
    <w:rsid w:val="2CFF5A86"/>
    <w:rsid w:val="2D014667"/>
    <w:rsid w:val="2D3D212F"/>
    <w:rsid w:val="2D3D61DF"/>
    <w:rsid w:val="2D3F3349"/>
    <w:rsid w:val="2D4621B2"/>
    <w:rsid w:val="2D5B2EF3"/>
    <w:rsid w:val="2D5D419A"/>
    <w:rsid w:val="2D5E1ABB"/>
    <w:rsid w:val="2D5E1FDE"/>
    <w:rsid w:val="2D644488"/>
    <w:rsid w:val="2D6833DC"/>
    <w:rsid w:val="2D6863B1"/>
    <w:rsid w:val="2D7B215C"/>
    <w:rsid w:val="2D7F2691"/>
    <w:rsid w:val="2D802311"/>
    <w:rsid w:val="2D843B07"/>
    <w:rsid w:val="2D875B1B"/>
    <w:rsid w:val="2D8A362C"/>
    <w:rsid w:val="2D9042F7"/>
    <w:rsid w:val="2D9E2246"/>
    <w:rsid w:val="2DA06A0C"/>
    <w:rsid w:val="2DD571A6"/>
    <w:rsid w:val="2DE83C2D"/>
    <w:rsid w:val="2DE84F1D"/>
    <w:rsid w:val="2E084BB4"/>
    <w:rsid w:val="2E0A1F40"/>
    <w:rsid w:val="2E131827"/>
    <w:rsid w:val="2E22364F"/>
    <w:rsid w:val="2E250FB0"/>
    <w:rsid w:val="2E4A45AC"/>
    <w:rsid w:val="2E5D5D5D"/>
    <w:rsid w:val="2E701DDE"/>
    <w:rsid w:val="2E717C3A"/>
    <w:rsid w:val="2E8A2416"/>
    <w:rsid w:val="2E946D62"/>
    <w:rsid w:val="2E947C3C"/>
    <w:rsid w:val="2E97337B"/>
    <w:rsid w:val="2E9D1625"/>
    <w:rsid w:val="2E9F6FF0"/>
    <w:rsid w:val="2EBA208D"/>
    <w:rsid w:val="2EDF2FB7"/>
    <w:rsid w:val="2EE662AC"/>
    <w:rsid w:val="2EE66D52"/>
    <w:rsid w:val="2EEF4398"/>
    <w:rsid w:val="2F116274"/>
    <w:rsid w:val="2F2A0BF2"/>
    <w:rsid w:val="2F34052E"/>
    <w:rsid w:val="2F3E65B0"/>
    <w:rsid w:val="2F457F0A"/>
    <w:rsid w:val="2F4637C8"/>
    <w:rsid w:val="2F583316"/>
    <w:rsid w:val="2F5A3C3F"/>
    <w:rsid w:val="2F762E67"/>
    <w:rsid w:val="2F836688"/>
    <w:rsid w:val="2F96600E"/>
    <w:rsid w:val="2F976040"/>
    <w:rsid w:val="2FAD4EC2"/>
    <w:rsid w:val="2FAD7A6F"/>
    <w:rsid w:val="2FD93936"/>
    <w:rsid w:val="2FEF76C9"/>
    <w:rsid w:val="2FFC3664"/>
    <w:rsid w:val="30054C8E"/>
    <w:rsid w:val="3007380B"/>
    <w:rsid w:val="300E7F0A"/>
    <w:rsid w:val="30150C4E"/>
    <w:rsid w:val="30270D65"/>
    <w:rsid w:val="302F3FC2"/>
    <w:rsid w:val="306166A8"/>
    <w:rsid w:val="306E6BCA"/>
    <w:rsid w:val="30715015"/>
    <w:rsid w:val="308E752F"/>
    <w:rsid w:val="309C1E01"/>
    <w:rsid w:val="30BC51E1"/>
    <w:rsid w:val="30C24FE2"/>
    <w:rsid w:val="30C906F1"/>
    <w:rsid w:val="30D80C12"/>
    <w:rsid w:val="30EB5D35"/>
    <w:rsid w:val="30ED3E75"/>
    <w:rsid w:val="30F643D0"/>
    <w:rsid w:val="311A3CC6"/>
    <w:rsid w:val="311D294A"/>
    <w:rsid w:val="3129130A"/>
    <w:rsid w:val="31334611"/>
    <w:rsid w:val="3139239E"/>
    <w:rsid w:val="31491356"/>
    <w:rsid w:val="314F5391"/>
    <w:rsid w:val="316268A6"/>
    <w:rsid w:val="31633C5C"/>
    <w:rsid w:val="31655A89"/>
    <w:rsid w:val="31662A68"/>
    <w:rsid w:val="316D58FE"/>
    <w:rsid w:val="316F7958"/>
    <w:rsid w:val="317B750B"/>
    <w:rsid w:val="318122B7"/>
    <w:rsid w:val="319110D7"/>
    <w:rsid w:val="31920E87"/>
    <w:rsid w:val="31963261"/>
    <w:rsid w:val="319B6BB5"/>
    <w:rsid w:val="319E7DD2"/>
    <w:rsid w:val="31AD6E5D"/>
    <w:rsid w:val="31BE0B2A"/>
    <w:rsid w:val="31CA6116"/>
    <w:rsid w:val="31D85915"/>
    <w:rsid w:val="31DF1007"/>
    <w:rsid w:val="31E169B8"/>
    <w:rsid w:val="31F573AC"/>
    <w:rsid w:val="31FB29FF"/>
    <w:rsid w:val="31FC7DFC"/>
    <w:rsid w:val="31FD1CEB"/>
    <w:rsid w:val="31FF3E29"/>
    <w:rsid w:val="320610B6"/>
    <w:rsid w:val="32075D1F"/>
    <w:rsid w:val="320B1E74"/>
    <w:rsid w:val="320F4EAD"/>
    <w:rsid w:val="320F68F0"/>
    <w:rsid w:val="321F5357"/>
    <w:rsid w:val="3243161E"/>
    <w:rsid w:val="32684074"/>
    <w:rsid w:val="327F07E8"/>
    <w:rsid w:val="32827D41"/>
    <w:rsid w:val="32836AB1"/>
    <w:rsid w:val="32847D6D"/>
    <w:rsid w:val="32A70FAC"/>
    <w:rsid w:val="32B20B24"/>
    <w:rsid w:val="32C739DA"/>
    <w:rsid w:val="32CD1197"/>
    <w:rsid w:val="32E351C9"/>
    <w:rsid w:val="32F95B0C"/>
    <w:rsid w:val="32FF7F0C"/>
    <w:rsid w:val="3307663B"/>
    <w:rsid w:val="330A1E3B"/>
    <w:rsid w:val="330B3A22"/>
    <w:rsid w:val="33234769"/>
    <w:rsid w:val="3332513C"/>
    <w:rsid w:val="33331E32"/>
    <w:rsid w:val="33435756"/>
    <w:rsid w:val="33445203"/>
    <w:rsid w:val="3345263C"/>
    <w:rsid w:val="335829B0"/>
    <w:rsid w:val="33587748"/>
    <w:rsid w:val="3360092C"/>
    <w:rsid w:val="336C3DBF"/>
    <w:rsid w:val="33775400"/>
    <w:rsid w:val="338178EA"/>
    <w:rsid w:val="338B1137"/>
    <w:rsid w:val="33A84B8F"/>
    <w:rsid w:val="33B25DB3"/>
    <w:rsid w:val="33B418B0"/>
    <w:rsid w:val="33B45159"/>
    <w:rsid w:val="33CD17BC"/>
    <w:rsid w:val="33D61C65"/>
    <w:rsid w:val="33EB7403"/>
    <w:rsid w:val="33F6776A"/>
    <w:rsid w:val="33FA2CBA"/>
    <w:rsid w:val="34043DFB"/>
    <w:rsid w:val="340C3F4E"/>
    <w:rsid w:val="34381D9C"/>
    <w:rsid w:val="34537AA4"/>
    <w:rsid w:val="34557097"/>
    <w:rsid w:val="3465636F"/>
    <w:rsid w:val="347F1430"/>
    <w:rsid w:val="34862A62"/>
    <w:rsid w:val="348E0A74"/>
    <w:rsid w:val="348F7151"/>
    <w:rsid w:val="349050A7"/>
    <w:rsid w:val="34943D90"/>
    <w:rsid w:val="34A642E1"/>
    <w:rsid w:val="34AA2E6F"/>
    <w:rsid w:val="34AC4C0C"/>
    <w:rsid w:val="34AF66A1"/>
    <w:rsid w:val="34B7610F"/>
    <w:rsid w:val="34D16F34"/>
    <w:rsid w:val="34D92C74"/>
    <w:rsid w:val="34FF307F"/>
    <w:rsid w:val="350225B6"/>
    <w:rsid w:val="350A4E5B"/>
    <w:rsid w:val="35134A6D"/>
    <w:rsid w:val="3516133A"/>
    <w:rsid w:val="35205B1B"/>
    <w:rsid w:val="352952FF"/>
    <w:rsid w:val="353D36AE"/>
    <w:rsid w:val="35531AA5"/>
    <w:rsid w:val="35582029"/>
    <w:rsid w:val="35585FE3"/>
    <w:rsid w:val="355E6DAE"/>
    <w:rsid w:val="356A304A"/>
    <w:rsid w:val="356F3194"/>
    <w:rsid w:val="357D09F3"/>
    <w:rsid w:val="359B7493"/>
    <w:rsid w:val="35A10E52"/>
    <w:rsid w:val="35A20415"/>
    <w:rsid w:val="35AB1C78"/>
    <w:rsid w:val="35B50130"/>
    <w:rsid w:val="35C8669A"/>
    <w:rsid w:val="35CE57F4"/>
    <w:rsid w:val="35D75C5D"/>
    <w:rsid w:val="35D77282"/>
    <w:rsid w:val="35DB75CF"/>
    <w:rsid w:val="35DE2A22"/>
    <w:rsid w:val="35E058EF"/>
    <w:rsid w:val="35E7778E"/>
    <w:rsid w:val="35EA2B6D"/>
    <w:rsid w:val="35EC5629"/>
    <w:rsid w:val="35FF7C70"/>
    <w:rsid w:val="361168C1"/>
    <w:rsid w:val="361433DA"/>
    <w:rsid w:val="36166034"/>
    <w:rsid w:val="361D1277"/>
    <w:rsid w:val="36254D16"/>
    <w:rsid w:val="36264DFB"/>
    <w:rsid w:val="363731B7"/>
    <w:rsid w:val="363C7287"/>
    <w:rsid w:val="36407E87"/>
    <w:rsid w:val="36484FD9"/>
    <w:rsid w:val="364A37DE"/>
    <w:rsid w:val="3656694D"/>
    <w:rsid w:val="365E501B"/>
    <w:rsid w:val="36764463"/>
    <w:rsid w:val="367B74AA"/>
    <w:rsid w:val="368B456A"/>
    <w:rsid w:val="368F19F6"/>
    <w:rsid w:val="3694712D"/>
    <w:rsid w:val="369A6921"/>
    <w:rsid w:val="369E53CE"/>
    <w:rsid w:val="36B92B27"/>
    <w:rsid w:val="36B9312E"/>
    <w:rsid w:val="36D508AA"/>
    <w:rsid w:val="36EA0917"/>
    <w:rsid w:val="36FA4DFD"/>
    <w:rsid w:val="36FB1EA4"/>
    <w:rsid w:val="36FE4A8E"/>
    <w:rsid w:val="370853CF"/>
    <w:rsid w:val="371E16C9"/>
    <w:rsid w:val="37626532"/>
    <w:rsid w:val="37647ACA"/>
    <w:rsid w:val="37693740"/>
    <w:rsid w:val="37712166"/>
    <w:rsid w:val="377415C5"/>
    <w:rsid w:val="377918FD"/>
    <w:rsid w:val="377A4CE6"/>
    <w:rsid w:val="37835CD0"/>
    <w:rsid w:val="378D228F"/>
    <w:rsid w:val="37930FD4"/>
    <w:rsid w:val="37A378D7"/>
    <w:rsid w:val="37A85C85"/>
    <w:rsid w:val="37B155FA"/>
    <w:rsid w:val="37C404E8"/>
    <w:rsid w:val="37DE77FC"/>
    <w:rsid w:val="37EB2D52"/>
    <w:rsid w:val="37EB798A"/>
    <w:rsid w:val="37F14410"/>
    <w:rsid w:val="38157BC2"/>
    <w:rsid w:val="38201083"/>
    <w:rsid w:val="38222A28"/>
    <w:rsid w:val="382E2FA6"/>
    <w:rsid w:val="38390ED6"/>
    <w:rsid w:val="383B6EE4"/>
    <w:rsid w:val="383E319C"/>
    <w:rsid w:val="38481119"/>
    <w:rsid w:val="385E6B8E"/>
    <w:rsid w:val="3864302A"/>
    <w:rsid w:val="387F35D3"/>
    <w:rsid w:val="388C01E2"/>
    <w:rsid w:val="388C32DB"/>
    <w:rsid w:val="38AA1308"/>
    <w:rsid w:val="38B61CC9"/>
    <w:rsid w:val="38BA0046"/>
    <w:rsid w:val="38C43A45"/>
    <w:rsid w:val="38C86689"/>
    <w:rsid w:val="38DE059D"/>
    <w:rsid w:val="38EC2011"/>
    <w:rsid w:val="38EF283D"/>
    <w:rsid w:val="38F247F4"/>
    <w:rsid w:val="38F60B75"/>
    <w:rsid w:val="390B084A"/>
    <w:rsid w:val="390F04EB"/>
    <w:rsid w:val="391148FB"/>
    <w:rsid w:val="39236C23"/>
    <w:rsid w:val="393B53E7"/>
    <w:rsid w:val="393C7FA7"/>
    <w:rsid w:val="39643FFB"/>
    <w:rsid w:val="39676292"/>
    <w:rsid w:val="396E2FC4"/>
    <w:rsid w:val="398D3C38"/>
    <w:rsid w:val="39902C76"/>
    <w:rsid w:val="39916AF0"/>
    <w:rsid w:val="39940E11"/>
    <w:rsid w:val="399B1740"/>
    <w:rsid w:val="39A01298"/>
    <w:rsid w:val="39A460BE"/>
    <w:rsid w:val="39B07817"/>
    <w:rsid w:val="39CE4183"/>
    <w:rsid w:val="39CF1F98"/>
    <w:rsid w:val="39D906C5"/>
    <w:rsid w:val="39DF5AAD"/>
    <w:rsid w:val="39E10989"/>
    <w:rsid w:val="39E20391"/>
    <w:rsid w:val="39E55B53"/>
    <w:rsid w:val="39EE7A9E"/>
    <w:rsid w:val="3A073766"/>
    <w:rsid w:val="3A173499"/>
    <w:rsid w:val="3A1F2C1F"/>
    <w:rsid w:val="3A212A38"/>
    <w:rsid w:val="3A221A8C"/>
    <w:rsid w:val="3A2E433E"/>
    <w:rsid w:val="3A376F09"/>
    <w:rsid w:val="3A410516"/>
    <w:rsid w:val="3A494C37"/>
    <w:rsid w:val="3A494DDB"/>
    <w:rsid w:val="3A5222C0"/>
    <w:rsid w:val="3A6A45E1"/>
    <w:rsid w:val="3A6A6601"/>
    <w:rsid w:val="3A7B0C4F"/>
    <w:rsid w:val="3A7B193B"/>
    <w:rsid w:val="3A7E04AD"/>
    <w:rsid w:val="3A8957E5"/>
    <w:rsid w:val="3A98650C"/>
    <w:rsid w:val="3AA036DD"/>
    <w:rsid w:val="3AA510D7"/>
    <w:rsid w:val="3AB66996"/>
    <w:rsid w:val="3AB7613E"/>
    <w:rsid w:val="3AC6394A"/>
    <w:rsid w:val="3AD757D8"/>
    <w:rsid w:val="3ADC48A4"/>
    <w:rsid w:val="3AE16176"/>
    <w:rsid w:val="3AE72E6B"/>
    <w:rsid w:val="3AFB6916"/>
    <w:rsid w:val="3B274F4E"/>
    <w:rsid w:val="3B2836F7"/>
    <w:rsid w:val="3B53711E"/>
    <w:rsid w:val="3B5F6EA5"/>
    <w:rsid w:val="3B615F60"/>
    <w:rsid w:val="3B8A1A7E"/>
    <w:rsid w:val="3B8F5F88"/>
    <w:rsid w:val="3BA44FD2"/>
    <w:rsid w:val="3BB45CDC"/>
    <w:rsid w:val="3BBE420D"/>
    <w:rsid w:val="3BC93507"/>
    <w:rsid w:val="3BDB4042"/>
    <w:rsid w:val="3C013C18"/>
    <w:rsid w:val="3C02701B"/>
    <w:rsid w:val="3C072031"/>
    <w:rsid w:val="3C0826DB"/>
    <w:rsid w:val="3C096E11"/>
    <w:rsid w:val="3C0A665B"/>
    <w:rsid w:val="3C2A122F"/>
    <w:rsid w:val="3C350811"/>
    <w:rsid w:val="3C3874DB"/>
    <w:rsid w:val="3C3C020C"/>
    <w:rsid w:val="3C40376A"/>
    <w:rsid w:val="3C4261CB"/>
    <w:rsid w:val="3C44399C"/>
    <w:rsid w:val="3C456F86"/>
    <w:rsid w:val="3C481D90"/>
    <w:rsid w:val="3C5036CE"/>
    <w:rsid w:val="3C584B40"/>
    <w:rsid w:val="3C5B3302"/>
    <w:rsid w:val="3C5F52E9"/>
    <w:rsid w:val="3C623DB5"/>
    <w:rsid w:val="3C6601EC"/>
    <w:rsid w:val="3C6B7ACC"/>
    <w:rsid w:val="3C7B5CC9"/>
    <w:rsid w:val="3C7D12B7"/>
    <w:rsid w:val="3C913C39"/>
    <w:rsid w:val="3C9E2314"/>
    <w:rsid w:val="3CAA23A2"/>
    <w:rsid w:val="3CAF3A1F"/>
    <w:rsid w:val="3CBC1920"/>
    <w:rsid w:val="3CCA0C6F"/>
    <w:rsid w:val="3CCA7887"/>
    <w:rsid w:val="3CCA7E7E"/>
    <w:rsid w:val="3CD218F9"/>
    <w:rsid w:val="3CD71F1C"/>
    <w:rsid w:val="3CE04016"/>
    <w:rsid w:val="3CE04E26"/>
    <w:rsid w:val="3CE36D0B"/>
    <w:rsid w:val="3CEB2E52"/>
    <w:rsid w:val="3CF50BEE"/>
    <w:rsid w:val="3D105B06"/>
    <w:rsid w:val="3D151064"/>
    <w:rsid w:val="3D346230"/>
    <w:rsid w:val="3D3F549B"/>
    <w:rsid w:val="3D42016A"/>
    <w:rsid w:val="3D4B5297"/>
    <w:rsid w:val="3D505308"/>
    <w:rsid w:val="3D516EDE"/>
    <w:rsid w:val="3D59750C"/>
    <w:rsid w:val="3D6778FC"/>
    <w:rsid w:val="3D797B7C"/>
    <w:rsid w:val="3D80723D"/>
    <w:rsid w:val="3D9315AC"/>
    <w:rsid w:val="3D986CFE"/>
    <w:rsid w:val="3D994F62"/>
    <w:rsid w:val="3D9C7770"/>
    <w:rsid w:val="3DAD209B"/>
    <w:rsid w:val="3DC1244D"/>
    <w:rsid w:val="3DC1380B"/>
    <w:rsid w:val="3DD2158F"/>
    <w:rsid w:val="3DEF2490"/>
    <w:rsid w:val="3DF4749C"/>
    <w:rsid w:val="3DF54ADF"/>
    <w:rsid w:val="3E1647A4"/>
    <w:rsid w:val="3E1A2A67"/>
    <w:rsid w:val="3E285C74"/>
    <w:rsid w:val="3E374E7B"/>
    <w:rsid w:val="3E5F22B5"/>
    <w:rsid w:val="3E606D9B"/>
    <w:rsid w:val="3E6C7B94"/>
    <w:rsid w:val="3E704B71"/>
    <w:rsid w:val="3E706473"/>
    <w:rsid w:val="3E882962"/>
    <w:rsid w:val="3E893283"/>
    <w:rsid w:val="3E9E5F37"/>
    <w:rsid w:val="3E9F35FB"/>
    <w:rsid w:val="3EA0202A"/>
    <w:rsid w:val="3EC0577F"/>
    <w:rsid w:val="3ECA49EF"/>
    <w:rsid w:val="3EDE6422"/>
    <w:rsid w:val="3EEE6364"/>
    <w:rsid w:val="3EF13154"/>
    <w:rsid w:val="3EF81E75"/>
    <w:rsid w:val="3EFC4D46"/>
    <w:rsid w:val="3EFC4F05"/>
    <w:rsid w:val="3F1D3484"/>
    <w:rsid w:val="3F3501F2"/>
    <w:rsid w:val="3F3E5881"/>
    <w:rsid w:val="3F4E2026"/>
    <w:rsid w:val="3F576D32"/>
    <w:rsid w:val="3F695F33"/>
    <w:rsid w:val="3F812560"/>
    <w:rsid w:val="3F8A03E9"/>
    <w:rsid w:val="3F922299"/>
    <w:rsid w:val="3F976AF4"/>
    <w:rsid w:val="3FB3156E"/>
    <w:rsid w:val="3FBD04BE"/>
    <w:rsid w:val="3FC21321"/>
    <w:rsid w:val="3FC636E9"/>
    <w:rsid w:val="3FCD21B5"/>
    <w:rsid w:val="3FDB607F"/>
    <w:rsid w:val="3FE76E61"/>
    <w:rsid w:val="3FEA2C6C"/>
    <w:rsid w:val="3FF23076"/>
    <w:rsid w:val="3FF62482"/>
    <w:rsid w:val="3FF641C4"/>
    <w:rsid w:val="3FF71FE3"/>
    <w:rsid w:val="3FF73B50"/>
    <w:rsid w:val="400745C8"/>
    <w:rsid w:val="402B37FA"/>
    <w:rsid w:val="402D2248"/>
    <w:rsid w:val="4030790D"/>
    <w:rsid w:val="4038733E"/>
    <w:rsid w:val="40490A4D"/>
    <w:rsid w:val="40747E97"/>
    <w:rsid w:val="407A4929"/>
    <w:rsid w:val="407B7706"/>
    <w:rsid w:val="40896772"/>
    <w:rsid w:val="40924E1B"/>
    <w:rsid w:val="409519F4"/>
    <w:rsid w:val="4099417E"/>
    <w:rsid w:val="409F00B7"/>
    <w:rsid w:val="40A029F2"/>
    <w:rsid w:val="40AA0BC3"/>
    <w:rsid w:val="40B566AE"/>
    <w:rsid w:val="40B56FFD"/>
    <w:rsid w:val="40E92A81"/>
    <w:rsid w:val="40FA0F56"/>
    <w:rsid w:val="40FD3303"/>
    <w:rsid w:val="40FF7A38"/>
    <w:rsid w:val="410A3B53"/>
    <w:rsid w:val="41161DE5"/>
    <w:rsid w:val="413E3E57"/>
    <w:rsid w:val="41522888"/>
    <w:rsid w:val="41815A8A"/>
    <w:rsid w:val="418235ED"/>
    <w:rsid w:val="418D753D"/>
    <w:rsid w:val="418F40C2"/>
    <w:rsid w:val="41A75102"/>
    <w:rsid w:val="41BA07A6"/>
    <w:rsid w:val="41BE725F"/>
    <w:rsid w:val="41C23983"/>
    <w:rsid w:val="41C9151C"/>
    <w:rsid w:val="41CC2AD3"/>
    <w:rsid w:val="41DB356B"/>
    <w:rsid w:val="41F52CDE"/>
    <w:rsid w:val="42087304"/>
    <w:rsid w:val="420D3ED3"/>
    <w:rsid w:val="42164B6C"/>
    <w:rsid w:val="421E09E8"/>
    <w:rsid w:val="423D2E16"/>
    <w:rsid w:val="42451E1E"/>
    <w:rsid w:val="424F6347"/>
    <w:rsid w:val="425B380D"/>
    <w:rsid w:val="427E5C95"/>
    <w:rsid w:val="428864E3"/>
    <w:rsid w:val="428C640B"/>
    <w:rsid w:val="428F1263"/>
    <w:rsid w:val="429C26DF"/>
    <w:rsid w:val="42A365CE"/>
    <w:rsid w:val="42B0629C"/>
    <w:rsid w:val="42B73049"/>
    <w:rsid w:val="42B96B9E"/>
    <w:rsid w:val="42BA33D2"/>
    <w:rsid w:val="42BE5F67"/>
    <w:rsid w:val="42CE7FA4"/>
    <w:rsid w:val="42D842B8"/>
    <w:rsid w:val="42DA0F5C"/>
    <w:rsid w:val="42E858D7"/>
    <w:rsid w:val="42EA71CC"/>
    <w:rsid w:val="42EE4ACA"/>
    <w:rsid w:val="430B16C1"/>
    <w:rsid w:val="432842DB"/>
    <w:rsid w:val="432A78DE"/>
    <w:rsid w:val="43414815"/>
    <w:rsid w:val="43484940"/>
    <w:rsid w:val="435C32CD"/>
    <w:rsid w:val="43694DA3"/>
    <w:rsid w:val="43755D7B"/>
    <w:rsid w:val="43793883"/>
    <w:rsid w:val="437A55ED"/>
    <w:rsid w:val="437E1A0F"/>
    <w:rsid w:val="43811C6D"/>
    <w:rsid w:val="4384396B"/>
    <w:rsid w:val="439F1AC0"/>
    <w:rsid w:val="439F61E6"/>
    <w:rsid w:val="43A601DC"/>
    <w:rsid w:val="43A6357C"/>
    <w:rsid w:val="43A63F5C"/>
    <w:rsid w:val="43DF0FF5"/>
    <w:rsid w:val="43EF45A6"/>
    <w:rsid w:val="43F14635"/>
    <w:rsid w:val="43F252CB"/>
    <w:rsid w:val="442A4ACB"/>
    <w:rsid w:val="442B3432"/>
    <w:rsid w:val="44341679"/>
    <w:rsid w:val="443B646A"/>
    <w:rsid w:val="443D3AAF"/>
    <w:rsid w:val="44515B93"/>
    <w:rsid w:val="446660EA"/>
    <w:rsid w:val="4467501D"/>
    <w:rsid w:val="446A2417"/>
    <w:rsid w:val="44725335"/>
    <w:rsid w:val="44840958"/>
    <w:rsid w:val="44843D36"/>
    <w:rsid w:val="448E4451"/>
    <w:rsid w:val="44981B3A"/>
    <w:rsid w:val="449B1C15"/>
    <w:rsid w:val="44B253E8"/>
    <w:rsid w:val="44C76911"/>
    <w:rsid w:val="44DD3458"/>
    <w:rsid w:val="44F04994"/>
    <w:rsid w:val="44FC71CE"/>
    <w:rsid w:val="451264BF"/>
    <w:rsid w:val="451C0B6B"/>
    <w:rsid w:val="45232EC1"/>
    <w:rsid w:val="45267BDF"/>
    <w:rsid w:val="45293E3A"/>
    <w:rsid w:val="45321083"/>
    <w:rsid w:val="453855A8"/>
    <w:rsid w:val="45633716"/>
    <w:rsid w:val="456926CF"/>
    <w:rsid w:val="456D319A"/>
    <w:rsid w:val="456D3B81"/>
    <w:rsid w:val="457C2402"/>
    <w:rsid w:val="45B71582"/>
    <w:rsid w:val="45C92AF9"/>
    <w:rsid w:val="45DF4868"/>
    <w:rsid w:val="45E90212"/>
    <w:rsid w:val="46055385"/>
    <w:rsid w:val="460A1A5B"/>
    <w:rsid w:val="461508D0"/>
    <w:rsid w:val="46175DCC"/>
    <w:rsid w:val="461A5196"/>
    <w:rsid w:val="462976F5"/>
    <w:rsid w:val="462A11DE"/>
    <w:rsid w:val="4646746E"/>
    <w:rsid w:val="464D5801"/>
    <w:rsid w:val="466849A1"/>
    <w:rsid w:val="466E6E96"/>
    <w:rsid w:val="4670640B"/>
    <w:rsid w:val="467E6D51"/>
    <w:rsid w:val="46804858"/>
    <w:rsid w:val="4688209B"/>
    <w:rsid w:val="46894F20"/>
    <w:rsid w:val="468F17E3"/>
    <w:rsid w:val="46932911"/>
    <w:rsid w:val="46A174E4"/>
    <w:rsid w:val="46B63D4C"/>
    <w:rsid w:val="46B74445"/>
    <w:rsid w:val="46D94DAD"/>
    <w:rsid w:val="46DA2C9A"/>
    <w:rsid w:val="46E9122C"/>
    <w:rsid w:val="46EE4C22"/>
    <w:rsid w:val="46F95BB0"/>
    <w:rsid w:val="47080135"/>
    <w:rsid w:val="47085B5F"/>
    <w:rsid w:val="470E6B58"/>
    <w:rsid w:val="47120CDC"/>
    <w:rsid w:val="471D2778"/>
    <w:rsid w:val="472114B3"/>
    <w:rsid w:val="472540D1"/>
    <w:rsid w:val="4725528A"/>
    <w:rsid w:val="472A1CF6"/>
    <w:rsid w:val="475F6CDE"/>
    <w:rsid w:val="476870E2"/>
    <w:rsid w:val="47781E40"/>
    <w:rsid w:val="47794A11"/>
    <w:rsid w:val="47A46A2B"/>
    <w:rsid w:val="47BB3954"/>
    <w:rsid w:val="47D01E78"/>
    <w:rsid w:val="47E77F9C"/>
    <w:rsid w:val="48084EB1"/>
    <w:rsid w:val="482257EC"/>
    <w:rsid w:val="482F7BFF"/>
    <w:rsid w:val="4834605B"/>
    <w:rsid w:val="4843357C"/>
    <w:rsid w:val="484D0B72"/>
    <w:rsid w:val="485C5ADD"/>
    <w:rsid w:val="486906F0"/>
    <w:rsid w:val="48914047"/>
    <w:rsid w:val="489E1D38"/>
    <w:rsid w:val="48AA6EBE"/>
    <w:rsid w:val="48AD79E8"/>
    <w:rsid w:val="48CC6A09"/>
    <w:rsid w:val="48FB26C0"/>
    <w:rsid w:val="48FD11CE"/>
    <w:rsid w:val="48FD4286"/>
    <w:rsid w:val="4908586F"/>
    <w:rsid w:val="4917126A"/>
    <w:rsid w:val="491B7F95"/>
    <w:rsid w:val="49202D1C"/>
    <w:rsid w:val="49267CBF"/>
    <w:rsid w:val="49290739"/>
    <w:rsid w:val="492E634C"/>
    <w:rsid w:val="49416FAD"/>
    <w:rsid w:val="494B4A90"/>
    <w:rsid w:val="494B6C13"/>
    <w:rsid w:val="495A6762"/>
    <w:rsid w:val="495A683D"/>
    <w:rsid w:val="495E0722"/>
    <w:rsid w:val="49630FF2"/>
    <w:rsid w:val="49651547"/>
    <w:rsid w:val="4966219E"/>
    <w:rsid w:val="4968786D"/>
    <w:rsid w:val="496B2C2B"/>
    <w:rsid w:val="497370DC"/>
    <w:rsid w:val="497F4802"/>
    <w:rsid w:val="49831FB1"/>
    <w:rsid w:val="49936196"/>
    <w:rsid w:val="49A24FBC"/>
    <w:rsid w:val="49B20AE8"/>
    <w:rsid w:val="49C32CF5"/>
    <w:rsid w:val="49CC2000"/>
    <w:rsid w:val="49D87DE7"/>
    <w:rsid w:val="49DB4B3B"/>
    <w:rsid w:val="49DF4779"/>
    <w:rsid w:val="49E464F2"/>
    <w:rsid w:val="49EC224C"/>
    <w:rsid w:val="49F40D42"/>
    <w:rsid w:val="49F462B8"/>
    <w:rsid w:val="49F85AF6"/>
    <w:rsid w:val="4A064990"/>
    <w:rsid w:val="4A0954C5"/>
    <w:rsid w:val="4A0E41B1"/>
    <w:rsid w:val="4A1509F8"/>
    <w:rsid w:val="4A2875F0"/>
    <w:rsid w:val="4A31769B"/>
    <w:rsid w:val="4A3630B8"/>
    <w:rsid w:val="4A4B5F0B"/>
    <w:rsid w:val="4A571E0A"/>
    <w:rsid w:val="4A583707"/>
    <w:rsid w:val="4A5D655A"/>
    <w:rsid w:val="4A6873F9"/>
    <w:rsid w:val="4A7B0D39"/>
    <w:rsid w:val="4A911B41"/>
    <w:rsid w:val="4A9E65FC"/>
    <w:rsid w:val="4A9E7FA2"/>
    <w:rsid w:val="4AA5422C"/>
    <w:rsid w:val="4AB443E7"/>
    <w:rsid w:val="4ABD0585"/>
    <w:rsid w:val="4ABF170F"/>
    <w:rsid w:val="4AC277AC"/>
    <w:rsid w:val="4AC3700E"/>
    <w:rsid w:val="4AC67473"/>
    <w:rsid w:val="4AD519F8"/>
    <w:rsid w:val="4AEF31CD"/>
    <w:rsid w:val="4AF57367"/>
    <w:rsid w:val="4AFD1366"/>
    <w:rsid w:val="4AFE68F0"/>
    <w:rsid w:val="4B031698"/>
    <w:rsid w:val="4B08477A"/>
    <w:rsid w:val="4B15132F"/>
    <w:rsid w:val="4B1C58A2"/>
    <w:rsid w:val="4B286BF9"/>
    <w:rsid w:val="4B2F29EE"/>
    <w:rsid w:val="4B342038"/>
    <w:rsid w:val="4B406D17"/>
    <w:rsid w:val="4B4E33F9"/>
    <w:rsid w:val="4B4F39D9"/>
    <w:rsid w:val="4B6154BA"/>
    <w:rsid w:val="4B65394D"/>
    <w:rsid w:val="4B6E56B4"/>
    <w:rsid w:val="4B7D71DF"/>
    <w:rsid w:val="4B7E4E3D"/>
    <w:rsid w:val="4B7F7FCC"/>
    <w:rsid w:val="4B834E9F"/>
    <w:rsid w:val="4B9E44C5"/>
    <w:rsid w:val="4BB317B3"/>
    <w:rsid w:val="4BB77BC0"/>
    <w:rsid w:val="4BF65DD1"/>
    <w:rsid w:val="4BF835B5"/>
    <w:rsid w:val="4BFF1072"/>
    <w:rsid w:val="4C0E37EA"/>
    <w:rsid w:val="4C106601"/>
    <w:rsid w:val="4C124D74"/>
    <w:rsid w:val="4C125927"/>
    <w:rsid w:val="4C2C29A9"/>
    <w:rsid w:val="4C4E5041"/>
    <w:rsid w:val="4C525047"/>
    <w:rsid w:val="4C57043D"/>
    <w:rsid w:val="4C5E739F"/>
    <w:rsid w:val="4C6914B3"/>
    <w:rsid w:val="4C6D727B"/>
    <w:rsid w:val="4C7C6B6F"/>
    <w:rsid w:val="4C7E148B"/>
    <w:rsid w:val="4C8F1862"/>
    <w:rsid w:val="4CA50490"/>
    <w:rsid w:val="4CB76F46"/>
    <w:rsid w:val="4CC84470"/>
    <w:rsid w:val="4CD43AE5"/>
    <w:rsid w:val="4CD61793"/>
    <w:rsid w:val="4CED1506"/>
    <w:rsid w:val="4D0737D2"/>
    <w:rsid w:val="4D075C93"/>
    <w:rsid w:val="4D14153B"/>
    <w:rsid w:val="4D31509E"/>
    <w:rsid w:val="4D377742"/>
    <w:rsid w:val="4D3D383E"/>
    <w:rsid w:val="4D5B716F"/>
    <w:rsid w:val="4D613BE0"/>
    <w:rsid w:val="4D7238A0"/>
    <w:rsid w:val="4D8068E7"/>
    <w:rsid w:val="4D864422"/>
    <w:rsid w:val="4D893963"/>
    <w:rsid w:val="4D907392"/>
    <w:rsid w:val="4DA47C29"/>
    <w:rsid w:val="4DAF0A37"/>
    <w:rsid w:val="4DAF3AF6"/>
    <w:rsid w:val="4DAF745E"/>
    <w:rsid w:val="4DB707C8"/>
    <w:rsid w:val="4DCE39AF"/>
    <w:rsid w:val="4DEC69EA"/>
    <w:rsid w:val="4DF54148"/>
    <w:rsid w:val="4DFC07CB"/>
    <w:rsid w:val="4E002015"/>
    <w:rsid w:val="4E0C67C3"/>
    <w:rsid w:val="4E132B8F"/>
    <w:rsid w:val="4E137DBE"/>
    <w:rsid w:val="4E223558"/>
    <w:rsid w:val="4E2B4904"/>
    <w:rsid w:val="4E310776"/>
    <w:rsid w:val="4E312787"/>
    <w:rsid w:val="4E3730C8"/>
    <w:rsid w:val="4E376597"/>
    <w:rsid w:val="4E3C3076"/>
    <w:rsid w:val="4E3C459E"/>
    <w:rsid w:val="4E3E294A"/>
    <w:rsid w:val="4E437F61"/>
    <w:rsid w:val="4E443716"/>
    <w:rsid w:val="4E473EBA"/>
    <w:rsid w:val="4E4E519D"/>
    <w:rsid w:val="4E541E88"/>
    <w:rsid w:val="4E5B625A"/>
    <w:rsid w:val="4E656129"/>
    <w:rsid w:val="4E7E3C61"/>
    <w:rsid w:val="4E87433C"/>
    <w:rsid w:val="4E8F60E8"/>
    <w:rsid w:val="4EA04FDF"/>
    <w:rsid w:val="4EA1066C"/>
    <w:rsid w:val="4EA2737D"/>
    <w:rsid w:val="4EB84EC8"/>
    <w:rsid w:val="4EB92BAF"/>
    <w:rsid w:val="4EBF7D14"/>
    <w:rsid w:val="4EC633F6"/>
    <w:rsid w:val="4ECE67F9"/>
    <w:rsid w:val="4EDC13AF"/>
    <w:rsid w:val="4EDE3C15"/>
    <w:rsid w:val="4EDE793C"/>
    <w:rsid w:val="4EE23451"/>
    <w:rsid w:val="4EE32724"/>
    <w:rsid w:val="4EE64A74"/>
    <w:rsid w:val="4EE76B49"/>
    <w:rsid w:val="4EF66C51"/>
    <w:rsid w:val="4EF94AC3"/>
    <w:rsid w:val="4EFB7AF7"/>
    <w:rsid w:val="4EFE13F1"/>
    <w:rsid w:val="4F045E2D"/>
    <w:rsid w:val="4F10342B"/>
    <w:rsid w:val="4F104C9E"/>
    <w:rsid w:val="4F2D0C7B"/>
    <w:rsid w:val="4F417907"/>
    <w:rsid w:val="4F545A5D"/>
    <w:rsid w:val="4F5B1872"/>
    <w:rsid w:val="4F7039C5"/>
    <w:rsid w:val="4F7513E5"/>
    <w:rsid w:val="4F936743"/>
    <w:rsid w:val="4FA90A4D"/>
    <w:rsid w:val="4FB57C4E"/>
    <w:rsid w:val="4FBC53FA"/>
    <w:rsid w:val="4FBE21CE"/>
    <w:rsid w:val="4FD01CC8"/>
    <w:rsid w:val="4FD56485"/>
    <w:rsid w:val="4FD657E9"/>
    <w:rsid w:val="4FD9E574"/>
    <w:rsid w:val="4FE50355"/>
    <w:rsid w:val="4FEE0C0B"/>
    <w:rsid w:val="4FFE377A"/>
    <w:rsid w:val="50064C02"/>
    <w:rsid w:val="500E158E"/>
    <w:rsid w:val="501F6CE9"/>
    <w:rsid w:val="502617E8"/>
    <w:rsid w:val="502F1821"/>
    <w:rsid w:val="503F0658"/>
    <w:rsid w:val="504A4CD4"/>
    <w:rsid w:val="505D2713"/>
    <w:rsid w:val="5060304C"/>
    <w:rsid w:val="5092459F"/>
    <w:rsid w:val="50A406F3"/>
    <w:rsid w:val="50A716B1"/>
    <w:rsid w:val="50B23A7E"/>
    <w:rsid w:val="50B5195A"/>
    <w:rsid w:val="50B863D3"/>
    <w:rsid w:val="50BE0265"/>
    <w:rsid w:val="50BF780C"/>
    <w:rsid w:val="50C04FF1"/>
    <w:rsid w:val="50F14839"/>
    <w:rsid w:val="50F16BA9"/>
    <w:rsid w:val="51046380"/>
    <w:rsid w:val="511C2DB0"/>
    <w:rsid w:val="5125777A"/>
    <w:rsid w:val="512C73D1"/>
    <w:rsid w:val="513F4BC7"/>
    <w:rsid w:val="515F79A9"/>
    <w:rsid w:val="516B0F6F"/>
    <w:rsid w:val="51785955"/>
    <w:rsid w:val="51877C67"/>
    <w:rsid w:val="5195630B"/>
    <w:rsid w:val="51994724"/>
    <w:rsid w:val="519C7278"/>
    <w:rsid w:val="51B03B5F"/>
    <w:rsid w:val="51B15B7D"/>
    <w:rsid w:val="51B32158"/>
    <w:rsid w:val="51BD27F3"/>
    <w:rsid w:val="51C63D98"/>
    <w:rsid w:val="51C80EF5"/>
    <w:rsid w:val="51D11D27"/>
    <w:rsid w:val="51D32C9A"/>
    <w:rsid w:val="51E15B4B"/>
    <w:rsid w:val="51EE08B1"/>
    <w:rsid w:val="51EF279F"/>
    <w:rsid w:val="51F068ED"/>
    <w:rsid w:val="51FB0E52"/>
    <w:rsid w:val="51FB2496"/>
    <w:rsid w:val="520579CF"/>
    <w:rsid w:val="520619D1"/>
    <w:rsid w:val="520B44AD"/>
    <w:rsid w:val="520D7F76"/>
    <w:rsid w:val="521E26D7"/>
    <w:rsid w:val="52253463"/>
    <w:rsid w:val="523023DC"/>
    <w:rsid w:val="52307BB0"/>
    <w:rsid w:val="52336506"/>
    <w:rsid w:val="523F4EE3"/>
    <w:rsid w:val="524052AA"/>
    <w:rsid w:val="52483679"/>
    <w:rsid w:val="524D667B"/>
    <w:rsid w:val="52526170"/>
    <w:rsid w:val="52592449"/>
    <w:rsid w:val="525C5866"/>
    <w:rsid w:val="52632790"/>
    <w:rsid w:val="526F0D33"/>
    <w:rsid w:val="5279570C"/>
    <w:rsid w:val="52852059"/>
    <w:rsid w:val="52875AAB"/>
    <w:rsid w:val="528B0128"/>
    <w:rsid w:val="528C6509"/>
    <w:rsid w:val="52987F44"/>
    <w:rsid w:val="529974E2"/>
    <w:rsid w:val="529E3869"/>
    <w:rsid w:val="52A24AB3"/>
    <w:rsid w:val="52B275F3"/>
    <w:rsid w:val="52B34596"/>
    <w:rsid w:val="52B7380B"/>
    <w:rsid w:val="52C660E4"/>
    <w:rsid w:val="52CD0328"/>
    <w:rsid w:val="52CE344A"/>
    <w:rsid w:val="52DB3DB2"/>
    <w:rsid w:val="531454AA"/>
    <w:rsid w:val="532517C4"/>
    <w:rsid w:val="53260066"/>
    <w:rsid w:val="5327355F"/>
    <w:rsid w:val="532950DD"/>
    <w:rsid w:val="532A577E"/>
    <w:rsid w:val="532D1473"/>
    <w:rsid w:val="533B38FC"/>
    <w:rsid w:val="53472EF8"/>
    <w:rsid w:val="53505621"/>
    <w:rsid w:val="53515F64"/>
    <w:rsid w:val="535D3AEA"/>
    <w:rsid w:val="535F70A5"/>
    <w:rsid w:val="536D3B65"/>
    <w:rsid w:val="536F35A6"/>
    <w:rsid w:val="53727E93"/>
    <w:rsid w:val="53784B50"/>
    <w:rsid w:val="537D357C"/>
    <w:rsid w:val="538648F5"/>
    <w:rsid w:val="53876B42"/>
    <w:rsid w:val="53983BB7"/>
    <w:rsid w:val="53A12167"/>
    <w:rsid w:val="53A47684"/>
    <w:rsid w:val="53B97094"/>
    <w:rsid w:val="53C21688"/>
    <w:rsid w:val="53D06701"/>
    <w:rsid w:val="53D50EC6"/>
    <w:rsid w:val="53E4700B"/>
    <w:rsid w:val="53E5138B"/>
    <w:rsid w:val="53F12868"/>
    <w:rsid w:val="53F22302"/>
    <w:rsid w:val="54203C5D"/>
    <w:rsid w:val="542543B4"/>
    <w:rsid w:val="5450705D"/>
    <w:rsid w:val="54572372"/>
    <w:rsid w:val="54590C9D"/>
    <w:rsid w:val="54710850"/>
    <w:rsid w:val="549632A6"/>
    <w:rsid w:val="54A13488"/>
    <w:rsid w:val="54A576B4"/>
    <w:rsid w:val="54E43EF3"/>
    <w:rsid w:val="55143E7D"/>
    <w:rsid w:val="55212155"/>
    <w:rsid w:val="55250B01"/>
    <w:rsid w:val="553665AF"/>
    <w:rsid w:val="55372352"/>
    <w:rsid w:val="55415E75"/>
    <w:rsid w:val="55442ECC"/>
    <w:rsid w:val="5545096C"/>
    <w:rsid w:val="554A249C"/>
    <w:rsid w:val="555812A4"/>
    <w:rsid w:val="55671131"/>
    <w:rsid w:val="556C2493"/>
    <w:rsid w:val="556F67B0"/>
    <w:rsid w:val="5588218D"/>
    <w:rsid w:val="55AD5A26"/>
    <w:rsid w:val="55B00C6D"/>
    <w:rsid w:val="55BF63E3"/>
    <w:rsid w:val="55CB0DA0"/>
    <w:rsid w:val="55CE4C5A"/>
    <w:rsid w:val="55CF7C7E"/>
    <w:rsid w:val="55D70D0F"/>
    <w:rsid w:val="55DC4FC1"/>
    <w:rsid w:val="55F535A2"/>
    <w:rsid w:val="55FD6D0F"/>
    <w:rsid w:val="56043DDD"/>
    <w:rsid w:val="56053CDB"/>
    <w:rsid w:val="560E119A"/>
    <w:rsid w:val="56290D0E"/>
    <w:rsid w:val="5629637C"/>
    <w:rsid w:val="56297121"/>
    <w:rsid w:val="56352885"/>
    <w:rsid w:val="563D0C70"/>
    <w:rsid w:val="56446A2D"/>
    <w:rsid w:val="56474B7C"/>
    <w:rsid w:val="564A2986"/>
    <w:rsid w:val="564F31A3"/>
    <w:rsid w:val="5651371E"/>
    <w:rsid w:val="56576811"/>
    <w:rsid w:val="56585DA5"/>
    <w:rsid w:val="56640C1A"/>
    <w:rsid w:val="5668147B"/>
    <w:rsid w:val="567348DE"/>
    <w:rsid w:val="56804719"/>
    <w:rsid w:val="568F6618"/>
    <w:rsid w:val="56A33C92"/>
    <w:rsid w:val="56B631D9"/>
    <w:rsid w:val="56BD0265"/>
    <w:rsid w:val="56C80169"/>
    <w:rsid w:val="56DE6E10"/>
    <w:rsid w:val="56EE13DA"/>
    <w:rsid w:val="56FD2E0F"/>
    <w:rsid w:val="57062473"/>
    <w:rsid w:val="570777E1"/>
    <w:rsid w:val="571C2784"/>
    <w:rsid w:val="572B41B4"/>
    <w:rsid w:val="572E48C1"/>
    <w:rsid w:val="57323A70"/>
    <w:rsid w:val="57393687"/>
    <w:rsid w:val="573945F7"/>
    <w:rsid w:val="57396483"/>
    <w:rsid w:val="573E7C5A"/>
    <w:rsid w:val="575C4C99"/>
    <w:rsid w:val="577054DB"/>
    <w:rsid w:val="57731325"/>
    <w:rsid w:val="577B4C0F"/>
    <w:rsid w:val="577D4F75"/>
    <w:rsid w:val="57920DF9"/>
    <w:rsid w:val="57A17B6E"/>
    <w:rsid w:val="57A47541"/>
    <w:rsid w:val="57BE4623"/>
    <w:rsid w:val="57C71CB3"/>
    <w:rsid w:val="57CA16F3"/>
    <w:rsid w:val="57CF5EF2"/>
    <w:rsid w:val="57DA7A76"/>
    <w:rsid w:val="57EB4D9C"/>
    <w:rsid w:val="57ED2940"/>
    <w:rsid w:val="57F00529"/>
    <w:rsid w:val="57F14ED1"/>
    <w:rsid w:val="58067BED"/>
    <w:rsid w:val="58116042"/>
    <w:rsid w:val="5813131E"/>
    <w:rsid w:val="581450C2"/>
    <w:rsid w:val="581D0164"/>
    <w:rsid w:val="581D403C"/>
    <w:rsid w:val="581E27FC"/>
    <w:rsid w:val="581F71F8"/>
    <w:rsid w:val="58262DCD"/>
    <w:rsid w:val="582D0359"/>
    <w:rsid w:val="584170F0"/>
    <w:rsid w:val="58464EF3"/>
    <w:rsid w:val="584B1BC3"/>
    <w:rsid w:val="584E67CF"/>
    <w:rsid w:val="584F07F6"/>
    <w:rsid w:val="585D48F7"/>
    <w:rsid w:val="58620391"/>
    <w:rsid w:val="586C457F"/>
    <w:rsid w:val="586F3CAF"/>
    <w:rsid w:val="58783724"/>
    <w:rsid w:val="58897FB4"/>
    <w:rsid w:val="58954160"/>
    <w:rsid w:val="58AF4BAA"/>
    <w:rsid w:val="58D41CCC"/>
    <w:rsid w:val="58D7235B"/>
    <w:rsid w:val="58DF5C1C"/>
    <w:rsid w:val="58E03592"/>
    <w:rsid w:val="58EB7B73"/>
    <w:rsid w:val="58EE7542"/>
    <w:rsid w:val="58F632BA"/>
    <w:rsid w:val="58F81F04"/>
    <w:rsid w:val="5904726D"/>
    <w:rsid w:val="590E673D"/>
    <w:rsid w:val="593663FF"/>
    <w:rsid w:val="595612FE"/>
    <w:rsid w:val="59564B9D"/>
    <w:rsid w:val="59583222"/>
    <w:rsid w:val="595B5339"/>
    <w:rsid w:val="59973856"/>
    <w:rsid w:val="599A7D3E"/>
    <w:rsid w:val="59A10756"/>
    <w:rsid w:val="59A4101C"/>
    <w:rsid w:val="59B844AF"/>
    <w:rsid w:val="59C16B55"/>
    <w:rsid w:val="59C366AB"/>
    <w:rsid w:val="59C916D8"/>
    <w:rsid w:val="59CB7735"/>
    <w:rsid w:val="59E64147"/>
    <w:rsid w:val="59EA4856"/>
    <w:rsid w:val="5A095D83"/>
    <w:rsid w:val="5A101477"/>
    <w:rsid w:val="5A2179B2"/>
    <w:rsid w:val="5A25523B"/>
    <w:rsid w:val="5A3D2537"/>
    <w:rsid w:val="5A425120"/>
    <w:rsid w:val="5A45288F"/>
    <w:rsid w:val="5A4B52E0"/>
    <w:rsid w:val="5A5961EF"/>
    <w:rsid w:val="5A5A0BD4"/>
    <w:rsid w:val="5A6B3074"/>
    <w:rsid w:val="5A7961A2"/>
    <w:rsid w:val="5A9418C2"/>
    <w:rsid w:val="5A953FC7"/>
    <w:rsid w:val="5A981634"/>
    <w:rsid w:val="5A990344"/>
    <w:rsid w:val="5AB17D40"/>
    <w:rsid w:val="5ABB05D6"/>
    <w:rsid w:val="5AC32B55"/>
    <w:rsid w:val="5AC93EE4"/>
    <w:rsid w:val="5AD159B6"/>
    <w:rsid w:val="5AD430E1"/>
    <w:rsid w:val="5AE377A1"/>
    <w:rsid w:val="5AF64273"/>
    <w:rsid w:val="5AFA72D3"/>
    <w:rsid w:val="5AFD12C7"/>
    <w:rsid w:val="5B0A07D4"/>
    <w:rsid w:val="5B152B75"/>
    <w:rsid w:val="5B4672E2"/>
    <w:rsid w:val="5B4D4243"/>
    <w:rsid w:val="5B512F84"/>
    <w:rsid w:val="5B577061"/>
    <w:rsid w:val="5B5B22EF"/>
    <w:rsid w:val="5B5E0D16"/>
    <w:rsid w:val="5B610160"/>
    <w:rsid w:val="5B6879A0"/>
    <w:rsid w:val="5B707812"/>
    <w:rsid w:val="5B7219CF"/>
    <w:rsid w:val="5B7254EA"/>
    <w:rsid w:val="5B9067AF"/>
    <w:rsid w:val="5B910C26"/>
    <w:rsid w:val="5BA2595D"/>
    <w:rsid w:val="5BA321E9"/>
    <w:rsid w:val="5BAF15BA"/>
    <w:rsid w:val="5BB34F5F"/>
    <w:rsid w:val="5BB360F0"/>
    <w:rsid w:val="5BCF560E"/>
    <w:rsid w:val="5BD67B34"/>
    <w:rsid w:val="5BE30FD5"/>
    <w:rsid w:val="5C052CF9"/>
    <w:rsid w:val="5C202B1A"/>
    <w:rsid w:val="5C241BB6"/>
    <w:rsid w:val="5C334DF9"/>
    <w:rsid w:val="5C361673"/>
    <w:rsid w:val="5C367984"/>
    <w:rsid w:val="5C4A0C92"/>
    <w:rsid w:val="5C4D4754"/>
    <w:rsid w:val="5C57704E"/>
    <w:rsid w:val="5C5C2DB9"/>
    <w:rsid w:val="5C5C6574"/>
    <w:rsid w:val="5C611AA1"/>
    <w:rsid w:val="5C75660B"/>
    <w:rsid w:val="5C761E49"/>
    <w:rsid w:val="5C7912D6"/>
    <w:rsid w:val="5C883068"/>
    <w:rsid w:val="5C8A09DF"/>
    <w:rsid w:val="5C8A1451"/>
    <w:rsid w:val="5C8E4380"/>
    <w:rsid w:val="5CA66373"/>
    <w:rsid w:val="5CA93AFD"/>
    <w:rsid w:val="5CB833B5"/>
    <w:rsid w:val="5CBD373D"/>
    <w:rsid w:val="5CC77A78"/>
    <w:rsid w:val="5CCA06F9"/>
    <w:rsid w:val="5CE86B9C"/>
    <w:rsid w:val="5D281140"/>
    <w:rsid w:val="5D4B01F2"/>
    <w:rsid w:val="5D557414"/>
    <w:rsid w:val="5D570FA6"/>
    <w:rsid w:val="5D5A5288"/>
    <w:rsid w:val="5D7A22D8"/>
    <w:rsid w:val="5D7C348F"/>
    <w:rsid w:val="5D7C6505"/>
    <w:rsid w:val="5D942587"/>
    <w:rsid w:val="5D9459AF"/>
    <w:rsid w:val="5D981D7D"/>
    <w:rsid w:val="5D9A3915"/>
    <w:rsid w:val="5D9B1B67"/>
    <w:rsid w:val="5DA74038"/>
    <w:rsid w:val="5DA84CDF"/>
    <w:rsid w:val="5DAE3AF8"/>
    <w:rsid w:val="5DC2416F"/>
    <w:rsid w:val="5DCD7847"/>
    <w:rsid w:val="5DD07429"/>
    <w:rsid w:val="5DD25560"/>
    <w:rsid w:val="5DE15CFC"/>
    <w:rsid w:val="5E1E7E28"/>
    <w:rsid w:val="5E213E30"/>
    <w:rsid w:val="5E4775F9"/>
    <w:rsid w:val="5E4F03D8"/>
    <w:rsid w:val="5E552EA3"/>
    <w:rsid w:val="5E613959"/>
    <w:rsid w:val="5E665113"/>
    <w:rsid w:val="5E8143EE"/>
    <w:rsid w:val="5E97121E"/>
    <w:rsid w:val="5E9F2B7A"/>
    <w:rsid w:val="5EAE4A4C"/>
    <w:rsid w:val="5EAF6701"/>
    <w:rsid w:val="5EBA17A3"/>
    <w:rsid w:val="5EC228FE"/>
    <w:rsid w:val="5EC85D58"/>
    <w:rsid w:val="5EDB4F71"/>
    <w:rsid w:val="5EE12D64"/>
    <w:rsid w:val="5EE41C6C"/>
    <w:rsid w:val="5EE930EA"/>
    <w:rsid w:val="5EFD6541"/>
    <w:rsid w:val="5F022F6D"/>
    <w:rsid w:val="5F1514A5"/>
    <w:rsid w:val="5F185419"/>
    <w:rsid w:val="5F1871E8"/>
    <w:rsid w:val="5F197E08"/>
    <w:rsid w:val="5F296586"/>
    <w:rsid w:val="5F4B3A50"/>
    <w:rsid w:val="5F5D7B38"/>
    <w:rsid w:val="5F605220"/>
    <w:rsid w:val="5F6139D4"/>
    <w:rsid w:val="5F627D0B"/>
    <w:rsid w:val="5F645B3C"/>
    <w:rsid w:val="5F682498"/>
    <w:rsid w:val="5F7E33EB"/>
    <w:rsid w:val="5F8F0E4A"/>
    <w:rsid w:val="5F8F447E"/>
    <w:rsid w:val="5F9931F1"/>
    <w:rsid w:val="5F9F3465"/>
    <w:rsid w:val="5FA17D60"/>
    <w:rsid w:val="5FA33AD0"/>
    <w:rsid w:val="5FA514E4"/>
    <w:rsid w:val="5FA64F63"/>
    <w:rsid w:val="5FA81B4A"/>
    <w:rsid w:val="5FC12161"/>
    <w:rsid w:val="5FC34395"/>
    <w:rsid w:val="5FC8476A"/>
    <w:rsid w:val="5FCA37C0"/>
    <w:rsid w:val="5FCA661C"/>
    <w:rsid w:val="5FD917B2"/>
    <w:rsid w:val="5FD92450"/>
    <w:rsid w:val="5FEA7D3E"/>
    <w:rsid w:val="5FEE7696"/>
    <w:rsid w:val="5FFD0B0A"/>
    <w:rsid w:val="600353B7"/>
    <w:rsid w:val="6017073D"/>
    <w:rsid w:val="602A02F6"/>
    <w:rsid w:val="602D2472"/>
    <w:rsid w:val="60366AE9"/>
    <w:rsid w:val="604E3077"/>
    <w:rsid w:val="605E6E7C"/>
    <w:rsid w:val="60650E12"/>
    <w:rsid w:val="606E1F64"/>
    <w:rsid w:val="608E50F4"/>
    <w:rsid w:val="60964AAF"/>
    <w:rsid w:val="60A37535"/>
    <w:rsid w:val="60A61B01"/>
    <w:rsid w:val="60AA78C2"/>
    <w:rsid w:val="60AB1CCA"/>
    <w:rsid w:val="60C20E00"/>
    <w:rsid w:val="60C677C2"/>
    <w:rsid w:val="60E06639"/>
    <w:rsid w:val="60E6759D"/>
    <w:rsid w:val="60F30E73"/>
    <w:rsid w:val="60F35361"/>
    <w:rsid w:val="60F57A3F"/>
    <w:rsid w:val="61092849"/>
    <w:rsid w:val="6119590D"/>
    <w:rsid w:val="612772E5"/>
    <w:rsid w:val="61295689"/>
    <w:rsid w:val="61362FAB"/>
    <w:rsid w:val="613B33A9"/>
    <w:rsid w:val="61651A9A"/>
    <w:rsid w:val="617A5F38"/>
    <w:rsid w:val="617F3FA1"/>
    <w:rsid w:val="61AA78B0"/>
    <w:rsid w:val="61B76B99"/>
    <w:rsid w:val="61BE6FCC"/>
    <w:rsid w:val="61C53DB7"/>
    <w:rsid w:val="61C67613"/>
    <w:rsid w:val="61CC7E57"/>
    <w:rsid w:val="61D10344"/>
    <w:rsid w:val="61D12CBF"/>
    <w:rsid w:val="61DD2A6C"/>
    <w:rsid w:val="61DD385C"/>
    <w:rsid w:val="61E31698"/>
    <w:rsid w:val="61E4459E"/>
    <w:rsid w:val="61E812BF"/>
    <w:rsid w:val="61F00CC8"/>
    <w:rsid w:val="61F25ACE"/>
    <w:rsid w:val="620169FF"/>
    <w:rsid w:val="623379BA"/>
    <w:rsid w:val="6241419F"/>
    <w:rsid w:val="62417471"/>
    <w:rsid w:val="624D3A13"/>
    <w:rsid w:val="625745BB"/>
    <w:rsid w:val="627C6E69"/>
    <w:rsid w:val="628030DA"/>
    <w:rsid w:val="628A55D7"/>
    <w:rsid w:val="62916E02"/>
    <w:rsid w:val="629E0B91"/>
    <w:rsid w:val="62A74B0A"/>
    <w:rsid w:val="62B463B4"/>
    <w:rsid w:val="62B55439"/>
    <w:rsid w:val="62DA13E1"/>
    <w:rsid w:val="62E07BF4"/>
    <w:rsid w:val="62EC75FF"/>
    <w:rsid w:val="62FB7D36"/>
    <w:rsid w:val="62FD4E57"/>
    <w:rsid w:val="630C1BAF"/>
    <w:rsid w:val="630E4C10"/>
    <w:rsid w:val="631F62D0"/>
    <w:rsid w:val="63263553"/>
    <w:rsid w:val="633F11E7"/>
    <w:rsid w:val="634B2E08"/>
    <w:rsid w:val="63552959"/>
    <w:rsid w:val="635C3B47"/>
    <w:rsid w:val="635F4A19"/>
    <w:rsid w:val="63645CF6"/>
    <w:rsid w:val="636B3260"/>
    <w:rsid w:val="636D3F94"/>
    <w:rsid w:val="637C7D45"/>
    <w:rsid w:val="63817D77"/>
    <w:rsid w:val="63822E9C"/>
    <w:rsid w:val="63BB14BF"/>
    <w:rsid w:val="63D10E50"/>
    <w:rsid w:val="63EF4044"/>
    <w:rsid w:val="63F129DD"/>
    <w:rsid w:val="64304A89"/>
    <w:rsid w:val="64357593"/>
    <w:rsid w:val="643F7FD2"/>
    <w:rsid w:val="646D768E"/>
    <w:rsid w:val="649A171A"/>
    <w:rsid w:val="649E33E5"/>
    <w:rsid w:val="64A038CF"/>
    <w:rsid w:val="64B1461A"/>
    <w:rsid w:val="64B7335B"/>
    <w:rsid w:val="64C23EB4"/>
    <w:rsid w:val="64D40772"/>
    <w:rsid w:val="64DA5BFB"/>
    <w:rsid w:val="64E53367"/>
    <w:rsid w:val="64E83085"/>
    <w:rsid w:val="64F20BC6"/>
    <w:rsid w:val="64F55033"/>
    <w:rsid w:val="64FB47E3"/>
    <w:rsid w:val="651E528C"/>
    <w:rsid w:val="652523EB"/>
    <w:rsid w:val="653834B2"/>
    <w:rsid w:val="655113DD"/>
    <w:rsid w:val="65556AA0"/>
    <w:rsid w:val="65565DB0"/>
    <w:rsid w:val="65576B89"/>
    <w:rsid w:val="65737541"/>
    <w:rsid w:val="65963FD8"/>
    <w:rsid w:val="65982859"/>
    <w:rsid w:val="65A209DB"/>
    <w:rsid w:val="65A2139E"/>
    <w:rsid w:val="65A875F8"/>
    <w:rsid w:val="65B406D9"/>
    <w:rsid w:val="65C01AB7"/>
    <w:rsid w:val="65C06580"/>
    <w:rsid w:val="65C26963"/>
    <w:rsid w:val="65E30F23"/>
    <w:rsid w:val="65E71C91"/>
    <w:rsid w:val="65EB27AD"/>
    <w:rsid w:val="65EB59F5"/>
    <w:rsid w:val="65EB6F95"/>
    <w:rsid w:val="65ED747D"/>
    <w:rsid w:val="65F9451B"/>
    <w:rsid w:val="65FB2712"/>
    <w:rsid w:val="65FE2E14"/>
    <w:rsid w:val="65FF25D9"/>
    <w:rsid w:val="66000D6B"/>
    <w:rsid w:val="6612680B"/>
    <w:rsid w:val="661C273B"/>
    <w:rsid w:val="662538BE"/>
    <w:rsid w:val="66335F75"/>
    <w:rsid w:val="664D7962"/>
    <w:rsid w:val="66565D6F"/>
    <w:rsid w:val="665D778F"/>
    <w:rsid w:val="665E38B8"/>
    <w:rsid w:val="666351EC"/>
    <w:rsid w:val="66697D6E"/>
    <w:rsid w:val="666A5142"/>
    <w:rsid w:val="666B1D62"/>
    <w:rsid w:val="66A97E9F"/>
    <w:rsid w:val="66AA6710"/>
    <w:rsid w:val="66C27892"/>
    <w:rsid w:val="66C847DB"/>
    <w:rsid w:val="66E04642"/>
    <w:rsid w:val="66E91C77"/>
    <w:rsid w:val="66F37830"/>
    <w:rsid w:val="66F94494"/>
    <w:rsid w:val="67023DC5"/>
    <w:rsid w:val="670B3BFF"/>
    <w:rsid w:val="670D087B"/>
    <w:rsid w:val="67114AC7"/>
    <w:rsid w:val="671A44F3"/>
    <w:rsid w:val="67245A17"/>
    <w:rsid w:val="672F586B"/>
    <w:rsid w:val="67341C8A"/>
    <w:rsid w:val="67341DE3"/>
    <w:rsid w:val="67391180"/>
    <w:rsid w:val="6750563C"/>
    <w:rsid w:val="675C41EF"/>
    <w:rsid w:val="676216F4"/>
    <w:rsid w:val="676416A1"/>
    <w:rsid w:val="67655221"/>
    <w:rsid w:val="67830751"/>
    <w:rsid w:val="678E0368"/>
    <w:rsid w:val="67913FD0"/>
    <w:rsid w:val="67955879"/>
    <w:rsid w:val="67AB3858"/>
    <w:rsid w:val="67AC322A"/>
    <w:rsid w:val="67C2586F"/>
    <w:rsid w:val="67D143D7"/>
    <w:rsid w:val="67DA5DF4"/>
    <w:rsid w:val="67DC514C"/>
    <w:rsid w:val="67DC55A7"/>
    <w:rsid w:val="67EF3975"/>
    <w:rsid w:val="67F11328"/>
    <w:rsid w:val="67F4385A"/>
    <w:rsid w:val="68074AD2"/>
    <w:rsid w:val="680A7ED0"/>
    <w:rsid w:val="68192D10"/>
    <w:rsid w:val="682912C3"/>
    <w:rsid w:val="682A25BB"/>
    <w:rsid w:val="683F2657"/>
    <w:rsid w:val="68457149"/>
    <w:rsid w:val="68460A4B"/>
    <w:rsid w:val="686700D0"/>
    <w:rsid w:val="68673BA0"/>
    <w:rsid w:val="687A05CB"/>
    <w:rsid w:val="688356D2"/>
    <w:rsid w:val="688A7AA4"/>
    <w:rsid w:val="68972F23"/>
    <w:rsid w:val="689946AF"/>
    <w:rsid w:val="68BB02ED"/>
    <w:rsid w:val="68CF45AF"/>
    <w:rsid w:val="68DC4336"/>
    <w:rsid w:val="68ED52C5"/>
    <w:rsid w:val="68F757F5"/>
    <w:rsid w:val="68FD0597"/>
    <w:rsid w:val="68FE06A0"/>
    <w:rsid w:val="691077E9"/>
    <w:rsid w:val="69273F6A"/>
    <w:rsid w:val="692819EB"/>
    <w:rsid w:val="692C0756"/>
    <w:rsid w:val="69355F5B"/>
    <w:rsid w:val="69400538"/>
    <w:rsid w:val="69536C37"/>
    <w:rsid w:val="697A333A"/>
    <w:rsid w:val="697C704A"/>
    <w:rsid w:val="69860701"/>
    <w:rsid w:val="698F2576"/>
    <w:rsid w:val="69974C19"/>
    <w:rsid w:val="699A513A"/>
    <w:rsid w:val="69A422AA"/>
    <w:rsid w:val="69AD252C"/>
    <w:rsid w:val="69B93983"/>
    <w:rsid w:val="69C05B16"/>
    <w:rsid w:val="69C7095B"/>
    <w:rsid w:val="69E00AF5"/>
    <w:rsid w:val="6A067888"/>
    <w:rsid w:val="6A0C7949"/>
    <w:rsid w:val="6A1F58CE"/>
    <w:rsid w:val="6A234841"/>
    <w:rsid w:val="6A252895"/>
    <w:rsid w:val="6A72254D"/>
    <w:rsid w:val="6A774C8E"/>
    <w:rsid w:val="6A7A3BED"/>
    <w:rsid w:val="6A7D1AE2"/>
    <w:rsid w:val="6A7D6CAF"/>
    <w:rsid w:val="6A8B4D12"/>
    <w:rsid w:val="6A935974"/>
    <w:rsid w:val="6A9D16A1"/>
    <w:rsid w:val="6A9F6748"/>
    <w:rsid w:val="6AA656A7"/>
    <w:rsid w:val="6AAB216B"/>
    <w:rsid w:val="6AAD3140"/>
    <w:rsid w:val="6AD66790"/>
    <w:rsid w:val="6ADB4C76"/>
    <w:rsid w:val="6AED176D"/>
    <w:rsid w:val="6B00324F"/>
    <w:rsid w:val="6B080110"/>
    <w:rsid w:val="6B0F6F59"/>
    <w:rsid w:val="6B1A1B85"/>
    <w:rsid w:val="6B1C160F"/>
    <w:rsid w:val="6B23319C"/>
    <w:rsid w:val="6B2C204B"/>
    <w:rsid w:val="6B630195"/>
    <w:rsid w:val="6B6C24A5"/>
    <w:rsid w:val="6B6E0E38"/>
    <w:rsid w:val="6B6F736B"/>
    <w:rsid w:val="6B773FC3"/>
    <w:rsid w:val="6B7D0AFE"/>
    <w:rsid w:val="6B8821E6"/>
    <w:rsid w:val="6B8862B0"/>
    <w:rsid w:val="6B902245"/>
    <w:rsid w:val="6B970A44"/>
    <w:rsid w:val="6B975E2B"/>
    <w:rsid w:val="6B9C3AE5"/>
    <w:rsid w:val="6BA23DDC"/>
    <w:rsid w:val="6BA95EF8"/>
    <w:rsid w:val="6BAE6A07"/>
    <w:rsid w:val="6BB27FAE"/>
    <w:rsid w:val="6BBA4CE4"/>
    <w:rsid w:val="6BC57439"/>
    <w:rsid w:val="6BC61B7F"/>
    <w:rsid w:val="6BC6585F"/>
    <w:rsid w:val="6BC71D79"/>
    <w:rsid w:val="6BD32CE5"/>
    <w:rsid w:val="6BD67703"/>
    <w:rsid w:val="6BE071E8"/>
    <w:rsid w:val="6BFE0CC3"/>
    <w:rsid w:val="6C0A4B22"/>
    <w:rsid w:val="6C0F0FFD"/>
    <w:rsid w:val="6C1331CB"/>
    <w:rsid w:val="6C20673D"/>
    <w:rsid w:val="6C290A1F"/>
    <w:rsid w:val="6C343BB2"/>
    <w:rsid w:val="6C40122D"/>
    <w:rsid w:val="6C4934F0"/>
    <w:rsid w:val="6C4D5216"/>
    <w:rsid w:val="6C632793"/>
    <w:rsid w:val="6C6571AE"/>
    <w:rsid w:val="6C6B301F"/>
    <w:rsid w:val="6C754128"/>
    <w:rsid w:val="6C7A6DEC"/>
    <w:rsid w:val="6C8628B2"/>
    <w:rsid w:val="6C887707"/>
    <w:rsid w:val="6C894ACE"/>
    <w:rsid w:val="6C993AF2"/>
    <w:rsid w:val="6C9C10BC"/>
    <w:rsid w:val="6C9C39C1"/>
    <w:rsid w:val="6C9D515B"/>
    <w:rsid w:val="6CA137B8"/>
    <w:rsid w:val="6CB2102C"/>
    <w:rsid w:val="6CC16625"/>
    <w:rsid w:val="6CC554F5"/>
    <w:rsid w:val="6CC85788"/>
    <w:rsid w:val="6CD303DA"/>
    <w:rsid w:val="6CE70612"/>
    <w:rsid w:val="6CE95024"/>
    <w:rsid w:val="6CF03BB9"/>
    <w:rsid w:val="6CF647D5"/>
    <w:rsid w:val="6D0979EE"/>
    <w:rsid w:val="6D1A160E"/>
    <w:rsid w:val="6D2D5FF9"/>
    <w:rsid w:val="6D5A77BC"/>
    <w:rsid w:val="6D5C0B1D"/>
    <w:rsid w:val="6D5E4168"/>
    <w:rsid w:val="6D600F6C"/>
    <w:rsid w:val="6D724ECA"/>
    <w:rsid w:val="6D882B4A"/>
    <w:rsid w:val="6D8C4A01"/>
    <w:rsid w:val="6DB73289"/>
    <w:rsid w:val="6DC02AF2"/>
    <w:rsid w:val="6DC03158"/>
    <w:rsid w:val="6DC31605"/>
    <w:rsid w:val="6DCA367F"/>
    <w:rsid w:val="6DD31037"/>
    <w:rsid w:val="6DD467CE"/>
    <w:rsid w:val="6DD46EE1"/>
    <w:rsid w:val="6DDE1062"/>
    <w:rsid w:val="6E0028EB"/>
    <w:rsid w:val="6E01724F"/>
    <w:rsid w:val="6E056B6D"/>
    <w:rsid w:val="6E103D71"/>
    <w:rsid w:val="6E1504D8"/>
    <w:rsid w:val="6E1717BE"/>
    <w:rsid w:val="6E18686B"/>
    <w:rsid w:val="6E1F0090"/>
    <w:rsid w:val="6E2B75CB"/>
    <w:rsid w:val="6E3478A1"/>
    <w:rsid w:val="6E413424"/>
    <w:rsid w:val="6E432518"/>
    <w:rsid w:val="6E4825FC"/>
    <w:rsid w:val="6E4F0FC0"/>
    <w:rsid w:val="6E562AC5"/>
    <w:rsid w:val="6E700F68"/>
    <w:rsid w:val="6E872DC2"/>
    <w:rsid w:val="6E906D9A"/>
    <w:rsid w:val="6E912234"/>
    <w:rsid w:val="6E9F55AB"/>
    <w:rsid w:val="6EA60A2A"/>
    <w:rsid w:val="6EA81E77"/>
    <w:rsid w:val="6EAD3AF4"/>
    <w:rsid w:val="6EAE7221"/>
    <w:rsid w:val="6EAF68FD"/>
    <w:rsid w:val="6EB011EB"/>
    <w:rsid w:val="6EBD1B0C"/>
    <w:rsid w:val="6ECA358A"/>
    <w:rsid w:val="6EE079F1"/>
    <w:rsid w:val="6EFC132A"/>
    <w:rsid w:val="6EFD10F6"/>
    <w:rsid w:val="6F095771"/>
    <w:rsid w:val="6F1352D6"/>
    <w:rsid w:val="6F147CF5"/>
    <w:rsid w:val="6F196BBF"/>
    <w:rsid w:val="6F1B72A5"/>
    <w:rsid w:val="6F2D2245"/>
    <w:rsid w:val="6F2E391A"/>
    <w:rsid w:val="6F4A519B"/>
    <w:rsid w:val="6F58215E"/>
    <w:rsid w:val="6F6156BB"/>
    <w:rsid w:val="6F6560B7"/>
    <w:rsid w:val="6F7F19CA"/>
    <w:rsid w:val="6F975238"/>
    <w:rsid w:val="6F986656"/>
    <w:rsid w:val="6FA63E0E"/>
    <w:rsid w:val="6FBA540B"/>
    <w:rsid w:val="6FD36875"/>
    <w:rsid w:val="6FD96115"/>
    <w:rsid w:val="6FE44A4D"/>
    <w:rsid w:val="6FFB3228"/>
    <w:rsid w:val="6FFE49F0"/>
    <w:rsid w:val="70016E22"/>
    <w:rsid w:val="701F1F56"/>
    <w:rsid w:val="701F26A6"/>
    <w:rsid w:val="702552C0"/>
    <w:rsid w:val="7030769D"/>
    <w:rsid w:val="705A278D"/>
    <w:rsid w:val="707C42F2"/>
    <w:rsid w:val="70A833E2"/>
    <w:rsid w:val="70C1148D"/>
    <w:rsid w:val="70C55F5C"/>
    <w:rsid w:val="70F70F12"/>
    <w:rsid w:val="70FD05AD"/>
    <w:rsid w:val="710F3112"/>
    <w:rsid w:val="71112F38"/>
    <w:rsid w:val="711374BE"/>
    <w:rsid w:val="71236A2B"/>
    <w:rsid w:val="71242AF6"/>
    <w:rsid w:val="714D675C"/>
    <w:rsid w:val="71526589"/>
    <w:rsid w:val="715E1313"/>
    <w:rsid w:val="716D3F24"/>
    <w:rsid w:val="71716B68"/>
    <w:rsid w:val="71723D13"/>
    <w:rsid w:val="71804EA4"/>
    <w:rsid w:val="718B2080"/>
    <w:rsid w:val="718E3AD4"/>
    <w:rsid w:val="718E4729"/>
    <w:rsid w:val="71B40FF2"/>
    <w:rsid w:val="71BA40BB"/>
    <w:rsid w:val="71C2189C"/>
    <w:rsid w:val="71C823A7"/>
    <w:rsid w:val="71D658E8"/>
    <w:rsid w:val="71FD2A9C"/>
    <w:rsid w:val="7216243C"/>
    <w:rsid w:val="7218332F"/>
    <w:rsid w:val="721A2970"/>
    <w:rsid w:val="721D3729"/>
    <w:rsid w:val="721E375F"/>
    <w:rsid w:val="721F5C52"/>
    <w:rsid w:val="723F5ECD"/>
    <w:rsid w:val="725953EB"/>
    <w:rsid w:val="726739D4"/>
    <w:rsid w:val="7270319E"/>
    <w:rsid w:val="728F49B6"/>
    <w:rsid w:val="72A154A1"/>
    <w:rsid w:val="72A82988"/>
    <w:rsid w:val="72AB0116"/>
    <w:rsid w:val="72C50F12"/>
    <w:rsid w:val="72C83F3E"/>
    <w:rsid w:val="72D01FA0"/>
    <w:rsid w:val="72D201BB"/>
    <w:rsid w:val="72D378A9"/>
    <w:rsid w:val="72E13957"/>
    <w:rsid w:val="72FE2BF5"/>
    <w:rsid w:val="73027E28"/>
    <w:rsid w:val="73062045"/>
    <w:rsid w:val="730F451A"/>
    <w:rsid w:val="7310309A"/>
    <w:rsid w:val="731920D2"/>
    <w:rsid w:val="732C2D59"/>
    <w:rsid w:val="733A73B0"/>
    <w:rsid w:val="734B3290"/>
    <w:rsid w:val="736F14B1"/>
    <w:rsid w:val="73751B65"/>
    <w:rsid w:val="73775FAE"/>
    <w:rsid w:val="73880C19"/>
    <w:rsid w:val="738C468D"/>
    <w:rsid w:val="73953F8B"/>
    <w:rsid w:val="73972979"/>
    <w:rsid w:val="73AC5BEA"/>
    <w:rsid w:val="73BB6D0B"/>
    <w:rsid w:val="73C706F6"/>
    <w:rsid w:val="73CB4475"/>
    <w:rsid w:val="73F207EA"/>
    <w:rsid w:val="73FC265C"/>
    <w:rsid w:val="7401366E"/>
    <w:rsid w:val="74022F14"/>
    <w:rsid w:val="74060BC4"/>
    <w:rsid w:val="7408760C"/>
    <w:rsid w:val="741842CB"/>
    <w:rsid w:val="741D389A"/>
    <w:rsid w:val="7420078F"/>
    <w:rsid w:val="743539AB"/>
    <w:rsid w:val="744113EA"/>
    <w:rsid w:val="744422CE"/>
    <w:rsid w:val="74462340"/>
    <w:rsid w:val="74476004"/>
    <w:rsid w:val="744A2CF5"/>
    <w:rsid w:val="74694152"/>
    <w:rsid w:val="746F546C"/>
    <w:rsid w:val="749B32D9"/>
    <w:rsid w:val="74AA750F"/>
    <w:rsid w:val="74AE47D4"/>
    <w:rsid w:val="74C345E1"/>
    <w:rsid w:val="74C854E1"/>
    <w:rsid w:val="74F03333"/>
    <w:rsid w:val="75015564"/>
    <w:rsid w:val="750B115D"/>
    <w:rsid w:val="750C5B8F"/>
    <w:rsid w:val="750D7E60"/>
    <w:rsid w:val="75132537"/>
    <w:rsid w:val="75154854"/>
    <w:rsid w:val="751D4BA3"/>
    <w:rsid w:val="75224785"/>
    <w:rsid w:val="752B0B75"/>
    <w:rsid w:val="752C7FFE"/>
    <w:rsid w:val="75422471"/>
    <w:rsid w:val="755000CD"/>
    <w:rsid w:val="75615DCA"/>
    <w:rsid w:val="757458B6"/>
    <w:rsid w:val="757740F3"/>
    <w:rsid w:val="757B587D"/>
    <w:rsid w:val="757B5CFE"/>
    <w:rsid w:val="757E7546"/>
    <w:rsid w:val="758B66A3"/>
    <w:rsid w:val="75B9759E"/>
    <w:rsid w:val="75C146FF"/>
    <w:rsid w:val="75CA7B83"/>
    <w:rsid w:val="75CE6AD4"/>
    <w:rsid w:val="75D265FC"/>
    <w:rsid w:val="75D525F7"/>
    <w:rsid w:val="75D80998"/>
    <w:rsid w:val="75DA74BA"/>
    <w:rsid w:val="75DD3A5C"/>
    <w:rsid w:val="75ED7121"/>
    <w:rsid w:val="75F900AA"/>
    <w:rsid w:val="75F94007"/>
    <w:rsid w:val="75FC4D15"/>
    <w:rsid w:val="76004806"/>
    <w:rsid w:val="76045978"/>
    <w:rsid w:val="760B30B8"/>
    <w:rsid w:val="76160D42"/>
    <w:rsid w:val="76183FF4"/>
    <w:rsid w:val="762C4510"/>
    <w:rsid w:val="762C7732"/>
    <w:rsid w:val="763149BF"/>
    <w:rsid w:val="76500BBD"/>
    <w:rsid w:val="76555C83"/>
    <w:rsid w:val="765738D7"/>
    <w:rsid w:val="766B580D"/>
    <w:rsid w:val="76742AFE"/>
    <w:rsid w:val="769538EB"/>
    <w:rsid w:val="76A807C5"/>
    <w:rsid w:val="76AE5667"/>
    <w:rsid w:val="76B06CC5"/>
    <w:rsid w:val="76B85B26"/>
    <w:rsid w:val="76B87F41"/>
    <w:rsid w:val="76C47DEA"/>
    <w:rsid w:val="76C81399"/>
    <w:rsid w:val="76EC6D79"/>
    <w:rsid w:val="77233E99"/>
    <w:rsid w:val="77255BA4"/>
    <w:rsid w:val="77262D3E"/>
    <w:rsid w:val="77264907"/>
    <w:rsid w:val="772B1108"/>
    <w:rsid w:val="77365E6C"/>
    <w:rsid w:val="774F18C5"/>
    <w:rsid w:val="775760AE"/>
    <w:rsid w:val="775841CD"/>
    <w:rsid w:val="776F081F"/>
    <w:rsid w:val="77707769"/>
    <w:rsid w:val="777210A4"/>
    <w:rsid w:val="7774670A"/>
    <w:rsid w:val="778576B9"/>
    <w:rsid w:val="77963076"/>
    <w:rsid w:val="77AE2784"/>
    <w:rsid w:val="77B77146"/>
    <w:rsid w:val="77BB3179"/>
    <w:rsid w:val="77BB5CCC"/>
    <w:rsid w:val="77C30FBD"/>
    <w:rsid w:val="77DB2B64"/>
    <w:rsid w:val="77ED0DBA"/>
    <w:rsid w:val="77F268C7"/>
    <w:rsid w:val="77F7770A"/>
    <w:rsid w:val="780037B9"/>
    <w:rsid w:val="78126D22"/>
    <w:rsid w:val="78213E73"/>
    <w:rsid w:val="783E7867"/>
    <w:rsid w:val="78422C87"/>
    <w:rsid w:val="78515B58"/>
    <w:rsid w:val="78522C21"/>
    <w:rsid w:val="78581447"/>
    <w:rsid w:val="785B3E6A"/>
    <w:rsid w:val="78702856"/>
    <w:rsid w:val="78774577"/>
    <w:rsid w:val="7885311A"/>
    <w:rsid w:val="789D7171"/>
    <w:rsid w:val="789F7896"/>
    <w:rsid w:val="78A2635C"/>
    <w:rsid w:val="78A63F31"/>
    <w:rsid w:val="78B21161"/>
    <w:rsid w:val="78B74C0F"/>
    <w:rsid w:val="78CB333C"/>
    <w:rsid w:val="78D50209"/>
    <w:rsid w:val="78D775CA"/>
    <w:rsid w:val="78F1280E"/>
    <w:rsid w:val="79023258"/>
    <w:rsid w:val="79047A31"/>
    <w:rsid w:val="791B55C6"/>
    <w:rsid w:val="79207B63"/>
    <w:rsid w:val="792627D5"/>
    <w:rsid w:val="7928253E"/>
    <w:rsid w:val="793F6177"/>
    <w:rsid w:val="79446300"/>
    <w:rsid w:val="79522427"/>
    <w:rsid w:val="7956003C"/>
    <w:rsid w:val="795E2B1F"/>
    <w:rsid w:val="798C2315"/>
    <w:rsid w:val="799E5641"/>
    <w:rsid w:val="79AD295D"/>
    <w:rsid w:val="79C11AFD"/>
    <w:rsid w:val="79C84021"/>
    <w:rsid w:val="79D878BD"/>
    <w:rsid w:val="7A160BFF"/>
    <w:rsid w:val="7A2A69EA"/>
    <w:rsid w:val="7A2D1AA7"/>
    <w:rsid w:val="7A3A4247"/>
    <w:rsid w:val="7A4312EF"/>
    <w:rsid w:val="7A4C283D"/>
    <w:rsid w:val="7A4E7F02"/>
    <w:rsid w:val="7A51129D"/>
    <w:rsid w:val="7A596B5B"/>
    <w:rsid w:val="7A610A46"/>
    <w:rsid w:val="7A996396"/>
    <w:rsid w:val="7AA86A74"/>
    <w:rsid w:val="7AB12745"/>
    <w:rsid w:val="7AB52A1D"/>
    <w:rsid w:val="7AB931D5"/>
    <w:rsid w:val="7ABA3AA8"/>
    <w:rsid w:val="7ABA4357"/>
    <w:rsid w:val="7ABC56D7"/>
    <w:rsid w:val="7ABF16ED"/>
    <w:rsid w:val="7ABF20B4"/>
    <w:rsid w:val="7AC02767"/>
    <w:rsid w:val="7AEA3480"/>
    <w:rsid w:val="7B134E72"/>
    <w:rsid w:val="7B183FF5"/>
    <w:rsid w:val="7B1B3CC2"/>
    <w:rsid w:val="7B301278"/>
    <w:rsid w:val="7B3934B5"/>
    <w:rsid w:val="7B3A147D"/>
    <w:rsid w:val="7B3E503F"/>
    <w:rsid w:val="7B592613"/>
    <w:rsid w:val="7B621F0C"/>
    <w:rsid w:val="7B7E37E5"/>
    <w:rsid w:val="7B892E2D"/>
    <w:rsid w:val="7B8A4C7B"/>
    <w:rsid w:val="7B9C382C"/>
    <w:rsid w:val="7BA26B44"/>
    <w:rsid w:val="7BA4768F"/>
    <w:rsid w:val="7BAB7181"/>
    <w:rsid w:val="7BCB04BC"/>
    <w:rsid w:val="7BDA1669"/>
    <w:rsid w:val="7BE1429B"/>
    <w:rsid w:val="7BED45A7"/>
    <w:rsid w:val="7BF257E7"/>
    <w:rsid w:val="7BFE3849"/>
    <w:rsid w:val="7C0F3A6F"/>
    <w:rsid w:val="7C1B1D78"/>
    <w:rsid w:val="7C2F613C"/>
    <w:rsid w:val="7C320365"/>
    <w:rsid w:val="7C410411"/>
    <w:rsid w:val="7C624981"/>
    <w:rsid w:val="7C63164A"/>
    <w:rsid w:val="7C6C22D2"/>
    <w:rsid w:val="7C6F05E1"/>
    <w:rsid w:val="7C7A21B1"/>
    <w:rsid w:val="7C7D1716"/>
    <w:rsid w:val="7C7D2202"/>
    <w:rsid w:val="7C7D2F74"/>
    <w:rsid w:val="7C8B143E"/>
    <w:rsid w:val="7C8D3CBE"/>
    <w:rsid w:val="7C8E6B61"/>
    <w:rsid w:val="7C9F0D79"/>
    <w:rsid w:val="7CAE7A46"/>
    <w:rsid w:val="7CB6602C"/>
    <w:rsid w:val="7CCF0A8E"/>
    <w:rsid w:val="7CD56FDA"/>
    <w:rsid w:val="7CE64A6C"/>
    <w:rsid w:val="7CEA1FD8"/>
    <w:rsid w:val="7CFD39FE"/>
    <w:rsid w:val="7D074470"/>
    <w:rsid w:val="7D0842EA"/>
    <w:rsid w:val="7D0D453A"/>
    <w:rsid w:val="7D0E18A6"/>
    <w:rsid w:val="7D112277"/>
    <w:rsid w:val="7D1172F8"/>
    <w:rsid w:val="7D150A69"/>
    <w:rsid w:val="7D16107E"/>
    <w:rsid w:val="7D227FB0"/>
    <w:rsid w:val="7D28164B"/>
    <w:rsid w:val="7D2B2F98"/>
    <w:rsid w:val="7D2F59D0"/>
    <w:rsid w:val="7D3343D6"/>
    <w:rsid w:val="7D3B31A4"/>
    <w:rsid w:val="7D3D3DAA"/>
    <w:rsid w:val="7D5311E4"/>
    <w:rsid w:val="7D676DC7"/>
    <w:rsid w:val="7D715FE9"/>
    <w:rsid w:val="7D7F00D7"/>
    <w:rsid w:val="7D911613"/>
    <w:rsid w:val="7D997A7E"/>
    <w:rsid w:val="7D9A7047"/>
    <w:rsid w:val="7DB810CB"/>
    <w:rsid w:val="7DC66A6D"/>
    <w:rsid w:val="7DD448A0"/>
    <w:rsid w:val="7E0A4BB6"/>
    <w:rsid w:val="7E3625AC"/>
    <w:rsid w:val="7E3E5A94"/>
    <w:rsid w:val="7E457227"/>
    <w:rsid w:val="7E4A226B"/>
    <w:rsid w:val="7E4A766C"/>
    <w:rsid w:val="7E6142ED"/>
    <w:rsid w:val="7E663D7F"/>
    <w:rsid w:val="7E667BD9"/>
    <w:rsid w:val="7E6F7310"/>
    <w:rsid w:val="7E721377"/>
    <w:rsid w:val="7E744810"/>
    <w:rsid w:val="7E755665"/>
    <w:rsid w:val="7E80159A"/>
    <w:rsid w:val="7E857F9E"/>
    <w:rsid w:val="7E87281A"/>
    <w:rsid w:val="7E872DD1"/>
    <w:rsid w:val="7E920800"/>
    <w:rsid w:val="7EA6679A"/>
    <w:rsid w:val="7EBE0A8D"/>
    <w:rsid w:val="7EC86E6B"/>
    <w:rsid w:val="7ED24865"/>
    <w:rsid w:val="7ED311A8"/>
    <w:rsid w:val="7ED378C2"/>
    <w:rsid w:val="7EEE7822"/>
    <w:rsid w:val="7EEF6BA4"/>
    <w:rsid w:val="7EFE6F57"/>
    <w:rsid w:val="7F037723"/>
    <w:rsid w:val="7F0C5FC9"/>
    <w:rsid w:val="7F1B578D"/>
    <w:rsid w:val="7F1E0580"/>
    <w:rsid w:val="7F2751BF"/>
    <w:rsid w:val="7F2F0CF5"/>
    <w:rsid w:val="7F3F6655"/>
    <w:rsid w:val="7F4C1080"/>
    <w:rsid w:val="7F552205"/>
    <w:rsid w:val="7F5B06A4"/>
    <w:rsid w:val="7F6C58CF"/>
    <w:rsid w:val="7F7573B4"/>
    <w:rsid w:val="7F791185"/>
    <w:rsid w:val="7F7D3606"/>
    <w:rsid w:val="7F833DB1"/>
    <w:rsid w:val="7F9D6BEE"/>
    <w:rsid w:val="7FC02C1B"/>
    <w:rsid w:val="7FC93EBA"/>
    <w:rsid w:val="7FC94613"/>
    <w:rsid w:val="7FCF14C3"/>
    <w:rsid w:val="7FE07B6B"/>
    <w:rsid w:val="7FE15B06"/>
    <w:rsid w:val="7FFF5D85"/>
    <w:rsid w:val="D15FBD5E"/>
    <w:rsid w:val="F7F739B6"/>
    <w:rsid w:val="FDFFBD3B"/>
    <w:rsid w:val="FF6D1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80" w:firstLineChars="200"/>
      <w:jc w:val="both"/>
    </w:pPr>
    <w:rPr>
      <w:rFonts w:ascii="Times New Roman" w:hAnsi="Times New Roman" w:eastAsia="宋体" w:cstheme="minorBidi"/>
      <w:kern w:val="2"/>
      <w:sz w:val="24"/>
      <w:szCs w:val="24"/>
      <w:lang w:val="en-US" w:eastAsia="zh-CN" w:bidi="ar-SA"/>
    </w:rPr>
  </w:style>
  <w:style w:type="paragraph" w:styleId="6">
    <w:name w:val="heading 3"/>
    <w:basedOn w:val="1"/>
    <w:next w:val="1"/>
    <w:qFormat/>
    <w:uiPriority w:val="0"/>
    <w:pPr>
      <w:keepNext/>
      <w:keepLines/>
      <w:spacing w:before="260" w:after="260" w:line="415" w:lineRule="auto"/>
      <w:outlineLvl w:val="2"/>
    </w:pPr>
    <w:rPr>
      <w:b/>
      <w:bCs/>
      <w:sz w:val="32"/>
      <w:szCs w:val="32"/>
    </w:rPr>
  </w:style>
  <w:style w:type="paragraph" w:styleId="7">
    <w:name w:val="heading 4"/>
    <w:basedOn w:val="1"/>
    <w:next w:val="1"/>
    <w:qFormat/>
    <w:uiPriority w:val="9"/>
    <w:pPr>
      <w:keepNext/>
      <w:keepLines/>
      <w:numPr>
        <w:ilvl w:val="3"/>
        <w:numId w:val="1"/>
      </w:numPr>
      <w:tabs>
        <w:tab w:val="left" w:pos="864"/>
      </w:tabs>
      <w:adjustRightInd w:val="0"/>
      <w:spacing w:line="360" w:lineRule="auto"/>
      <w:textAlignment w:val="baseline"/>
      <w:outlineLvl w:val="3"/>
    </w:pPr>
    <w:rPr>
      <w:rFonts w:cs="Times New Roman"/>
      <w:b/>
      <w:kern w:val="2"/>
      <w:szCs w:val="20"/>
    </w:rPr>
  </w:style>
  <w:style w:type="character" w:default="1" w:styleId="26">
    <w:name w:val="Default Paragraph Font"/>
    <w:autoRedefine/>
    <w:semiHidden/>
    <w:qFormat/>
    <w:uiPriority w:val="0"/>
  </w:style>
  <w:style w:type="table" w:default="1" w:styleId="24">
    <w:name w:val="Normal Table"/>
    <w:autoRedefine/>
    <w:semiHidden/>
    <w:qFormat/>
    <w:uiPriority w:val="0"/>
    <w:pPr>
      <w:keepNext w:val="0"/>
      <w:keepLines w:val="0"/>
      <w:widowControl/>
      <w:suppressLineNumbers w:val="0"/>
      <w:spacing w:before="0" w:beforeAutospacing="0" w:after="0" w:afterAutospacing="0"/>
      <w:ind w:left="0" w:right="0"/>
    </w:pPr>
    <w:rPr>
      <w:rFonts w:hint="eastAsia" w:ascii="等线" w:hAnsi="等线" w:eastAsia="等线" w:cs="等线"/>
      <w:kern w:val="2"/>
      <w:sz w:val="21"/>
      <w:szCs w:val="22"/>
    </w:rPr>
    <w:tblPr>
      <w:tblCellMar>
        <w:top w:w="0" w:type="dxa"/>
        <w:left w:w="108" w:type="dxa"/>
        <w:bottom w:w="0" w:type="dxa"/>
        <w:right w:w="108" w:type="dxa"/>
      </w:tblCellMar>
    </w:tblPr>
  </w:style>
  <w:style w:type="paragraph" w:customStyle="1" w:styleId="2">
    <w:name w:val="Default"/>
    <w:basedOn w:val="3"/>
    <w:autoRedefine/>
    <w:qFormat/>
    <w:uiPriority w:val="0"/>
    <w:pPr>
      <w:autoSpaceDE w:val="0"/>
      <w:autoSpaceDN w:val="0"/>
      <w:adjustRightInd w:val="0"/>
      <w:spacing w:line="240" w:lineRule="exact"/>
    </w:pPr>
    <w:rPr>
      <w:rFonts w:ascii="宋体" w:hAnsi="宋体"/>
      <w:color w:val="000000"/>
      <w:sz w:val="24"/>
    </w:rPr>
  </w:style>
  <w:style w:type="paragraph" w:customStyle="1" w:styleId="3">
    <w:name w:val="标题 段落4级"/>
    <w:basedOn w:val="4"/>
    <w:next w:val="5"/>
    <w:autoRedefine/>
    <w:qFormat/>
    <w:uiPriority w:val="0"/>
    <w:pPr>
      <w:outlineLvl w:val="3"/>
    </w:pPr>
    <w:rPr>
      <w:rFonts w:cs="Calibri"/>
      <w:b/>
    </w:rPr>
  </w:style>
  <w:style w:type="paragraph" w:customStyle="1" w:styleId="4">
    <w:name w:val="正文 文本"/>
    <w:autoRedefine/>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styleId="5">
    <w:name w:val="annotation text"/>
    <w:basedOn w:val="1"/>
    <w:autoRedefine/>
    <w:qFormat/>
    <w:uiPriority w:val="0"/>
    <w:pPr>
      <w:jc w:val="left"/>
    </w:pPr>
  </w:style>
  <w:style w:type="paragraph" w:styleId="8">
    <w:name w:val="Normal Indent"/>
    <w:basedOn w:val="1"/>
    <w:next w:val="1"/>
    <w:qFormat/>
    <w:uiPriority w:val="0"/>
    <w:pPr>
      <w:widowControl w:val="0"/>
      <w:adjustRightInd w:val="0"/>
      <w:snapToGrid w:val="0"/>
      <w:spacing w:line="300" w:lineRule="auto"/>
      <w:ind w:firstLine="200" w:firstLineChars="200"/>
      <w:jc w:val="both"/>
    </w:pPr>
    <w:rPr>
      <w:rFonts w:ascii="仿宋_GB2312"/>
      <w:color w:val="000000"/>
      <w:kern w:val="2"/>
      <w:sz w:val="28"/>
      <w:szCs w:val="24"/>
    </w:rPr>
  </w:style>
  <w:style w:type="paragraph" w:styleId="9">
    <w:name w:val="toa heading"/>
    <w:basedOn w:val="1"/>
    <w:next w:val="1"/>
    <w:autoRedefine/>
    <w:unhideWhenUsed/>
    <w:qFormat/>
    <w:uiPriority w:val="99"/>
    <w:pPr>
      <w:spacing w:before="120"/>
    </w:pPr>
    <w:rPr>
      <w:rFonts w:ascii="Arial" w:hAnsi="Arial" w:cs="Arial"/>
    </w:rPr>
  </w:style>
  <w:style w:type="paragraph" w:styleId="10">
    <w:name w:val="Body Text"/>
    <w:basedOn w:val="1"/>
    <w:next w:val="1"/>
    <w:link w:val="52"/>
    <w:autoRedefine/>
    <w:qFormat/>
    <w:uiPriority w:val="99"/>
    <w:pPr>
      <w:widowControl/>
      <w:snapToGrid w:val="0"/>
      <w:spacing w:before="60" w:after="160" w:line="259" w:lineRule="auto"/>
      <w:ind w:right="113"/>
    </w:pPr>
    <w:rPr>
      <w:rFonts w:ascii="Times New Roman" w:hAnsi="Times New Roman" w:cs="Times New Roman"/>
      <w:kern w:val="0"/>
      <w:sz w:val="18"/>
      <w:szCs w:val="20"/>
    </w:rPr>
  </w:style>
  <w:style w:type="paragraph" w:styleId="11">
    <w:name w:val="Body Text Indent"/>
    <w:basedOn w:val="1"/>
    <w:next w:val="8"/>
    <w:autoRedefine/>
    <w:qFormat/>
    <w:uiPriority w:val="0"/>
    <w:pPr>
      <w:spacing w:after="120"/>
      <w:ind w:left="420" w:leftChars="200"/>
    </w:pPr>
    <w:rPr>
      <w:kern w:val="0"/>
      <w:szCs w:val="20"/>
    </w:rPr>
  </w:style>
  <w:style w:type="paragraph" w:styleId="12">
    <w:name w:val="Block Text"/>
    <w:basedOn w:val="1"/>
    <w:autoRedefine/>
    <w:qFormat/>
    <w:uiPriority w:val="0"/>
    <w:pPr>
      <w:adjustRightInd w:val="0"/>
      <w:snapToGrid w:val="0"/>
      <w:spacing w:line="490" w:lineRule="atLeast"/>
      <w:ind w:left="10" w:leftChars="5" w:right="-449" w:rightChars="-214" w:firstLine="560" w:firstLineChars="200"/>
    </w:pPr>
    <w:rPr>
      <w:color w:val="000000"/>
      <w:sz w:val="28"/>
    </w:rPr>
  </w:style>
  <w:style w:type="paragraph" w:styleId="13">
    <w:name w:val="List Bullet 5"/>
    <w:basedOn w:val="1"/>
    <w:qFormat/>
    <w:uiPriority w:val="0"/>
    <w:pPr>
      <w:numPr>
        <w:ilvl w:val="0"/>
        <w:numId w:val="2"/>
      </w:numPr>
    </w:pPr>
  </w:style>
  <w:style w:type="paragraph" w:styleId="14">
    <w:name w:val="Body Text Indent 2"/>
    <w:basedOn w:val="1"/>
    <w:next w:val="9"/>
    <w:autoRedefine/>
    <w:qFormat/>
    <w:uiPriority w:val="0"/>
    <w:pPr>
      <w:spacing w:after="120" w:line="480" w:lineRule="auto"/>
      <w:ind w:left="420" w:leftChars="200" w:firstLine="0"/>
    </w:pPr>
    <w:rPr>
      <w:sz w:val="21"/>
    </w:rPr>
  </w:style>
  <w:style w:type="paragraph" w:styleId="15">
    <w:name w:val="Balloon Text"/>
    <w:basedOn w:val="1"/>
    <w:semiHidden/>
    <w:qFormat/>
    <w:uiPriority w:val="0"/>
    <w:rPr>
      <w:sz w:val="18"/>
      <w:szCs w:val="18"/>
    </w:rPr>
  </w:style>
  <w:style w:type="paragraph" w:styleId="16">
    <w:name w:val="footer"/>
    <w:basedOn w:val="1"/>
    <w:autoRedefine/>
    <w:unhideWhenUsed/>
    <w:qFormat/>
    <w:uiPriority w:val="99"/>
    <w:pPr>
      <w:tabs>
        <w:tab w:val="center" w:pos="4153"/>
        <w:tab w:val="right" w:pos="8306"/>
      </w:tabs>
      <w:snapToGrid w:val="0"/>
      <w:jc w:val="left"/>
    </w:pPr>
    <w:rPr>
      <w:sz w:val="18"/>
      <w:szCs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0"/>
  </w:style>
  <w:style w:type="paragraph" w:styleId="19">
    <w:name w:val="List"/>
    <w:basedOn w:val="1"/>
    <w:qFormat/>
    <w:uiPriority w:val="0"/>
    <w:pPr>
      <w:ind w:left="200" w:hanging="200" w:hangingChars="200"/>
      <w:contextualSpacing/>
    </w:pPr>
  </w:style>
  <w:style w:type="paragraph" w:styleId="20">
    <w:name w:val="Body Text Indent 3"/>
    <w:basedOn w:val="1"/>
    <w:autoRedefine/>
    <w:unhideWhenUsed/>
    <w:qFormat/>
    <w:uiPriority w:val="0"/>
    <w:pPr>
      <w:spacing w:after="120"/>
      <w:ind w:left="420" w:leftChars="200"/>
    </w:pPr>
    <w:rPr>
      <w:sz w:val="16"/>
      <w:szCs w:val="16"/>
    </w:rPr>
  </w:style>
  <w:style w:type="paragraph" w:styleId="21">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2">
    <w:name w:val="Body Text First Indent"/>
    <w:basedOn w:val="10"/>
    <w:qFormat/>
    <w:uiPriority w:val="0"/>
    <w:pPr>
      <w:widowControl/>
      <w:spacing w:after="120"/>
      <w:ind w:firstLine="420" w:firstLineChars="100"/>
      <w:jc w:val="left"/>
    </w:pPr>
    <w:rPr>
      <w:rFonts w:ascii="Times New Roman"/>
      <w:kern w:val="0"/>
      <w:sz w:val="24"/>
    </w:rPr>
  </w:style>
  <w:style w:type="paragraph" w:styleId="23">
    <w:name w:val="Body Text First Indent 2"/>
    <w:basedOn w:val="11"/>
    <w:next w:val="2"/>
    <w:autoRedefine/>
    <w:unhideWhenUsed/>
    <w:qFormat/>
    <w:uiPriority w:val="99"/>
    <w:pPr>
      <w:ind w:firstLine="420"/>
    </w:p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autoRedefine/>
    <w:qFormat/>
    <w:uiPriority w:val="0"/>
    <w:rPr>
      <w:b/>
    </w:rPr>
  </w:style>
  <w:style w:type="character" w:styleId="28">
    <w:name w:val="page number"/>
    <w:basedOn w:val="26"/>
    <w:autoRedefine/>
    <w:qFormat/>
    <w:uiPriority w:val="0"/>
  </w:style>
  <w:style w:type="character" w:styleId="29">
    <w:name w:val="Hyperlink"/>
    <w:basedOn w:val="26"/>
    <w:autoRedefine/>
    <w:unhideWhenUsed/>
    <w:qFormat/>
    <w:uiPriority w:val="99"/>
    <w:rPr>
      <w:color w:val="0026E5" w:themeColor="hyperlink"/>
      <w:u w:val="single"/>
      <w14:textFill>
        <w14:solidFill>
          <w14:schemeClr w14:val="hlink"/>
        </w14:solidFill>
      </w14:textFill>
    </w:rPr>
  </w:style>
  <w:style w:type="character" w:styleId="30">
    <w:name w:val="annotation reference"/>
    <w:basedOn w:val="26"/>
    <w:autoRedefine/>
    <w:qFormat/>
    <w:uiPriority w:val="99"/>
    <w:rPr>
      <w:sz w:val="21"/>
    </w:rPr>
  </w:style>
  <w:style w:type="paragraph" w:customStyle="1" w:styleId="31">
    <w:name w:val="xl27"/>
    <w:basedOn w:val="1"/>
    <w:next w:val="32"/>
    <w:qFormat/>
    <w:uiPriority w:val="99"/>
    <w:pPr>
      <w:widowControl/>
      <w:pBdr>
        <w:bottom w:val="single" w:color="auto" w:sz="12" w:space="0"/>
      </w:pBdr>
      <w:spacing w:before="100" w:after="100"/>
      <w:jc w:val="center"/>
    </w:pPr>
    <w:rPr>
      <w:rFonts w:ascii="宋体" w:hAnsi="宋体"/>
      <w:kern w:val="0"/>
      <w:szCs w:val="20"/>
    </w:rPr>
  </w:style>
  <w:style w:type="paragraph" w:customStyle="1" w:styleId="32">
    <w:name w:val="A正文"/>
    <w:basedOn w:val="1"/>
    <w:qFormat/>
    <w:uiPriority w:val="0"/>
    <w:pPr>
      <w:adjustRightInd w:val="0"/>
      <w:snapToGrid w:val="0"/>
      <w:spacing w:before="24" w:beforeLines="10" w:line="288" w:lineRule="auto"/>
      <w:ind w:firstLine="420" w:firstLineChars="200"/>
    </w:pPr>
    <w:rPr>
      <w:rFonts w:ascii="宋体" w:hAnsi="宋体" w:cs="宋体"/>
      <w:kern w:val="0"/>
      <w:szCs w:val="21"/>
    </w:rPr>
  </w:style>
  <w:style w:type="paragraph" w:customStyle="1" w:styleId="33">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_Style 1"/>
    <w:autoRedefine/>
    <w:qFormat/>
    <w:uiPriority w:val="0"/>
    <w:pPr>
      <w:adjustRightInd w:val="0"/>
      <w:snapToGrid w:val="0"/>
      <w:spacing w:line="480" w:lineRule="exact"/>
      <w:ind w:firstLine="480" w:firstLineChars="200"/>
    </w:pPr>
    <w:rPr>
      <w:rFonts w:ascii="Times New Roman" w:hAnsi="Times New Roman" w:eastAsia="宋体" w:cs="Times New Roman"/>
      <w:sz w:val="24"/>
      <w:szCs w:val="22"/>
      <w:lang w:val="en-US" w:eastAsia="zh-CN" w:bidi="ar-SA"/>
    </w:rPr>
  </w:style>
  <w:style w:type="paragraph" w:styleId="35">
    <w:name w:val="List Paragraph"/>
    <w:basedOn w:val="1"/>
    <w:autoRedefine/>
    <w:qFormat/>
    <w:uiPriority w:val="99"/>
    <w:pPr>
      <w:ind w:firstLine="420"/>
    </w:pPr>
  </w:style>
  <w:style w:type="paragraph" w:customStyle="1" w:styleId="36">
    <w:name w:val="表格内文字"/>
    <w:basedOn w:val="1"/>
    <w:autoRedefine/>
    <w:qFormat/>
    <w:uiPriority w:val="0"/>
    <w:pPr>
      <w:kinsoku w:val="0"/>
      <w:wordWrap w:val="0"/>
      <w:overflowPunct w:val="0"/>
      <w:jc w:val="center"/>
    </w:pPr>
    <w:rPr>
      <w:rFonts w:asciiTheme="minorHAnsi" w:hAnsiTheme="minorHAnsi"/>
      <w:snapToGrid w:val="0"/>
      <w:sz w:val="21"/>
      <w:szCs w:val="22"/>
    </w:rPr>
  </w:style>
  <w:style w:type="paragraph" w:customStyle="1" w:styleId="37">
    <w:name w:val="表格"/>
    <w:basedOn w:val="1"/>
    <w:next w:val="1"/>
    <w:autoRedefine/>
    <w:qFormat/>
    <w:uiPriority w:val="99"/>
    <w:pPr>
      <w:adjustRightInd w:val="0"/>
      <w:snapToGrid w:val="0"/>
      <w:spacing w:beforeLines="10" w:afterLines="10" w:line="259" w:lineRule="auto"/>
      <w:jc w:val="center"/>
    </w:pPr>
    <w:rPr>
      <w:rFonts w:ascii="宋体"/>
      <w:kern w:val="0"/>
      <w:szCs w:val="20"/>
    </w:rPr>
  </w:style>
  <w:style w:type="paragraph" w:customStyle="1" w:styleId="38">
    <w:name w:val="WPSOffice手动目录 1"/>
    <w:autoRedefine/>
    <w:qFormat/>
    <w:uiPriority w:val="0"/>
    <w:pPr>
      <w:ind w:leftChars="0"/>
    </w:pPr>
    <w:rPr>
      <w:rFonts w:ascii="Times New Roman" w:hAnsi="Times New Roman" w:eastAsia="宋体" w:cs="Times New Roman"/>
      <w:sz w:val="20"/>
      <w:szCs w:val="20"/>
    </w:rPr>
  </w:style>
  <w:style w:type="paragraph" w:customStyle="1" w:styleId="39">
    <w:name w:val="Table Paragraph"/>
    <w:basedOn w:val="1"/>
    <w:autoRedefine/>
    <w:qFormat/>
    <w:uiPriority w:val="1"/>
    <w:pPr>
      <w:jc w:val="center"/>
    </w:pPr>
    <w:rPr>
      <w:rFonts w:ascii="宋体" w:hAnsi="宋体" w:eastAsia="宋体" w:cs="宋体"/>
      <w:lang w:val="zh-CN" w:eastAsia="zh-CN" w:bidi="zh-CN"/>
    </w:rPr>
  </w:style>
  <w:style w:type="paragraph" w:customStyle="1" w:styleId="40">
    <w:name w:val="表格内容"/>
    <w:basedOn w:val="1"/>
    <w:qFormat/>
    <w:uiPriority w:val="0"/>
    <w:pPr>
      <w:overflowPunct w:val="0"/>
      <w:adjustRightInd w:val="0"/>
      <w:snapToGrid w:val="0"/>
      <w:jc w:val="center"/>
    </w:pPr>
    <w:rPr>
      <w:rFonts w:ascii="Times New Roman" w:hAnsi="Times New Roman"/>
    </w:rPr>
  </w:style>
  <w:style w:type="paragraph" w:customStyle="1" w:styleId="41">
    <w:name w:val="文字"/>
    <w:basedOn w:val="1"/>
    <w:qFormat/>
    <w:uiPriority w:val="0"/>
    <w:pPr>
      <w:spacing w:line="360" w:lineRule="auto"/>
      <w:ind w:firstLine="200" w:firstLineChars="200"/>
    </w:pPr>
    <w:rPr>
      <w:rFonts w:ascii="Times New Roman"/>
      <w:kern w:val="2"/>
      <w:sz w:val="24"/>
      <w:szCs w:val="24"/>
    </w:rPr>
  </w:style>
  <w:style w:type="paragraph" w:customStyle="1" w:styleId="42">
    <w:name w:val="表格内容1"/>
    <w:basedOn w:val="1"/>
    <w:qFormat/>
    <w:uiPriority w:val="0"/>
    <w:pPr>
      <w:adjustRightInd w:val="0"/>
      <w:snapToGrid w:val="0"/>
      <w:spacing w:before="15" w:beforeLines="15" w:after="15" w:afterLines="15" w:line="300" w:lineRule="exact"/>
      <w:ind w:firstLine="0" w:firstLineChars="0"/>
      <w:jc w:val="center"/>
    </w:pPr>
    <w:rPr>
      <w:kern w:val="0"/>
      <w:sz w:val="21"/>
    </w:rPr>
  </w:style>
  <w:style w:type="paragraph" w:customStyle="1" w:styleId="43">
    <w:name w:val="zl正文"/>
    <w:basedOn w:val="1"/>
    <w:qFormat/>
    <w:uiPriority w:val="0"/>
    <w:pPr>
      <w:spacing w:line="360" w:lineRule="auto"/>
      <w:ind w:firstLine="480" w:firstLineChars="200"/>
    </w:pPr>
    <w:rPr>
      <w:sz w:val="24"/>
    </w:rPr>
  </w:style>
  <w:style w:type="paragraph" w:customStyle="1" w:styleId="44">
    <w:name w:val="正文格式"/>
    <w:basedOn w:val="1"/>
    <w:qFormat/>
    <w:uiPriority w:val="0"/>
    <w:pPr>
      <w:spacing w:line="360" w:lineRule="auto"/>
      <w:ind w:firstLine="482"/>
    </w:pPr>
    <w:rPr>
      <w:rFonts w:cs="Times New Roman"/>
    </w:rPr>
  </w:style>
  <w:style w:type="paragraph" w:customStyle="1" w:styleId="45">
    <w:name w:val="宗兴正文"/>
    <w:basedOn w:val="1"/>
    <w:qFormat/>
    <w:uiPriority w:val="0"/>
    <w:pPr>
      <w:widowControl w:val="0"/>
      <w:spacing w:line="360" w:lineRule="auto"/>
      <w:ind w:firstLine="480" w:firstLineChars="200"/>
    </w:pPr>
    <w:rPr>
      <w:rFonts w:eastAsia="宋体"/>
      <w:kern w:val="2"/>
      <w:szCs w:val="24"/>
    </w:rPr>
  </w:style>
  <w:style w:type="character" w:customStyle="1" w:styleId="46">
    <w:name w:val="font21"/>
    <w:basedOn w:val="26"/>
    <w:qFormat/>
    <w:uiPriority w:val="0"/>
    <w:rPr>
      <w:rFonts w:hint="eastAsia" w:ascii="MingLiU" w:eastAsia="MingLiU"/>
      <w:color w:val="000000"/>
      <w:sz w:val="24"/>
      <w:szCs w:val="24"/>
      <w:u w:val="none"/>
    </w:rPr>
  </w:style>
  <w:style w:type="character" w:customStyle="1" w:styleId="47">
    <w:name w:val="font41"/>
    <w:qFormat/>
    <w:uiPriority w:val="0"/>
    <w:rPr>
      <w:rFonts w:hint="eastAsia" w:ascii="宋体" w:hAnsi="宋体" w:eastAsia="宋体" w:cs="宋体"/>
      <w:color w:val="000000"/>
      <w:sz w:val="20"/>
      <w:szCs w:val="20"/>
      <w:u w:val="none"/>
    </w:rPr>
  </w:style>
  <w:style w:type="character" w:customStyle="1" w:styleId="48">
    <w:name w:val="font01"/>
    <w:qFormat/>
    <w:uiPriority w:val="0"/>
    <w:rPr>
      <w:rFonts w:hint="default" w:ascii="Times New Roman" w:hAnsi="Times New Roman" w:cs="Times New Roman"/>
      <w:color w:val="000000"/>
      <w:sz w:val="24"/>
      <w:szCs w:val="24"/>
      <w:u w:val="none"/>
    </w:rPr>
  </w:style>
  <w:style w:type="paragraph" w:customStyle="1" w:styleId="49">
    <w:name w:val="图表文字"/>
    <w:basedOn w:val="1"/>
    <w:qFormat/>
    <w:uiPriority w:val="0"/>
    <w:pPr>
      <w:spacing w:line="300" w:lineRule="exact"/>
      <w:jc w:val="center"/>
    </w:pPr>
    <w:rPr>
      <w:bCs/>
      <w:szCs w:val="20"/>
    </w:rPr>
  </w:style>
  <w:style w:type="paragraph" w:customStyle="1" w:styleId="50">
    <w:name w:val="1正文"/>
    <w:basedOn w:val="1"/>
    <w:qFormat/>
    <w:uiPriority w:val="0"/>
    <w:pPr>
      <w:adjustRightInd w:val="0"/>
      <w:snapToGrid w:val="0"/>
      <w:spacing w:line="360" w:lineRule="auto"/>
      <w:ind w:firstLine="200" w:firstLineChars="200"/>
    </w:pPr>
  </w:style>
  <w:style w:type="paragraph" w:customStyle="1" w:styleId="51">
    <w:name w:val="A表头"/>
    <w:basedOn w:val="1"/>
    <w:next w:val="1"/>
    <w:qFormat/>
    <w:uiPriority w:val="0"/>
    <w:pPr>
      <w:adjustRightInd w:val="0"/>
      <w:snapToGrid w:val="0"/>
      <w:jc w:val="center"/>
    </w:pPr>
    <w:rPr>
      <w:rFonts w:cs="宋体"/>
      <w:b/>
      <w:szCs w:val="20"/>
    </w:rPr>
  </w:style>
  <w:style w:type="character" w:customStyle="1" w:styleId="52">
    <w:name w:val="正文文本 Char2"/>
    <w:basedOn w:val="26"/>
    <w:link w:val="10"/>
    <w:qFormat/>
    <w:uiPriority w:val="0"/>
    <w:rPr>
      <w:rFonts w:ascii="Times New Roman" w:hAnsi="Times New Roman" w:cs="Times New Roman"/>
      <w:kern w:val="0"/>
      <w:sz w:val="18"/>
      <w:szCs w:val="20"/>
    </w:rPr>
  </w:style>
  <w:style w:type="paragraph" w:customStyle="1" w:styleId="53">
    <w:name w:val=" Char Char48 Char Char Char Char"/>
    <w:basedOn w:val="1"/>
    <w:qFormat/>
    <w:uiPriority w:val="0"/>
    <w:rPr>
      <w:rFonts w:ascii="Times New Roman"/>
      <w:kern w:val="2"/>
      <w:sz w:val="21"/>
      <w:szCs w:val="21"/>
    </w:rPr>
  </w:style>
  <w:style w:type="paragraph" w:customStyle="1" w:styleId="54">
    <w:name w:val="简单回函地址"/>
    <w:basedOn w:val="1"/>
    <w:qFormat/>
    <w:uiPriority w:val="0"/>
    <w:pPr>
      <w:widowControl/>
      <w:jc w:val="left"/>
    </w:pPr>
    <w:rPr>
      <w:rFonts w:ascii="宋体" w:hAnsi="宋体" w:cs="宋体"/>
      <w:kern w:val="0"/>
      <w:sz w:val="24"/>
    </w:rPr>
  </w:style>
  <w:style w:type="paragraph" w:customStyle="1" w:styleId="55">
    <w:name w:val="1图表正文"/>
    <w:basedOn w:val="1"/>
    <w:qFormat/>
    <w:uiPriority w:val="0"/>
    <w:pPr>
      <w:jc w:val="center"/>
    </w:pPr>
    <w:rPr>
      <w:bCs/>
      <w:color w:val="000000"/>
      <w:szCs w:val="21"/>
    </w:rPr>
  </w:style>
  <w:style w:type="paragraph" w:customStyle="1" w:styleId="56">
    <w:name w:val="表头（仿宋 小四）"/>
    <w:basedOn w:val="1"/>
    <w:qFormat/>
    <w:uiPriority w:val="0"/>
    <w:pPr>
      <w:spacing w:line="520" w:lineRule="exact"/>
      <w:jc w:val="center"/>
    </w:pPr>
    <w:rPr>
      <w:rFonts w:ascii="仿宋_GB2312" w:hAnsi="宋体" w:cs="宋体"/>
      <w:color w:val="000000"/>
      <w:sz w:val="24"/>
    </w:rPr>
  </w:style>
  <w:style w:type="character" w:customStyle="1" w:styleId="57">
    <w:name w:val="font31"/>
    <w:basedOn w:val="26"/>
    <w:qFormat/>
    <w:uiPriority w:val="0"/>
    <w:rPr>
      <w:rFonts w:hint="default" w:ascii="Times New Roman" w:hAnsi="Times New Roman" w:cs="Times New Roman"/>
      <w:color w:val="000000"/>
      <w:sz w:val="18"/>
      <w:szCs w:val="18"/>
      <w:u w:val="none"/>
      <w:vertAlign w:val="subscript"/>
    </w:rPr>
  </w:style>
  <w:style w:type="paragraph" w:customStyle="1" w:styleId="58">
    <w:name w:val="图表标题G"/>
    <w:basedOn w:val="1"/>
    <w:qFormat/>
    <w:uiPriority w:val="0"/>
    <w:pPr>
      <w:spacing w:line="360" w:lineRule="auto"/>
      <w:jc w:val="center"/>
    </w:pPr>
    <w:rPr>
      <w:b/>
      <w:bCs/>
    </w:rPr>
  </w:style>
  <w:style w:type="paragraph" w:customStyle="1" w:styleId="59">
    <w:name w:val="正文缩进G"/>
    <w:basedOn w:val="1"/>
    <w:qFormat/>
    <w:uiPriority w:val="0"/>
    <w:pPr>
      <w:ind w:firstLine="48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emf"/><Relationship Id="rId21" Type="http://schemas.openxmlformats.org/officeDocument/2006/relationships/oleObject" Target="embeddings/oleObject4.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3.bin"/><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wmf"/><Relationship Id="rId11" Type="http://schemas.openxmlformats.org/officeDocument/2006/relationships/oleObject" Target="embeddings/oleObject2.bin"/><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Q3MDUwMDQyMDI4IiwKCSJHcm91cElkIiA6ICIxODY1MzI2NjcwIiwKCSJJbWFnZSIgOiAiaVZCT1J3MEtHZ29BQUFBTlNVaEVVZ0FBQXdRQUFBSEdDQVlBQUFES1JFeDBBQUFBQ1hCSVdYTUFBQXNUQUFBTEV3RUFtcHdZQUFBZ0FFbEVRVlI0bk96ZGUxeFZkYjcvOGZlQ0RZZ2ljdE5RTERPZE1vMXlZMVpxVTQ2VmlUazExWXpaaE4zR1BKblpyNllhMDh4Sk85V2M0NWpWWkRmVGJuWXFzaWJUMUNuemtwWnB3VWFSMUZMREM1Z29vQ0MzeldaL2YzOFlPeER3bHJIQTlYbytIajdjNjd1KzM3VSthM05ibi8yOUxB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2cE4vajlVWFFkSktjMkY1UUFBQUFCSlJVNUVya0pnZ2c9PSIsCgkiVGhlbWUiIDogIiIsCgkiVHlwZSIgOiAiZmxvdyIsCgkiVmVyc2lvbiIgOiAiMTg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10440</Words>
  <Characters>11355</Characters>
  <Lines>1</Lines>
  <Paragraphs>1</Paragraphs>
  <TotalTime>14</TotalTime>
  <ScaleCrop>false</ScaleCrop>
  <LinksUpToDate>false</LinksUpToDate>
  <CharactersWithSpaces>11491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2024-01-10T23:18:00Z</dcterms:created>
  <dc:creator>很冷</dc:creator>
  <cp:lastModifiedBy>a moon</cp:lastModifiedBy>
  <cp:lastPrinted>2024-05-24T17:30:00Z</cp:lastPrinted>
  <dcterms:modified xsi:type="dcterms:W3CDTF">2025-03-24T08:48:38Z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D75E0E322FAC46ECAD7E158401BE3B4A_13</vt:lpwstr>
  </property>
  <property fmtid="{D5CDD505-2E9C-101B-9397-08002B2CF9AE}" pid="4" name="KSOTemplateDocerSaveRecord">
    <vt:lpwstr>eyJoZGlkIjoiNzUzZDE2YzA3NDM3Nzg1MDY1NmNiNWFjNjBmZDhiOWMiLCJ1c2VySWQiOiIyNjEyMzM3ODAifQ==</vt:lpwstr>
  </property>
</Properties>
</file>